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1C9A91"/>
          <w:sz w:val="22"/>
        </w:rPr>
        <w:t>IDC AI OPERATIONS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172B3A"/>
          <w:sz w:val="62"/>
        </w:rPr>
        <w:t>机鉴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color w:val="13465B"/>
          <w:sz w:val="34"/>
        </w:rPr>
        <w:t>IDC AI故障调查与现场协同平台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b/>
          <w:color w:val="176B87"/>
          <w:sz w:val="44"/>
        </w:rPr>
        <w:t>产品立项报告</w:t>
      </w:r>
    </w:p>
    <w:p>
      <w:pPr>
        <w:spacing w:after="560"/>
        <w:jc w:val="center"/>
        <w:pBdr>
          <w:bottom w:val="single" w:sz="12" w:space="1" w:color="1C9A91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/>
                <w:color w:val="13465B"/>
                <w:sz w:val="21"/>
              </w:rPr>
              <w:t>文档版本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21"/>
              </w:rPr>
              <w:t>V0.1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/>
                <w:color w:val="13465B"/>
                <w:sz w:val="21"/>
              </w:rPr>
              <w:t>文档状态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21"/>
              </w:rPr>
              <w:t>立项评审稿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/>
                <w:color w:val="13465B"/>
                <w:sz w:val="21"/>
              </w:rPr>
              <w:t>编制日期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21"/>
              </w:rPr>
              <w:t>2026年8月27日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/>
                <w:color w:val="13465B"/>
                <w:sz w:val="21"/>
              </w:rPr>
              <w:t>适用范围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21"/>
              </w:rPr>
              <w:t>公司内部立项、产品评审、研发与试点准备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/>
                <w:color w:val="13465B"/>
                <w:sz w:val="21"/>
              </w:rPr>
              <w:t>保密等级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21"/>
              </w:rPr>
              <w:t>内部资料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240"/>
      </w:pPr>
      <w:r>
        <w:rPr>
          <w:rFonts w:ascii="Arial Unicode MS" w:hAnsi="Arial Unicode MS" w:eastAsia="Arial Unicode MS"/>
          <w:color w:val="667985"/>
          <w:sz w:val="21"/>
        </w:rPr>
        <w:t>本报告用于立项决策；详细需求、技术、AI评测和部署内容将在后续核心文档中展开。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一、立项决策摘要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二、项目背景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三、需要解决的问题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四、产品方案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五、目标用户与职责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六、建设范围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七、当前基础与差距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八、技术路线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九、实施路径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十、试点验收与价值测量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十一、项目组织与资源需求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十二、主要风险与控制措施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十三、立项建议与待决策事项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十四、参考依据</w:t>
      </w:r>
    </w:p>
    <w:p>
      <w:pPr>
        <w:spacing w:after="100"/>
        <w:ind w:left="173"/>
      </w:pPr>
      <w:r>
        <w:rPr>
          <w:rFonts w:ascii="Arial Unicode MS" w:hAnsi="Arial Unicode MS" w:eastAsia="Arial Unicode MS"/>
          <w:b/>
          <w:color w:val="13465B"/>
          <w:sz w:val="21"/>
        </w:rPr>
        <w:t>十五、变更记录</w:t>
      </w:r>
    </w:p>
    <w:p>
      <w:r>
        <w:br w:type="page"/>
      </w:r>
    </w:p>
    <w:p>
      <w:pPr>
        <w:pStyle w:val="Heading1"/>
      </w:pPr>
      <w:r>
        <w:t>一、立项决策摘要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5"/>
          </w:tcPr>
          <w:p>
            <w:pPr>
              <w:spacing w:before="80" w:after="80" w:line="300" w:lineRule="auto"/>
            </w:pPr>
            <w:r>
              <w:rPr>
                <w:rFonts w:ascii="Arial Unicode MS" w:hAnsi="Arial Unicode MS" w:eastAsia="Arial Unicode MS"/>
                <w:color w:val="13465B"/>
                <w:sz w:val="22"/>
              </w:rPr>
              <w:t>建议将“机鉴”作为一项面向IDC故障调查与现场协同的内部效率产品立项，先开展受控试点，不直接以“全自动根因定位系统”上线生产。</w:t>
            </w:r>
          </w:p>
        </w:tc>
      </w:tr>
    </w:tbl>
    <w:p>
      <w:pPr>
        <w:spacing w:after="40"/>
      </w:pP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产品定位是在既有监控、日志、BMC、动环、网络管理、OMS/CMDB和即时沟通工具之间增加一层可审计的AI调查与协同能力。它不替代现有监控和工单平台，重点解决告警与日志分散、设备身份反复核对、跨团队沟通成本高、现场经验难复用、处理过程难追溯以及AI结论不可核验等问题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当前原型已经具备统一事件入口、规则与知识基线、轻量RAG、只读调查Agent框架、证据链、角色权限、模拟接入、现场安全门、OMS操作记录和沙盒验证能力。但真实客户监控平台、真实模型和真实生产日志尚未接通，生产准确率和实际提效比例尚未验证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因此，本次立项的核心目标不是立即替代人工，而是完成以下闭环：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在客户授权范围内接入至少一类真实监控或日志来源；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以确定性设备身份关联为前提，将同一事故的跨平台信号统一归档；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使用RAG与只读Agent形成可核验证据、竞争原因和下一项检查；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在高风险操作前保留人工授权与复核责任；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用真实试点数据测量调查时间、沟通往返、重复工单和错误操作风险是否下降。</w:t>
      </w:r>
    </w:p>
    <w:p>
      <w:pPr>
        <w:pStyle w:val="Heading1"/>
      </w:pPr>
      <w:r>
        <w:t>二、项目背景</w:t>
      </w:r>
    </w:p>
    <w:p>
      <w:pPr>
        <w:pStyle w:val="Heading2"/>
      </w:pPr>
      <w:r>
        <w:t>2.1 业务场景基线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以下数据来自产品发起人提供的既往现场工作场景，用于立项估算，不代表行业平均值，正式试点前需要由试点单位复核：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大型机房运行服务器规模约十万台；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日均现场工单约二十单，故障类型和工作量存在明显波动；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现场运维团队约十人，包含普通白班、倒班值班人员和机房组长；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工作日可由组长在多人之间协调分配，夜间和周末通常只有一名值班人员；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系统组和网络组采用轮班方式，且通常同时负责多个机房；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紧急事件多通过大群呼叫机房编码，再转为接口人与现场人员的一对一沟通；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涉及资产更换时，需要在OMS等平台记录上线与下线部件SN及操作结果；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涉及断电、抽出服务器、拔线、换盘等操作时，需要核对完整SN、机架位、业务状态和操作许可。</w:t>
      </w:r>
    </w:p>
    <w:p>
      <w:pPr>
        <w:pStyle w:val="Heading2"/>
      </w:pPr>
      <w:r>
        <w:t>2.2 现有处理方式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典型处理链路如下：监控平台发现异常，系统组或网络组先行判断；需要现场介入时，通过群聊呼叫对应机房；现场回应后与接口人单独沟通；接口人提供故障范围、设备信息和建议操作；现场核对设备、执行检查或更换；处理后验证三网、服务或链路是否恢复；最终在工单平台反馈成功或失败，并记录资产变更和处理说明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这一流程能够运行，但大量关键信息分散在监控页面、群聊、小窗、工单、机器人查询结果、现场观察和个人经验中。复杂故障还可能由上游网络、服务器硬件、Linux系统、应用服务或机房设施共同形成，单一团队看到的只是其中一部分。</w:t>
      </w:r>
    </w:p>
    <w:p>
      <w:pPr>
        <w:pStyle w:val="Heading1"/>
      </w:pPr>
      <w:r>
        <w:t>三、需要解决的问题</w:t>
      </w:r>
    </w:p>
    <w:p>
      <w:pPr>
        <w:pStyle w:val="Heading2"/>
      </w:pPr>
      <w:r>
        <w:t>3.1 信息分散，故障时间线依赖人工拼接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监控告警、系统日志、网络端口记录、BMC/SEL、动环、OMS信息和现场反馈分布在不同平台。接口人和现场人员需要反复复制、询问和比对，难以迅速形成统一事故视图。</w:t>
      </w:r>
    </w:p>
    <w:p>
      <w:pPr>
        <w:pStyle w:val="Heading2"/>
      </w:pPr>
      <w:r>
        <w:t>3.2 设备身份与操作责任要求高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现场操作不能依赖设备名相似、SN尾号或模型猜测。工单、资产、机架位、完整SN和现场扫码/拍摄结果不一致时必须停止。现有群聊确认可以降低风险，但夜间确认效率低，且过程分散、追溯困难。</w:t>
      </w:r>
    </w:p>
    <w:p>
      <w:pPr>
        <w:pStyle w:val="Heading2"/>
      </w:pPr>
      <w:r>
        <w:t>3.3 经验复用不足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同一现象可能对应端口、模块、线缆、对端、主板、内存、磁盘、驱动、服务或业务冲突等不同原因。历史处置经验常保存在个人记忆、聊天和工单描述中，缺少适用条件、反证、失败情况和版本管理。</w:t>
      </w:r>
    </w:p>
    <w:p>
      <w:pPr>
        <w:pStyle w:val="Heading2"/>
      </w:pPr>
      <w:r>
        <w:t>3.4 自动派单可能重复或范围不准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同一未解决故障可能再次派单；监控定位到的部件不一定是最终根因；恢复告警也不一定意味着业务已经恢复。缺少事件、告警、事故和操作记录之间的统一关联，会造成重复劳动或错误闭环。</w:t>
      </w:r>
    </w:p>
    <w:p>
      <w:pPr>
        <w:pStyle w:val="Heading2"/>
      </w:pPr>
      <w:r>
        <w:t>3.5 普通大模型输出不适合直接承担生产决策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如果把原始日志直接交给大模型，它可能生成语言流畅但证据不足的结论。设备身份、拓扑、操作许可和恢复状态不能由大模型猜测，危险操作也不能由模型自动批准。因此需要把AI限定在证据整理、候选原因、只读查询和沟通提效范围内，并保留人工决策。</w:t>
      </w:r>
    </w:p>
    <w:p>
      <w:pPr>
        <w:pStyle w:val="Heading1"/>
      </w:pPr>
      <w:r>
        <w:t>四、产品方案</w:t>
      </w:r>
    </w:p>
    <w:p>
      <w:pPr>
        <w:pStyle w:val="Heading2"/>
      </w:pPr>
      <w:r>
        <w:t>4.1 产品定位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机鉴是一套可部署在客户受控环境中的IDC AI故障调查与现场协同平台。它位于监控与工单系统之间，将多来源信号归并成事故，以可追溯证据支持系统组、网络组和现场人员更快完成判断、沟通、操作与复盘。</w:t>
      </w:r>
    </w:p>
    <w:p>
      <w:pPr>
        <w:pStyle w:val="Heading2"/>
      </w:pPr>
      <w:r>
        <w:t>4.2 核心能力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统一接入：</w:t>
      </w:r>
      <w:r>
        <w:rPr>
          <w:rFonts w:ascii="Arial Unicode MS" w:hAnsi="Arial Unicode MS" w:eastAsia="Arial Unicode MS"/>
          <w:color w:val="172B3A"/>
          <w:sz w:val="22"/>
        </w:rPr>
        <w:t xml:space="preserve"> 接收监控Webhook、日志文件或粘贴内容、现场异常反馈以及经授权的只读平台查询结果。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告警治理：</w:t>
      </w:r>
      <w:r>
        <w:rPr>
          <w:rFonts w:ascii="Arial Unicode MS" w:hAnsi="Arial Unicode MS" w:eastAsia="Arial Unicode MS"/>
          <w:color w:val="172B3A"/>
          <w:sz w:val="22"/>
        </w:rPr>
        <w:t xml:space="preserve"> 处理来源健康、重复、恢复、维护静默、上游抑制、身份冲突和责任分派。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事故关联：</w:t>
      </w:r>
      <w:r>
        <w:rPr>
          <w:rFonts w:ascii="Arial Unicode MS" w:hAnsi="Arial Unicode MS" w:eastAsia="Arial Unicode MS"/>
          <w:color w:val="172B3A"/>
          <w:sz w:val="22"/>
        </w:rPr>
        <w:t xml:space="preserve"> 优先使用事故号、完整设备身份、已登记拓扑和时间窗关联跨平台信号；不让模型猜测是否属于同一设备。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AI调查：</w:t>
      </w:r>
      <w:r>
        <w:rPr>
          <w:rFonts w:ascii="Arial Unicode MS" w:hAnsi="Arial Unicode MS" w:eastAsia="Arial Unicode MS"/>
          <w:color w:val="172B3A"/>
          <w:sz w:val="22"/>
        </w:rPr>
        <w:t xml:space="preserve"> 由规则、RAG和只读Agent形成事实、竞争原因、反证、缺失证据与下一项查询。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现场协同：</w:t>
      </w:r>
      <w:r>
        <w:rPr>
          <w:rFonts w:ascii="Arial Unicode MS" w:hAnsi="Arial Unicode MS" w:eastAsia="Arial Unicode MS"/>
          <w:color w:val="172B3A"/>
          <w:sz w:val="22"/>
        </w:rPr>
        <w:t xml:space="preserve"> 展示完整SN、机架位、UID状态、操作许可、复核要求和停止条件。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OMS闭环：</w:t>
      </w:r>
      <w:r>
        <w:rPr>
          <w:rFonts w:ascii="Arial Unicode MS" w:hAnsi="Arial Unicode MS" w:eastAsia="Arial Unicode MS"/>
          <w:color w:val="172B3A"/>
          <w:sz w:val="22"/>
        </w:rPr>
        <w:t xml:space="preserve"> 保存工单快照、开始操作、成功/失败接单、部件上下线SN和详细反馈。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知识资产：</w:t>
      </w:r>
      <w:r>
        <w:rPr>
          <w:rFonts w:ascii="Arial Unicode MS" w:hAnsi="Arial Unicode MS" w:eastAsia="Arial Unicode MS"/>
          <w:color w:val="172B3A"/>
          <w:sz w:val="22"/>
        </w:rPr>
        <w:t xml:space="preserve"> 将官方规范、厂商资料、SOP和已审核经验按版本管理，不以知识数量替代质量。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审计追溯：</w:t>
      </w:r>
      <w:r>
        <w:rPr>
          <w:rFonts w:ascii="Arial Unicode MS" w:hAnsi="Arial Unicode MS" w:eastAsia="Arial Unicode MS"/>
          <w:color w:val="172B3A"/>
          <w:sz w:val="22"/>
        </w:rPr>
        <w:t xml:space="preserve"> 保存原始输入、字段来源、规则命中、RAG召回、Agent工具调用、人工确认和版本信息。</w:t>
      </w:r>
    </w:p>
    <w:p>
      <w:pPr>
        <w:pStyle w:val="Heading2"/>
      </w:pPr>
      <w:r>
        <w:t>4.3 AI承担的工作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AI适合承担跨来源内容理解、日志摘要、故障候选整理、反证提示、缺失信息识别、下一项只读调查、历史经验匹配和角色化沟通摘要。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AI不负责设备身份确认、断电或业务操作许可、自动更换硬件、自动修改配置、自动关闭事故以及最终责任认定。高风险动作必须由具有相应权限的人员确认。</w:t>
      </w:r>
    </w:p>
    <w:p>
      <w:pPr>
        <w:pStyle w:val="Heading1"/>
      </w:pPr>
      <w:r>
        <w:t>五、目标用户与职责</w:t>
      </w:r>
    </w:p>
    <w:p>
      <w:pPr>
        <w:pStyle w:val="Heading2"/>
      </w:pPr>
      <w:r>
        <w:t>5.1 系统组/接口人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查看系统、服务器和应用异常，确认业务状态与操作许可，判断是否需要现场介入，接收现场反馈并决定继续调查、恢复确认或失败接单。</w:t>
      </w:r>
    </w:p>
    <w:p>
      <w:pPr>
        <w:pStyle w:val="Heading2"/>
      </w:pPr>
      <w:r>
        <w:t>5.2 网络组/接口人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查看链路、端口、模块、路由和交换机异常，与现场联合验证本端、对端、模块、线缆和端口状态，并确认恢复。</w:t>
      </w:r>
    </w:p>
    <w:p>
      <w:pPr>
        <w:pStyle w:val="Heading2"/>
      </w:pPr>
      <w:r>
        <w:t>5.3 IDC现场人员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核对设备身份和物理位置，补充现场观察，执行经过授权的检查或更换，验证三网与设备状态，提交成功或失败反馈。</w:t>
      </w:r>
    </w:p>
    <w:p>
      <w:pPr>
        <w:pStyle w:val="Heading2"/>
      </w:pPr>
      <w:r>
        <w:t>5.4 现场组长或复核人员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协调任务优先级，在需要时完成远程或现场复核，查看超时、错误操作风险和未完成任务。双岗复核人可以是同级现场组员，不必等同于组长。</w:t>
      </w:r>
    </w:p>
    <w:p>
      <w:pPr>
        <w:pStyle w:val="Heading2"/>
      </w:pPr>
      <w:r>
        <w:t>5.5 AI运营管理员与最高审计管理员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维护知识、提示词、约束、模型和评测版本；查看RAG与Agent轨迹；在受控条件下访问原始数据；负责版本测试、发布、回滚和审计。</w:t>
      </w:r>
    </w:p>
    <w:p>
      <w:pPr>
        <w:pStyle w:val="Heading1"/>
      </w:pPr>
      <w:r>
        <w:t>六、建设范围</w:t>
      </w:r>
    </w:p>
    <w:p>
      <w:pPr>
        <w:pStyle w:val="Heading2"/>
      </w:pPr>
      <w:r>
        <w:t>6.1 第一阶段范围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在受控内网或单机环境部署；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选择一类真实日志或监控告警作为首个自动接入源；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接入或导入权威设备身份与基础拓扑；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保留日志上传、粘贴和现场反馈入口作为补充；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支持系统、网络、服务器硬件、动环和应用五类事件；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支持轻量RAG、真实模型对照、只读Agent和完整审计；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支持OMS工单快照与人工操作闭环；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支持成功、失败、转交和证据不足等合法结论；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支持规则、知识、提示词和模型版本的测试、发布与回滚。</w:t>
      </w:r>
    </w:p>
    <w:p>
      <w:pPr>
        <w:pStyle w:val="Heading2"/>
      </w:pPr>
      <w:r>
        <w:t>6.2 第一阶段不做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不替换现有监控、日志、资产、OMS、即时沟通和电话系统；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不读取客户源代码仓库；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不要求原始日志离开客户机房；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不自动登录未知设备或扫描未知目录；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不自动关机、重启、拔盘、改配置或执行网络变更；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不建立多Agent团队；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不把公开数据或模拟结果当成客户生产准确率；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不自动拨打CC电话或接管后续通报流程。</w:t>
      </w:r>
    </w:p>
    <w:p>
      <w:r>
        <w:br w:type="page"/>
      </w:r>
    </w:p>
    <w:p>
      <w:pPr>
        <w:pStyle w:val="Heading1"/>
      </w:pPr>
      <w:r>
        <w:t>七、当前基础与差距</w:t>
      </w:r>
    </w:p>
    <w:p>
      <w:pPr>
        <w:pStyle w:val="Heading2"/>
      </w:pPr>
      <w:r>
        <w:t>7.1 已实现并经过本地验证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本地Web工作台、事件列表、事件详情和角色化视图；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告警、日志和现场反馈入口；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SQLite事件、证据、审计和操作数据保存；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规则与结构化知识基线；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轻量混合RAG、召回原因和运行轨迹；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只读调查Agent协议、工具白名单与轨迹记录；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模型兼容接口、提示词和约束版本管理；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模拟平台接入、跨平台事件关联与故障演练；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OMS操作快照、完整SN核对、许可和复核门禁；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沙盒、合成日志、API和浏览器自动验证。</w:t>
      </w:r>
    </w:p>
    <w:p>
      <w:pPr>
        <w:pStyle w:val="Heading2"/>
      </w:pPr>
      <w:r>
        <w:t>7.2 已具备方案但尚未完成真实环境验证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OpenTelemetry采集模板；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SigNoz日志、指标和告警查询；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HolmesGPT只读调查服务；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NMS、BMC/Redfish、动环、OMS/CMDB等平台适配入口；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本地、合作厂商私有化和经授权云模型的适配方式。</w:t>
      </w:r>
    </w:p>
    <w:p>
      <w:pPr>
        <w:pStyle w:val="Heading2"/>
      </w:pPr>
      <w:r>
        <w:t>7.3 尚未证明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真实客户日志中的定位准确率；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真实模型相对规则基线的增益；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十万台规模下的数据吞吐、存储和查询性能；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不同厂商设备、固件和日志格式的覆盖能力；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实际平均处理时间、沟通往返和重复工单的下降比例；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生产身份认证、组织权限、密钥管理和高可用部署效果。</w:t>
      </w:r>
    </w:p>
    <w:p>
      <w:pPr>
        <w:pStyle w:val="Heading1"/>
      </w:pPr>
      <w:r>
        <w:t>八、技术路线</w:t>
      </w:r>
    </w:p>
    <w:p>
      <w:pPr>
        <w:pStyle w:val="Heading2"/>
      </w:pPr>
      <w:r>
        <w:t>8.1 数据与平台层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使用OpenTelemetry或平台Webhook接收经授权的日志、指标和告警；使用SigNoz等可观测平台作为可选数据底座；通过只读适配器连接NMS、BMC/Redfish、动环与OMS/CMDB。首个试点可以只打通一部分平台，其余来源明确显示未连接或采用人工补充。</w:t>
      </w:r>
    </w:p>
    <w:p>
      <w:pPr>
        <w:pStyle w:val="Heading2"/>
      </w:pPr>
      <w:r>
        <w:t>8.2 确定性治理层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设备身份、拓扑、时间、告警生命周期、重复与恢复、维护窗口、操作许可和角色权限由确定性程序控制。模型不能覆盖这些结果。</w:t>
      </w:r>
    </w:p>
    <w:p>
      <w:pPr>
        <w:pStyle w:val="Heading2"/>
      </w:pPr>
      <w:r>
        <w:t>8.3 AI调查层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RAG从已审核知识中召回适用的症状、竞争原因、反证和验证步骤；真实模型Agent只调用白名单内的只读工具；输出必须引用已有证据并通过结构校验。模型不可用时降级为规则与知识基线。</w:t>
      </w:r>
    </w:p>
    <w:p>
      <w:pPr>
        <w:pStyle w:val="Heading2"/>
      </w:pPr>
      <w:r>
        <w:t>8.4 协同与作业层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按角色展示下一步、责任人和风险门禁；记录人工确认、现场观察、操作结果和恢复验证；保留向既有沟通平台复制摘要或未来接口集成的能力。</w:t>
      </w:r>
    </w:p>
    <w:p>
      <w:r>
        <w:br w:type="page"/>
      </w:r>
    </w:p>
    <w:p>
      <w:pPr>
        <w:pStyle w:val="Heading1"/>
      </w:pPr>
      <w:r>
        <w:t>九、实施路径</w:t>
      </w:r>
    </w:p>
    <w:p>
      <w:pPr>
        <w:pStyle w:val="Heading2"/>
      </w:pPr>
      <w:r>
        <w:t>阶段一：试点准备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确认试点机房、设备范围、参与角色、数据授权和现有平台接口；导入权威资产与拓扑；建立基线指标；选择候选模型；完成安全评审。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b/>
          <w:color w:val="172B3A"/>
          <w:sz w:val="22"/>
        </w:rPr>
        <w:t>退出条件：</w:t>
      </w:r>
      <w:r>
        <w:rPr>
          <w:rFonts w:ascii="Arial Unicode MS" w:hAnsi="Arial Unicode MS" w:eastAsia="Arial Unicode MS"/>
          <w:color w:val="172B3A"/>
          <w:sz w:val="22"/>
        </w:rPr>
        <w:t xml:space="preserve"> 数据来源、设备身份、权限责任、测试范围和回滚方式均已书面确认。</w:t>
      </w:r>
    </w:p>
    <w:p>
      <w:pPr>
        <w:pStyle w:val="Heading2"/>
      </w:pPr>
      <w:r>
        <w:t>阶段二：影子运行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系统接收真实只读数据并形成调查结果，但不改变现有生产流程，也不自动派发或执行操作。接口人与现场人员对结果进行采纳、驳回或补充反馈。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b/>
          <w:color w:val="172B3A"/>
          <w:sz w:val="22"/>
        </w:rPr>
        <w:t>退出条件：</w:t>
      </w:r>
      <w:r>
        <w:rPr>
          <w:rFonts w:ascii="Arial Unicode MS" w:hAnsi="Arial Unicode MS" w:eastAsia="Arial Unicode MS"/>
          <w:color w:val="172B3A"/>
          <w:sz w:val="22"/>
        </w:rPr>
        <w:t xml:space="preserve"> 连续运行期间没有越权写操作、身份猜测或无证据确认根因，且关键场景能够完整追溯。</w:t>
      </w:r>
    </w:p>
    <w:p>
      <w:pPr>
        <w:pStyle w:val="Heading2"/>
      </w:pPr>
      <w:r>
        <w:t>阶段三：受控辅助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将经过验证的事件摘要、下一项查询和现场处置卡用于实际协同；所有高风险动作继续由人工确认；保留传统平台和人工流程作为降级通道。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b/>
          <w:color w:val="172B3A"/>
          <w:sz w:val="22"/>
        </w:rPr>
        <w:t>退出条件：</w:t>
      </w:r>
      <w:r>
        <w:rPr>
          <w:rFonts w:ascii="Arial Unicode MS" w:hAnsi="Arial Unicode MS" w:eastAsia="Arial Unicode MS"/>
          <w:color w:val="172B3A"/>
          <w:sz w:val="22"/>
        </w:rPr>
        <w:t xml:space="preserve"> 相比基线，至少一个核心效率指标得到稳定改善，且安全硬门禁保持通过。</w:t>
      </w:r>
    </w:p>
    <w:p>
      <w:pPr>
        <w:pStyle w:val="Heading2"/>
      </w:pPr>
      <w:r>
        <w:t>阶段四：扩大范围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根据试点结果扩展设备、故障域和接入平台；评估是否需要独立检索存储、消息队列、高可用和多租户能力。</w:t>
      </w:r>
    </w:p>
    <w:p>
      <w:pPr>
        <w:pStyle w:val="Heading1"/>
      </w:pPr>
      <w:r>
        <w:t>十、试点验收与价值测量</w:t>
      </w:r>
    </w:p>
    <w:p>
      <w:pPr>
        <w:pStyle w:val="Heading2"/>
      </w:pPr>
      <w:r>
        <w:t>10.1 安全硬门禁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原始数据来源、设备身份和字段来源可追溯；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缺少完整SN、机架位或操作许可时不得推进高风险操作；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AI不得产生未经授权的基础设施写操作；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无证据时必须保持候选或证据不足；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模型、知识、提示词和约束版本可追溯并可回滚；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模型或外部平台故障时，基础事件与人工流程仍可用；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模拟数据、公开数据和生产数据始终隔离并明确标识。</w:t>
      </w:r>
    </w:p>
    <w:p>
      <w:pPr>
        <w:pStyle w:val="Heading2"/>
      </w:pPr>
      <w:r>
        <w:t>10.2 效率指标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试点前先测量现有流程基线，再比较以下指标：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从首次告警到获得首份可用证据摘要的时间；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从呼叫现场到现场获得完整操作信息的时间；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单个事故跨平台和沟通窗口切换次数；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接口人与现场之间的重复问答次数；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重复工单和重复排查次数；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从操作完成到工单反馈完成的时间；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知识建议被采纳、驳回和判定不适用的比例。</w:t>
      </w:r>
    </w:p>
    <w:p>
      <w:pPr>
        <w:pStyle w:val="Heading2"/>
      </w:pPr>
      <w:r>
        <w:t>10.3 调查质量指标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设备身份正确关联率；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证据引用完整率；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候选原因覆盖率；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证据不足时正确停止率；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错误合并和错误拆分的人工纠正率；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恢复信号与业务实际恢复的一致性；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AI相对规则基线的增益和新增错误。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效率和准确率目标值应在获得真实基线后由试点双方确认。本立项报告不预先承诺未经验证的节省比例。</w:t>
      </w:r>
    </w:p>
    <w:p>
      <w:pPr>
        <w:pStyle w:val="Heading1"/>
      </w:pPr>
      <w:r>
        <w:t>十一、项目组织与资源需求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建议设置以下责任，不预设具体人员数量和预算：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项目负责人：</w:t>
      </w:r>
      <w:r>
        <w:rPr>
          <w:rFonts w:ascii="Arial Unicode MS" w:hAnsi="Arial Unicode MS" w:eastAsia="Arial Unicode MS"/>
          <w:color w:val="172B3A"/>
          <w:sz w:val="22"/>
        </w:rPr>
        <w:t xml:space="preserve"> 负责立项范围、资源、里程碑和跨团队协调；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产品负责人：</w:t>
      </w:r>
      <w:r>
        <w:rPr>
          <w:rFonts w:ascii="Arial Unicode MS" w:hAnsi="Arial Unicode MS" w:eastAsia="Arial Unicode MS"/>
          <w:color w:val="172B3A"/>
          <w:sz w:val="22"/>
        </w:rPr>
        <w:t xml:space="preserve"> 负责需求、流程、验收和版本边界；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AI/算法负责人：</w:t>
      </w:r>
      <w:r>
        <w:rPr>
          <w:rFonts w:ascii="Arial Unicode MS" w:hAnsi="Arial Unicode MS" w:eastAsia="Arial Unicode MS"/>
          <w:color w:val="172B3A"/>
          <w:sz w:val="22"/>
        </w:rPr>
        <w:t xml:space="preserve"> 负责RAG、Agent、模型选择、评测和安全约束；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后端与集成研发：</w:t>
      </w:r>
      <w:r>
        <w:rPr>
          <w:rFonts w:ascii="Arial Unicode MS" w:hAnsi="Arial Unicode MS" w:eastAsia="Arial Unicode MS"/>
          <w:color w:val="172B3A"/>
          <w:sz w:val="22"/>
        </w:rPr>
        <w:t xml:space="preserve"> 负责数据接入、事件治理、平台接口和审计；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前端研发：</w:t>
      </w:r>
      <w:r>
        <w:rPr>
          <w:rFonts w:ascii="Arial Unicode MS" w:hAnsi="Arial Unicode MS" w:eastAsia="Arial Unicode MS"/>
          <w:color w:val="172B3A"/>
          <w:sz w:val="22"/>
        </w:rPr>
        <w:t xml:space="preserve"> 负责角色工作台和现场可用性；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测试负责人：</w:t>
      </w:r>
      <w:r>
        <w:rPr>
          <w:rFonts w:ascii="Arial Unicode MS" w:hAnsi="Arial Unicode MS" w:eastAsia="Arial Unicode MS"/>
          <w:color w:val="172B3A"/>
          <w:sz w:val="22"/>
        </w:rPr>
        <w:t xml:space="preserve"> 负责测试集、盲测、回归、性能和试点验收；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系统组、网络组和现场代表：</w:t>
      </w:r>
      <w:r>
        <w:rPr>
          <w:rFonts w:ascii="Arial Unicode MS" w:hAnsi="Arial Unicode MS" w:eastAsia="Arial Unicode MS"/>
          <w:color w:val="172B3A"/>
          <w:sz w:val="22"/>
        </w:rPr>
        <w:t xml:space="preserve"> 提供真实流程、样本和业务验收；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b/>
          <w:color w:val="172B3A"/>
          <w:sz w:val="22"/>
        </w:rPr>
        <w:t>安全与运维人员：</w:t>
      </w:r>
      <w:r>
        <w:rPr>
          <w:rFonts w:ascii="Arial Unicode MS" w:hAnsi="Arial Unicode MS" w:eastAsia="Arial Unicode MS"/>
          <w:color w:val="172B3A"/>
          <w:sz w:val="22"/>
        </w:rPr>
        <w:t xml:space="preserve"> 负责数据授权、部署、密钥、备份和回滚评审。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硬件、模型算力、存储、监控底座和外部模型费用需要在确定部署方式、日志保留周期和试点规模后另行估算。</w:t>
      </w:r>
    </w:p>
    <w:p>
      <w:r>
        <w:br w:type="page"/>
      </w:r>
    </w:p>
    <w:p>
      <w:pPr>
        <w:pStyle w:val="Heading1"/>
      </w:pPr>
      <w:r>
        <w:t>十二、主要风险与控制措施</w:t>
      </w:r>
    </w:p>
    <w:p>
      <w:pPr>
        <w:pStyle w:val="Heading2"/>
      </w:pPr>
      <w:r>
        <w:t>12.1 数据无法接入或字段质量不足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先选择一个可接入的真实来源完成最小闭环；对其他来源保留人工导入；通过来源健康和字段质量明确展示缺口，不让模型补猜。</w:t>
      </w:r>
    </w:p>
    <w:p>
      <w:pPr>
        <w:pStyle w:val="Heading2"/>
      </w:pPr>
      <w:r>
        <w:t>12.2 AI结论看似合理但实际错误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采用证据引用、竞争原因、反证、结构化输出和人工反馈；设置规则基线对照；真实模型必须经过盲测和影子运行后才能进入辅助流程。</w:t>
      </w:r>
    </w:p>
    <w:p>
      <w:pPr>
        <w:pStyle w:val="Heading2"/>
      </w:pPr>
      <w:r>
        <w:t>12.3 设备和厂商差异导致知识失效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知识按厂商、型号、固件、操作系统和版本标注适用范围；通用知识与厂商专属知识分开；错误或不适用反馈进入审核，不自动覆盖旧经验。</w:t>
      </w:r>
    </w:p>
    <w:p>
      <w:pPr>
        <w:pStyle w:val="Heading2"/>
      </w:pPr>
      <w:r>
        <w:t>12.4 现场操作责任不清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AI建议与操作授权分离；完整SN、机架位、操作许可和复核记录不可缺失；紧急场景仍按既有电话和人工升级机制处理。</w:t>
      </w:r>
    </w:p>
    <w:p>
      <w:pPr>
        <w:pStyle w:val="Heading2"/>
      </w:pPr>
      <w:r>
        <w:t>12.5 单机架构无法支持生产规模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当前原型用于验证产品闭环。试点阶段根据实际吞吐、并发和保留周期评估消息队列、时序存储、检索集群、高可用数据库和灾备方案。</w:t>
      </w:r>
    </w:p>
    <w:p>
      <w:pPr>
        <w:pStyle w:val="Heading2"/>
      </w:pPr>
      <w:r>
        <w:t>12.6 知识快速膨胀和内容重复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采用来源登记、版本、重复与冲突检测、人工审核、复审日期和真实使用反馈；不以卡片数量作为建设目标。</w:t>
      </w:r>
    </w:p>
    <w:p>
      <w:pPr>
        <w:pStyle w:val="Heading1"/>
      </w:pPr>
      <w:r>
        <w:t>十三、立项建议与待决策事项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建议批准进入“受控试点准备”阶段，暂不批准自动执行基础设施操作，也不将模拟结果对外宣传为生产成绩。</w:t>
      </w:r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立项评审需要确认：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首个试点机房和设备范围；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首个真实数据源及只读授权方式；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资产与拓扑的权威来源；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系统组、网络组、现场和安全代表；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模型部署边界：客户本地、合作厂商私有化或授权云模型；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影子运行周期和基线测量方式；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试点退出、回滚和事故责任机制。</w:t>
      </w:r>
    </w:p>
    <w:p>
      <w:r>
        <w:br w:type="page"/>
      </w:r>
    </w:p>
    <w:p>
      <w:pPr>
        <w:pStyle w:val="Heading1"/>
      </w:pPr>
      <w:r>
        <w:t>十四、参考依据</w:t>
      </w:r>
    </w:p>
    <w:p>
      <w:pPr>
        <w:pStyle w:val="Heading2"/>
      </w:pPr>
      <w:r>
        <w:t>14.1 项目内部依据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当前代码、README、API、数据库和页面；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已确认的MVP、审计调查链、接入实验室、告警治理和生产近似沙盒设计；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自动测试、合成日志、公开样本和浏览器验证报告；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/>
          <w:color w:val="172B3A"/>
          <w:sz w:val="22"/>
        </w:rPr>
        <w:t>产品发起人提供的IDC现场流程、OMS截图、沟通方式与操作边界。</w:t>
      </w:r>
    </w:p>
    <w:p>
      <w:pPr>
        <w:pStyle w:val="Heading2"/>
      </w:pPr>
      <w:r>
        <w:t>14.2 外部权威资料方向</w:t>
      </w:r>
    </w:p>
    <w:p>
      <w:pPr>
        <w:numPr>
          <w:ilvl w:val="0"/>
          <w:numId w:val="10"/>
        </w:numPr>
        <w:spacing w:after="80" w:line="290" w:lineRule="auto"/>
      </w:pPr>
      <w:hyperlink r:id="rId13">
        <w:r>
          <w:rPr>
            <w:rFonts w:ascii="Arial Unicode MS" w:hAnsi="Arial Unicode MS" w:eastAsia="Arial Unicode MS"/>
            <w:color w:val="176B87"/>
            <w:u w:val="single"/>
            <w:sz w:val="20"/>
          </w:rPr>
          <w:t>Linux Kernel RAS 与 EDAC 官方文档</w:t>
        </w:r>
      </w:hyperlink>
    </w:p>
    <w:p>
      <w:pPr>
        <w:numPr>
          <w:ilvl w:val="0"/>
          <w:numId w:val="10"/>
        </w:numPr>
        <w:spacing w:after="80" w:line="290" w:lineRule="auto"/>
      </w:pPr>
      <w:hyperlink r:id="rId14">
        <w:r>
          <w:rPr>
            <w:rFonts w:ascii="Arial Unicode MS" w:hAnsi="Arial Unicode MS" w:eastAsia="Arial Unicode MS"/>
            <w:color w:val="176B87"/>
            <w:u w:val="single"/>
            <w:sz w:val="20"/>
          </w:rPr>
          <w:t>DMTF Redfish 标准与数据模型</w:t>
        </w:r>
      </w:hyperlink>
    </w:p>
    <w:p>
      <w:pPr>
        <w:numPr>
          <w:ilvl w:val="0"/>
          <w:numId w:val="10"/>
        </w:numPr>
        <w:spacing w:after="80" w:line="290" w:lineRule="auto"/>
      </w:pPr>
      <w:hyperlink r:id="rId15">
        <w:r>
          <w:rPr>
            <w:rFonts w:ascii="Arial Unicode MS" w:hAnsi="Arial Unicode MS" w:eastAsia="Arial Unicode MS"/>
            <w:color w:val="176B87"/>
            <w:u w:val="single"/>
            <w:sz w:val="20"/>
          </w:rPr>
          <w:t>OpenTelemetry 语义规范</w:t>
        </w:r>
      </w:hyperlink>
    </w:p>
    <w:p>
      <w:pPr>
        <w:numPr>
          <w:ilvl w:val="0"/>
          <w:numId w:val="10"/>
        </w:numPr>
        <w:spacing w:after="80" w:line="290" w:lineRule="auto"/>
      </w:pPr>
      <w:hyperlink r:id="rId16">
        <w:r>
          <w:rPr>
            <w:rFonts w:ascii="Arial Unicode MS" w:hAnsi="Arial Unicode MS" w:eastAsia="Arial Unicode MS"/>
            <w:color w:val="176B87"/>
            <w:u w:val="single"/>
            <w:sz w:val="20"/>
          </w:rPr>
          <w:t>systemd journalctl 官方文档</w:t>
        </w:r>
      </w:hyperlink>
    </w:p>
    <w:p>
      <w:pPr>
        <w:numPr>
          <w:ilvl w:val="0"/>
          <w:numId w:val="10"/>
        </w:numPr>
        <w:spacing w:after="80" w:line="290" w:lineRule="auto"/>
      </w:pPr>
      <w:hyperlink r:id="rId17">
        <w:r>
          <w:rPr>
            <w:rFonts w:ascii="Arial Unicode MS" w:hAnsi="Arial Unicode MS" w:eastAsia="Arial Unicode MS"/>
            <w:color w:val="176B87"/>
            <w:u w:val="single"/>
            <w:sz w:val="20"/>
          </w:rPr>
          <w:t>Cisco 链路抖动与光模块排障资料</w:t>
        </w:r>
      </w:hyperlink>
    </w:p>
    <w:p>
      <w:pPr>
        <w:spacing w:after="160" w:line="320" w:lineRule="auto"/>
        <w:jc w:val="both"/>
      </w:pPr>
      <w:r>
        <w:rPr>
          <w:rFonts w:ascii="Arial Unicode MS" w:hAnsi="Arial Unicode MS" w:eastAsia="Arial Unicode MS"/>
          <w:color w:val="172B3A"/>
          <w:sz w:val="22"/>
        </w:rPr>
        <w:t>上述外部资料用于后续建立数据字段、知识来源和验证方法，不表示所有厂商、型号和客户环境均适用。</w:t>
      </w:r>
    </w:p>
    <w:p>
      <w:pPr>
        <w:pStyle w:val="Heading1"/>
      </w:pPr>
      <w:r>
        <w:t>十五、变更记录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560"/>
        <w:gridCol w:w="4560"/>
        <w:gridCol w:w="204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20" w:after="2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20" w:after="2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20" w:after="2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3465B"/>
          </w:tcPr>
          <w:p>
            <w:pPr>
              <w:spacing w:before="20" w:after="20" w:line="276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V0.1</w:t>
            </w:r>
          </w:p>
        </w:tc>
        <w:tc>
          <w:tcPr>
            <w:tcW w:type="dxa" w:w="1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2026-08-27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立项评审稿</w:t>
            </w:r>
          </w:p>
        </w:tc>
        <w:tc>
          <w:tcPr>
            <w:tcW w:type="dxa" w:w="2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20" w:after="20" w:line="276" w:lineRule="auto"/>
            </w:pPr>
            <w:r>
              <w:rPr>
                <w:rFonts w:ascii="Arial Unicode MS" w:hAnsi="Arial Unicode MS" w:eastAsia="Arial Unicode MS"/>
                <w:b w:val="0"/>
                <w:color w:val="172B3A"/>
                <w:sz w:val="19"/>
              </w:rPr>
              <w:t>首次形成，明确当前能力、真实差距、试点路线和责任边界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9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9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67985"/>
        <w:sz w:val="18"/>
      </w:rPr>
      <w:t>内部资料 · 立项评审稿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5" w:color="D4E1E5"/>
      </w:pBdr>
    </w:pPr>
    <w:r>
      <w:rPr>
        <w:rFonts w:ascii="Arial Unicode MS" w:hAnsi="Arial Unicode MS" w:eastAsia="Arial Unicode MS"/>
        <w:color w:val="667985"/>
        <w:sz w:val="17"/>
      </w:rPr>
      <w:t>机鉴 · IDC AI故障调查与现场协同平台  |  产品立项报告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Arial Unicode MS" w:hAnsi="Arial Unicode MS" w:eastAsia="Arial Unicode MS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346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docs.kernel.org/6.11/admin-guide/RAS/main.html" TargetMode="External"/><Relationship Id="rId14" Type="http://schemas.openxmlformats.org/officeDocument/2006/relationships/hyperlink" Target="https://www.dmtf.org/standards/redfish" TargetMode="External"/><Relationship Id="rId15" Type="http://schemas.openxmlformats.org/officeDocument/2006/relationships/hyperlink" Target="https://opentelemetry.io/docs/specs/semconv/" TargetMode="External"/><Relationship Id="rId16" Type="http://schemas.openxmlformats.org/officeDocument/2006/relationships/hyperlink" Target="https://www.freedesktop.org/software/systemd/man/255/journalctl.html" TargetMode="External"/><Relationship Id="rId17" Type="http://schemas.openxmlformats.org/officeDocument/2006/relationships/hyperlink" Target="https://www.cisco.com/c/en/us/support/docs/switches/nexus-9000-series-switches/221572-troubleshoot-link-flap-issue-on-nexus-9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机鉴 · IDC AI故障调查与现场协同平台 产品立项报告</dc:title>
  <dc:subject>公司内部立项、产品评审、研发与试点准备</dc:subject>
  <dc:creator>机鉴项目组</dc:creator>
  <cp:keywords>IDC, AI, 故障调查, RAG, Agent, 现场协同</cp:keywords>
  <dc:description>V0.1 立项评审稿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