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3200"/>
        <w:jc w:val="center"/>
      </w:pPr>
      <w:r>
        <w:rPr>
          <w:rFonts w:ascii="SimHei" w:cs="SimHei" w:eastAsia="SimHei" w:hAnsi="SimHei"/>
          <w:b/>
          <w:bCs/>
          <w:sz w:val="36"/>
          <w:szCs w:val="36"/>
        </w:rPr>
        <w:t xml:space="preserve">基于 Spring Boot 的异构数据库迁移与增量同步平台的设计与实现</w:t>
      </w:r>
    </w:p>
    <w:p>
      <w:pPr>
        <w:spacing w:after="300"/>
        <w:jc w:val="center"/>
      </w:pPr>
      <w:r>
        <w:rPr>
          <w:rFonts w:ascii="SimHei" w:cs="SimHei" w:eastAsia="SimHei" w:hAnsi="SimHei"/>
          <w:sz w:val="24"/>
          <w:szCs w:val="24"/>
        </w:rPr>
        <w:t xml:space="preserve">毕业设计技术内容稿</w:t>
      </w:r>
    </w:p>
    <w:p>
      <w:pPr>
        <w:spacing w:before="800"/>
        <w:jc w:val="center"/>
      </w:pPr>
      <w:r>
        <w:rPr>
          <w:sz w:val="20"/>
          <w:szCs w:val="20"/>
        </w:rPr>
        <w:t xml:space="preserve">待按本人的学校正式模板填写封面、声明、作者与导师信息</w:t>
      </w:r>
    </w:p>
    <w:p>
      <w:pPr>
        <w:pageBreakBefore/>
      </w:pPr>
      <w:r>
        <w:rPr>
          <w:rFonts w:ascii="SimHei" w:cs="SimHei" w:eastAsia="SimHei" w:hAnsi="SimHei"/>
          <w:b/>
          <w:bCs/>
          <w:sz w:val="30"/>
          <w:szCs w:val="30"/>
        </w:rPr>
        <w:t xml:space="preserve">目录（在 Word 中更新目录域）</w:t>
      </w:r>
    </w:p>
    <w:sdt>
      <w:sdtPr>
        <w:alias w:val="目录"/>
      </w:sdtPr>
      <w:sdtContent>
        <w:p>
          <w:r>
            <w:fldChar w:fldCharType="begin" w:dirty="true"/>
            <w:instrText xml:space="preserve">TOC \h \o "1-3"</w:instrText>
            <w:fldChar w:fldCharType="separate"/>
          </w:r>
        </w:p>
        <w:p>
          <w:r>
            <w:fldChar w:fldCharType="end"/>
          </w:r>
        </w:p>
      </w:sdtContent>
    </w:sdt>
    <w:p>
      <w:pPr>
        <w:pageBreakBefore/>
      </w:pPr>
    </w:p>
    <w:p>
      <w:pPr>
        <w:pStyle w:val="Quote"/>
      </w:pPr>
      <w:r>
        <w:t xml:space="preserve">正文技术草稿，2026-10-20。本文只写本仓库已实现、已验证的事实；全量性能、CDC 延迟和三个故障窗口重复实验已完成。可审阅的 </w:t>
      </w:r>
      <w:r>
        <w:rPr>
          <w:rFonts w:ascii="Consolas" w:cs="Consolas" w:eastAsia="Consolas" w:hAnsi="Consolas"/>
          <w:color w:val="234F70"/>
        </w:rPr>
        <w:t xml:space="preserve">databridge-thesis-content-draft.docx</w:t>
      </w:r>
      <w:r>
        <w:t xml:space="preserve"> 由本文件生成，尚非学校模板终稿；封面、声明、目录、字号和页码须按本人的学校正式模板排版。其他同学的毕业设计仅用于观察常见章节层级，不作为本文内容来源。</w:t>
      </w:r>
    </w:p>
    <w:p>
      <w:pPr>
        <w:pStyle w:val="Heading1"/>
        <w:spacing w:after="150" w:before="340"/>
      </w:pPr>
      <w:r>
        <w:t xml:space="preserve">摘要</w:t>
      </w:r>
    </w:p>
    <w:p>
      <w:pPr>
        <w:pStyle w:val="Normal"/>
        <w:spacing w:after="130" w:line="360"/>
        <w:ind w:firstLine="420"/>
      </w:pPr>
      <w:r>
        <w:t xml:space="preserve">业务系统更换数据库时，既有数据需要转移到新平台，而迁移期间源库可能继续接收写入。单纯执行一次全量复制会遗漏复制开始后的修改；简单地让全量复制和变更事件同时写入目标库，又可能发生旧的全量批次覆盖较新事件的问题。针对这一具体场景，本文设计并实现了 DataBridge：一个限定于单机、单表、MySQL 到 PostgreSQL 的迁移与增量同步平台。系统用 JDBC 按主键分批执行全量复制，以 Debezium Engine 读取 MySQL Binlog，将增量事件先写入 PostgreSQL 持久日志；全量结束后按顺序回放事件，再转入持续同步。批次写入与复制检查点、事件应用与应用游标分别位于同一目标库事务中，以支持中断后的继续处理。系统还提供源端停写条件下的双探针分块一致性校验，以及任务管理 API 和本机网页控制台。真实双库集成测试覆盖增删改衔接、重复事件、事务回滚、进程重启恢复、类型边界和差异定位。本文不将这一受限实现称为通用异构迁移平台，也不将开发期预实验作为正式性能结论。</w:t>
      </w:r>
    </w:p>
    <w:p>
      <w:pPr>
        <w:pStyle w:val="Normal"/>
        <w:spacing w:after="130" w:line="360"/>
        <w:ind w:firstLine="420"/>
      </w:pPr>
      <w:r>
        <w:rPr>
          <w:b/>
          <w:bCs/>
        </w:rPr>
        <w:t xml:space="preserve">关键词：</w:t>
      </w:r>
      <w:r>
        <w:t xml:space="preserve"> 异构数据库迁移；变更数据捕获；MySQL；PostgreSQL；检查点；一致性校验</w:t>
      </w:r>
    </w:p>
    <w:p>
      <w:pPr>
        <w:pStyle w:val="Heading1"/>
        <w:spacing w:after="150" w:before="340"/>
      </w:pPr>
      <w:r>
        <w:t xml:space="preserve">Abstract</w:t>
      </w:r>
    </w:p>
    <w:p>
      <w:pPr>
        <w:pStyle w:val="Normal"/>
        <w:spacing w:after="130" w:line="360"/>
        <w:ind w:firstLine="420"/>
      </w:pPr>
      <w:r>
        <w:t xml:space="preserve">Database migration must transfer existing records while preserving changes committed during the copy. A one-time copy misses later updates, whereas concurrent full-copy and CDC writes can let an older batch overwrite a newer value. This thesis presents DataBridge, a single-process, single-table MySQL-to-PostgreSQL migration and incremental synchronization system. JDBC keyset pagination performs bounded full copy. Debezium Engine captures MySQL binary-log events and stores them durably before acknowledgment. The system replays these events in order after the copy and then continues streaming. Copy checkpoints and target writes share a transaction; event cursors and applied writes share another. A two-probe, paged verification procedure reports deterministic consistency only when the source remains quiet. Integration tests with real MySQL and PostgreSQL cover handoff, restart, rollback, type boundaries, and difference detection. The implementation is intentionally limited to a defined schema and deployment scope rather than claiming universal cross-database consistency. Formal performance and latency findings will be added only after repeatable experiments are completed.</w:t>
      </w:r>
    </w:p>
    <w:p>
      <w:pPr>
        <w:pStyle w:val="Normal"/>
        <w:spacing w:after="130" w:line="360"/>
        <w:ind w:firstLine="420"/>
      </w:pPr>
      <w:r>
        <w:rPr>
          <w:b/>
          <w:bCs/>
        </w:rPr>
        <w:t xml:space="preserve">Keywords:</w:t>
      </w:r>
      <w:r>
        <w:t xml:space="preserve"> database migration; change data capture; MySQL; PostgreSQL; checkpoint; verification</w:t>
      </w:r>
    </w:p>
    <w:p>
      <w:pPr>
        <w:pStyle w:val="Heading1"/>
        <w:spacing w:after="150" w:before="340"/>
      </w:pPr>
      <w:r>
        <w:t xml:space="preserve">1 绪论</w:t>
      </w:r>
    </w:p>
    <w:p>
      <w:pPr>
        <w:pStyle w:val="Heading2"/>
        <w:spacing w:after="150" w:before="220"/>
      </w:pPr>
      <w:r>
        <w:t xml:space="preserve">1.1 研究背景与问题</w:t>
      </w:r>
    </w:p>
    <w:p>
      <w:pPr>
        <w:pStyle w:val="Normal"/>
        <w:spacing w:after="130" w:line="360"/>
        <w:ind w:firstLine="420"/>
      </w:pPr>
      <w:r>
        <w:t xml:space="preserve">数据迁移既包含历史存量的搬运，也包含搬运期间新发生的变化。对于仍在营业的系统，源表不一定能长期停写；若全量复制从第一行读到最后一行需要数分钟，复制期间的插入、更新和删除必须被保留。因此核心问题不是“如何把两个数据库连通”，而是如何定义可靠的交接边界，以及故障后如何判断已经完成到哪一步。</w:t>
      </w:r>
    </w:p>
    <w:p>
      <w:pPr>
        <w:pStyle w:val="Normal"/>
        <w:spacing w:after="130" w:line="360"/>
        <w:ind w:firstLine="420"/>
      </w:pPr>
      <w:r>
        <w:t xml:space="preserve">常见的错误方案有两类。第一类只在某一时刻导出并导入，它无法覆盖之后的源端提交。第二类先启动 CDC，然后允许 CDC 消费者和全量复制器同时写同一目标表；即使目标写入采用 UPSERT，较晚提交的旧快照仍可能覆盖更早到达的新事件。本文选择全量期间只记录事件、暂不应用到业务目标表，然后先完成全量、再顺序回放。这个写入隔离是平台正确性的主线。</w:t>
      </w:r>
    </w:p>
    <w:p>
      <w:pPr>
        <w:pStyle w:val="Heading2"/>
        <w:spacing w:after="150" w:before="220"/>
      </w:pPr>
      <w:r>
        <w:t xml:space="preserve">1.2 研究目标与意义</w:t>
      </w:r>
    </w:p>
    <w:p>
      <w:pPr>
        <w:pStyle w:val="Normal"/>
        <w:spacing w:after="130" w:line="360"/>
        <w:ind w:firstLine="420"/>
      </w:pPr>
      <w:r>
        <w:t xml:space="preserve">本文目标是给出一个范围明确、可运行、可复验的工程实现：在 MySQL 源端持续产生变更和服务可能中断的条件下，将单表迁移到 PostgreSQL，并在源端停写且事件追平后检查最终状态。工程重点包括：固定起始捕获边界、全量与增量无空窗衔接、幂等事件入库、事务性检查点、按序回放、可观察状态和差异报告。Debezium 负责 Binlog 解析，本文的自研部分是围绕捕获事件的存储、搬运、调度、回放与验证；不把第三方解析器的内部能力写成原创算法。</w:t>
      </w:r>
    </w:p>
    <w:p>
      <w:pPr>
        <w:pStyle w:val="Heading2"/>
        <w:spacing w:after="150" w:before="220"/>
      </w:pPr>
      <w:r>
        <w:t xml:space="preserve">1.3 技术背景与相关方案</w:t>
      </w:r>
    </w:p>
    <w:p>
      <w:pPr>
        <w:pStyle w:val="Normal"/>
        <w:spacing w:after="130" w:line="360"/>
        <w:ind w:firstLine="420"/>
      </w:pPr>
      <w:r>
        <w:t xml:space="preserve">MySQL 的行级二进制日志提供事务变更的基础信息；本项目固定 ROW 格式和完整行镜像，以便更新事件有足够字段可映射。Debezium MySQL Connector 提供 </w:t>
      </w:r>
      <w:r>
        <w:rPr>
          <w:rFonts w:ascii="Consolas" w:cs="Consolas" w:eastAsia="Consolas" w:hAnsi="Consolas"/>
          <w:color w:val="234F70"/>
        </w:rPr>
        <w:t xml:space="preserve">no_data</w:t>
      </w:r>
      <w:r>
        <w:t xml:space="preserve"> 模式，即捕获相关表结构而不复制业务数据，这使自研 JDBC 全量通道能够承担初始搬运。</w:t>
      </w:r>
      <w:r>
        <w:rPr>
          <w:color w:val="1B4B80"/>
        </w:rPr>
        <w:t xml:space="preserve">MySQL 8.4 Binary Logging 文档</w:t>
      </w:r>
      <w:r>
        <w:t xml:space="preserve">与</w:t>
      </w:r>
      <w:r>
        <w:rPr>
          <w:color w:val="1B4B80"/>
        </w:rPr>
        <w:t xml:space="preserve">Debezium MySQL Connector 文档</w:t>
      </w:r>
      <w:r>
        <w:t xml:space="preserve">描述了相应的日志与快照机制。PostgreSQL </w:t>
      </w:r>
      <w:r>
        <w:rPr>
          <w:rFonts w:ascii="Consolas" w:cs="Consolas" w:eastAsia="Consolas" w:hAnsi="Consolas"/>
          <w:color w:val="234F70"/>
        </w:rPr>
        <w:t xml:space="preserve">ON CONFLICT</w:t>
      </w:r>
      <w:r>
        <w:t xml:space="preserve"> 提供目标主键冲突时的更新路径，但它只解决单次目标写入的冲突，并不自动解决两条写入通道的先后顺序问题。</w:t>
      </w:r>
      <w:r>
        <w:rPr>
          <w:color w:val="1B4B80"/>
        </w:rPr>
        <w:t xml:space="preserve">PostgreSQL 17 INSERT 文档</w:t>
      </w:r>
    </w:p>
    <w:p>
      <w:pPr>
        <w:pStyle w:val="Normal"/>
        <w:spacing w:after="130" w:line="360"/>
        <w:ind w:firstLine="420"/>
      </w:pPr>
      <w:r>
        <w:t xml:space="preserve">Thalheim 与 Wang 从数据模型、模式变换和正确性验证角度研究迁移问题，提示迁移并非只复制字节，还须明确映射语义与验收性质。本文不处理任意模式变换，而是在固定字段映射下通过前置检查拒绝不兼容结构，并把关注点放到在线变更衔接与恢复。</w:t>
      </w:r>
      <w:r>
        <w:rPr>
          <w:color w:val="1B4B80"/>
        </w:rPr>
        <w:t xml:space="preserve">Thalheim 与 Wang，2013</w:t>
      </w:r>
    </w:p>
    <w:p>
      <w:pPr>
        <w:pStyle w:val="Normal"/>
        <w:spacing w:after="130" w:line="360"/>
        <w:ind w:firstLine="420"/>
      </w:pPr>
      <w:r>
        <w:t xml:space="preserve">相关研究中的 DBLog 使用水位标记，将按块读取的全量数据与持续到来的变更事件交织处理，使日志流在回填期间仍可前进。本文同样面对“历史快照与新事件如何排序”的问题，但采用更窄的工程选择：全量期间持久保存事件、暂不把事件写到目标业务表，待全量完成后统一回放。它降低了写入竞争的复杂度，代价是全量期间目标业务表并不实时反映最新变化，且事件日志必须容纳积压；因此不应把两种方案说成同一算法。</w:t>
      </w:r>
      <w:r>
        <w:rPr>
          <w:color w:val="1B4B80"/>
        </w:rPr>
        <w:t xml:space="preserve">Andreakis 与 Papapanagiotou，DBLog，2020</w:t>
      </w:r>
    </w:p>
    <w:p>
      <w:pPr>
        <w:pStyle w:val="Normal"/>
        <w:spacing w:after="130" w:line="360"/>
        <w:ind w:firstLine="420"/>
      </w:pPr>
      <w:r>
        <w:t xml:space="preserve">现成迁移工具通常提供更广泛的数据源或部署选项，但本课题选择缩小功能边界，以便对正确性和故障恢复给出测试证据。它不比较未经同条件测试的第三方产品吞吐，也不推断不同数据库之间存在统一的全局事务。</w:t>
      </w:r>
    </w:p>
    <w:p>
      <w:pPr>
        <w:pStyle w:val="Heading2"/>
        <w:spacing w:after="150" w:before="220"/>
      </w:pPr>
      <w:r>
        <w:t xml:space="preserve">1.4 研究内容与章节安排</w:t>
      </w:r>
    </w:p>
    <w:p>
      <w:pPr>
        <w:pStyle w:val="Normal"/>
        <w:spacing w:after="130" w:line="360"/>
        <w:ind w:firstLine="420"/>
      </w:pPr>
      <w:r>
        <w:t xml:space="preserve">第 2 章明确支持范围与验收条件；第 3 章描述分层架构、运行流程和持久化模型；第 4 章论证捕获就绪、分批复制、事件回放与校验算法；第 5 章介绍实际工程实现；第 6 章汇总功能测试和可重复实验；第 7 章讨论边界和扩展。所有性能指标应由 </w:t>
      </w:r>
      <w:r>
        <w:rPr>
          <w:rFonts w:ascii="Consolas" w:cs="Consolas" w:eastAsia="Consolas" w:hAnsi="Consolas"/>
          <w:color w:val="234F70"/>
        </w:rPr>
        <w:t xml:space="preserve">experiments/</w:t>
      </w:r>
      <w:r>
        <w:t xml:space="preserve"> 下逐次原始数据计算，不由单次截图或日志推断。</w:t>
      </w:r>
    </w:p>
    <w:p>
      <w:pPr>
        <w:pStyle w:val="Heading1"/>
        <w:spacing w:after="150" w:before="340"/>
      </w:pPr>
      <w:r>
        <w:t xml:space="preserve">2 需求分析</w:t>
      </w:r>
    </w:p>
    <w:p>
      <w:pPr>
        <w:pStyle w:val="Heading2"/>
        <w:spacing w:after="150" w:before="220"/>
      </w:pPr>
      <w:r>
        <w:t xml:space="preserve">2.1 使用场景与角色</w:t>
      </w:r>
    </w:p>
    <w:p>
      <w:pPr>
        <w:pStyle w:val="Normal"/>
        <w:spacing w:after="130" w:line="360"/>
        <w:ind w:firstLine="420"/>
      </w:pPr>
      <w:r>
        <w:t xml:space="preserve">使用者在本机配置两个数据库的连接环境变量，预先建立与源表字段兼容、内容为空的 PostgreSQL 业务目标表，再从网页或 HTTP API 创建同步任务。系统先捕获变更，然后复制历史行、回放积压变更并维持增量同步。使用者可查看状态、检查点与事件积压，执行暂停、继续、停止，并在源端停写后发起确定性校验。首版服务仅绑定回环地址且未提供身份认证，不应暴露给局域网或公网。</w:t>
      </w:r>
    </w:p>
    <w:p>
      <w:pPr>
        <w:pStyle w:val="Heading2"/>
        <w:spacing w:after="150" w:before="220"/>
      </w:pPr>
      <w:r>
        <w:t xml:space="preserve">2.2 功能需求</w:t>
      </w:r>
    </w:p>
    <w:tbl>
      <w:tblPr>
        <w:tblW w:type="dxa" w:w="9100"/>
        <w:tblBorders>
          <w:top w:val="single" w:color="8494A8" w:sz="4"/>
          <w:left w:val="single" w:color="auto" w:sz="4"/>
          <w:bottom w:val="single" w:color="8494A8" w:sz="4"/>
          <w:right w:val="single" w:color="auto" w:sz="4"/>
          <w:insideH w:val="single" w:color="CCD4DE" w:sz="3"/>
          <w:insideV w:val="single" w:color="CCD4DE" w:sz="3"/>
        </w:tblBorders>
      </w:tblPr>
      <w:tblGrid>
        <w:gridCol w:w="3033"/>
        <w:gridCol w:w="3033"/>
        <w:gridCol w:w="3034"/>
      </w:tblGrid>
      <w:tr>
        <w:trPr>
          <w:tblHeader/>
        </w:trPr>
        <w:tc>
          <w:tcPr>
            <w:tcW w:type="dxa" w:w="3033"/>
            <w:shd w:fill="E8EDF3" w:val="clear"/>
            <w:tcMar>
              <w:top w:type="dxa" w:w="90"/>
              <w:left w:type="dxa" w:w="110"/>
              <w:bottom w:type="dxa" w:w="90"/>
              <w:right w:type="dxa" w:w="110"/>
            </w:tcMar>
          </w:tcPr>
          <w:p>
            <w:pPr>
              <w:spacing w:after="0" w:line="240"/>
              <w:jc w:val="left"/>
            </w:pPr>
            <w:r>
              <w:rPr>
                <w:b/>
                <w:bCs/>
              </w:rPr>
              <w:t xml:space="preserve">编号</w:t>
            </w:r>
          </w:p>
        </w:tc>
        <w:tc>
          <w:tcPr>
            <w:tcW w:type="dxa" w:w="3033"/>
            <w:shd w:fill="E8EDF3" w:val="clear"/>
            <w:tcMar>
              <w:top w:type="dxa" w:w="90"/>
              <w:left w:type="dxa" w:w="110"/>
              <w:bottom w:type="dxa" w:w="90"/>
              <w:right w:type="dxa" w:w="110"/>
            </w:tcMar>
          </w:tcPr>
          <w:p>
            <w:pPr>
              <w:spacing w:after="0" w:line="240"/>
              <w:jc w:val="left"/>
            </w:pPr>
            <w:r>
              <w:rPr>
                <w:b/>
                <w:bCs/>
              </w:rPr>
              <w:t xml:space="preserve">需求</w:t>
            </w:r>
          </w:p>
        </w:tc>
        <w:tc>
          <w:tcPr>
            <w:tcW w:type="dxa" w:w="3034"/>
            <w:shd w:fill="E8EDF3" w:val="clear"/>
            <w:tcMar>
              <w:top w:type="dxa" w:w="90"/>
              <w:left w:type="dxa" w:w="110"/>
              <w:bottom w:type="dxa" w:w="90"/>
              <w:right w:type="dxa" w:w="110"/>
            </w:tcMar>
          </w:tcPr>
          <w:p>
            <w:pPr>
              <w:spacing w:after="0" w:line="240"/>
              <w:jc w:val="left"/>
            </w:pPr>
            <w:r>
              <w:rPr>
                <w:b/>
                <w:bCs/>
              </w:rPr>
              <w:t xml:space="preserve">可验证的验收条件</w:t>
            </w:r>
          </w:p>
        </w:tc>
      </w:tr>
      <w:tr>
        <w:trPr>
          <w:tblHeader w:val="false"/>
        </w:trPr>
        <w:tc>
          <w:tcPr>
            <w:tcW w:type="dxa" w:w="3033"/>
            <w:tcMar>
              <w:top w:type="dxa" w:w="90"/>
              <w:left w:type="dxa" w:w="110"/>
              <w:bottom w:type="dxa" w:w="90"/>
              <w:right w:type="dxa" w:w="110"/>
            </w:tcMar>
          </w:tcPr>
          <w:p>
            <w:pPr>
              <w:spacing w:after="0" w:line="240"/>
              <w:jc w:val="left"/>
            </w:pPr>
            <w:r>
              <w:t xml:space="preserve">F1</w:t>
            </w:r>
          </w:p>
        </w:tc>
        <w:tc>
          <w:tcPr>
            <w:tcW w:type="dxa" w:w="3033"/>
            <w:tcMar>
              <w:top w:type="dxa" w:w="90"/>
              <w:left w:type="dxa" w:w="110"/>
              <w:bottom w:type="dxa" w:w="90"/>
              <w:right w:type="dxa" w:w="110"/>
            </w:tcMar>
          </w:tcPr>
          <w:p>
            <w:pPr>
              <w:spacing w:after="0" w:line="240"/>
              <w:jc w:val="left"/>
            </w:pPr>
            <w:r>
              <w:t xml:space="preserve">连接与结构检查</w:t>
            </w:r>
          </w:p>
        </w:tc>
        <w:tc>
          <w:tcPr>
            <w:tcW w:type="dxa" w:w="3034"/>
            <w:tcMar>
              <w:top w:type="dxa" w:w="90"/>
              <w:left w:type="dxa" w:w="110"/>
              <w:bottom w:type="dxa" w:w="90"/>
              <w:right w:type="dxa" w:w="110"/>
            </w:tcMar>
          </w:tcPr>
          <w:p>
            <w:pPr>
              <w:spacing w:after="0" w:line="240"/>
              <w:jc w:val="left"/>
            </w:pPr>
            <w:r>
              <w:t xml:space="preserve">显示两端连接与表/列信息；拒绝不兼容主键和目标非空表</w:t>
            </w:r>
          </w:p>
        </w:tc>
      </w:tr>
      <w:tr>
        <w:trPr>
          <w:tblHeader w:val="false"/>
        </w:trPr>
        <w:tc>
          <w:tcPr>
            <w:tcW w:type="dxa" w:w="3033"/>
            <w:tcMar>
              <w:top w:type="dxa" w:w="90"/>
              <w:left w:type="dxa" w:w="110"/>
              <w:bottom w:type="dxa" w:w="90"/>
              <w:right w:type="dxa" w:w="110"/>
            </w:tcMar>
          </w:tcPr>
          <w:p>
            <w:pPr>
              <w:spacing w:after="0" w:line="240"/>
              <w:jc w:val="left"/>
            </w:pPr>
            <w:r>
              <w:t xml:space="preserve">F2</w:t>
            </w:r>
          </w:p>
        </w:tc>
        <w:tc>
          <w:tcPr>
            <w:tcW w:type="dxa" w:w="3033"/>
            <w:tcMar>
              <w:top w:type="dxa" w:w="90"/>
              <w:left w:type="dxa" w:w="110"/>
              <w:bottom w:type="dxa" w:w="90"/>
              <w:right w:type="dxa" w:w="110"/>
            </w:tcMar>
          </w:tcPr>
          <w:p>
            <w:pPr>
              <w:spacing w:after="0" w:line="240"/>
              <w:jc w:val="left"/>
            </w:pPr>
            <w:r>
              <w:t xml:space="preserve">全量复制</w:t>
            </w:r>
          </w:p>
        </w:tc>
        <w:tc>
          <w:tcPr>
            <w:tcW w:type="dxa" w:w="3034"/>
            <w:tcMar>
              <w:top w:type="dxa" w:w="90"/>
              <w:left w:type="dxa" w:w="110"/>
              <w:bottom w:type="dxa" w:w="90"/>
              <w:right w:type="dxa" w:w="110"/>
            </w:tcMar>
          </w:tcPr>
          <w:p>
            <w:pPr>
              <w:spacing w:after="0" w:line="240"/>
              <w:jc w:val="left"/>
            </w:pPr>
            <w:r>
              <w:t xml:space="preserve">按 </w:t>
            </w:r>
            <w:r>
              <w:rPr>
                <w:rFonts w:ascii="Consolas" w:cs="Consolas" w:eastAsia="Consolas" w:hAnsi="Consolas"/>
                <w:color w:val="234F70"/>
              </w:rPr>
              <w:t xml:space="preserve">id</w:t>
            </w:r>
            <w:r>
              <w:t xml:space="preserve"> keyset 分批，固定最大主键上界，写入目标行与推进检查点同事务</w:t>
            </w:r>
          </w:p>
        </w:tc>
      </w:tr>
      <w:tr>
        <w:trPr>
          <w:tblHeader w:val="false"/>
        </w:trPr>
        <w:tc>
          <w:tcPr>
            <w:tcW w:type="dxa" w:w="3033"/>
            <w:tcMar>
              <w:top w:type="dxa" w:w="90"/>
              <w:left w:type="dxa" w:w="110"/>
              <w:bottom w:type="dxa" w:w="90"/>
              <w:right w:type="dxa" w:w="110"/>
            </w:tcMar>
          </w:tcPr>
          <w:p>
            <w:pPr>
              <w:spacing w:after="0" w:line="240"/>
              <w:jc w:val="left"/>
            </w:pPr>
            <w:r>
              <w:t xml:space="preserve">F3</w:t>
            </w:r>
          </w:p>
        </w:tc>
        <w:tc>
          <w:tcPr>
            <w:tcW w:type="dxa" w:w="3033"/>
            <w:tcMar>
              <w:top w:type="dxa" w:w="90"/>
              <w:left w:type="dxa" w:w="110"/>
              <w:bottom w:type="dxa" w:w="90"/>
              <w:right w:type="dxa" w:w="110"/>
            </w:tcMar>
          </w:tcPr>
          <w:p>
            <w:pPr>
              <w:spacing w:after="0" w:line="240"/>
              <w:jc w:val="left"/>
            </w:pPr>
            <w:r>
              <w:t xml:space="preserve">增量捕获</w:t>
            </w:r>
          </w:p>
        </w:tc>
        <w:tc>
          <w:tcPr>
            <w:tcW w:type="dxa" w:w="3034"/>
            <w:tcMar>
              <w:top w:type="dxa" w:w="90"/>
              <w:left w:type="dxa" w:w="110"/>
              <w:bottom w:type="dxa" w:w="90"/>
              <w:right w:type="dxa" w:w="110"/>
            </w:tcMar>
          </w:tcPr>
          <w:p>
            <w:pPr>
              <w:spacing w:after="0" w:line="240"/>
              <w:jc w:val="left"/>
            </w:pPr>
            <w:r>
              <w:t xml:space="preserve">读取 Binlog 的增删改事件，事件入库成功后才确认处理，重复事件由稳定键去重</w:t>
            </w:r>
          </w:p>
        </w:tc>
      </w:tr>
      <w:tr>
        <w:trPr>
          <w:tblHeader w:val="false"/>
        </w:trPr>
        <w:tc>
          <w:tcPr>
            <w:tcW w:type="dxa" w:w="3033"/>
            <w:tcMar>
              <w:top w:type="dxa" w:w="90"/>
              <w:left w:type="dxa" w:w="110"/>
              <w:bottom w:type="dxa" w:w="90"/>
              <w:right w:type="dxa" w:w="110"/>
            </w:tcMar>
          </w:tcPr>
          <w:p>
            <w:pPr>
              <w:spacing w:after="0" w:line="240"/>
              <w:jc w:val="left"/>
            </w:pPr>
            <w:r>
              <w:t xml:space="preserve">F4</w:t>
            </w:r>
          </w:p>
        </w:tc>
        <w:tc>
          <w:tcPr>
            <w:tcW w:type="dxa" w:w="3033"/>
            <w:tcMar>
              <w:top w:type="dxa" w:w="90"/>
              <w:left w:type="dxa" w:w="110"/>
              <w:bottom w:type="dxa" w:w="90"/>
              <w:right w:type="dxa" w:w="110"/>
            </w:tcMar>
          </w:tcPr>
          <w:p>
            <w:pPr>
              <w:spacing w:after="0" w:line="240"/>
              <w:jc w:val="left"/>
            </w:pPr>
            <w:r>
              <w:t xml:space="preserve">无空窗衔接</w:t>
            </w:r>
          </w:p>
        </w:tc>
        <w:tc>
          <w:tcPr>
            <w:tcW w:type="dxa" w:w="3034"/>
            <w:tcMar>
              <w:top w:type="dxa" w:w="90"/>
              <w:left w:type="dxa" w:w="110"/>
              <w:bottom w:type="dxa" w:w="90"/>
              <w:right w:type="dxa" w:w="110"/>
            </w:tcMar>
          </w:tcPr>
          <w:p>
            <w:pPr>
              <w:spacing w:after="0" w:line="240"/>
              <w:jc w:val="left"/>
            </w:pPr>
            <w:r>
              <w:t xml:space="preserve">全量期间不直接应用 CDC 到业务表；完成后按序回放再持续应用</w:t>
            </w:r>
          </w:p>
        </w:tc>
      </w:tr>
      <w:tr>
        <w:trPr>
          <w:tblHeader w:val="false"/>
        </w:trPr>
        <w:tc>
          <w:tcPr>
            <w:tcW w:type="dxa" w:w="3033"/>
            <w:tcMar>
              <w:top w:type="dxa" w:w="90"/>
              <w:left w:type="dxa" w:w="110"/>
              <w:bottom w:type="dxa" w:w="90"/>
              <w:right w:type="dxa" w:w="110"/>
            </w:tcMar>
          </w:tcPr>
          <w:p>
            <w:pPr>
              <w:spacing w:after="0" w:line="240"/>
              <w:jc w:val="left"/>
            </w:pPr>
            <w:r>
              <w:t xml:space="preserve">F5</w:t>
            </w:r>
          </w:p>
        </w:tc>
        <w:tc>
          <w:tcPr>
            <w:tcW w:type="dxa" w:w="3033"/>
            <w:tcMar>
              <w:top w:type="dxa" w:w="90"/>
              <w:left w:type="dxa" w:w="110"/>
              <w:bottom w:type="dxa" w:w="90"/>
              <w:right w:type="dxa" w:w="110"/>
            </w:tcMar>
          </w:tcPr>
          <w:p>
            <w:pPr>
              <w:spacing w:after="0" w:line="240"/>
              <w:jc w:val="left"/>
            </w:pPr>
            <w:r>
              <w:t xml:space="preserve">恢复与控制</w:t>
            </w:r>
          </w:p>
        </w:tc>
        <w:tc>
          <w:tcPr>
            <w:tcW w:type="dxa" w:w="3034"/>
            <w:tcMar>
              <w:top w:type="dxa" w:w="90"/>
              <w:left w:type="dxa" w:w="110"/>
              <w:bottom w:type="dxa" w:w="90"/>
              <w:right w:type="dxa" w:w="110"/>
            </w:tcMar>
          </w:tcPr>
          <w:p>
            <w:pPr>
              <w:spacing w:after="0" w:line="240"/>
              <w:jc w:val="left"/>
            </w:pPr>
            <w:r>
              <w:t xml:space="preserve">暂停/继续/停止可见；进程重启后从持久化位点、检查点与应用游标恢复</w:t>
            </w:r>
          </w:p>
        </w:tc>
      </w:tr>
      <w:tr>
        <w:trPr>
          <w:tblHeader w:val="false"/>
        </w:trPr>
        <w:tc>
          <w:tcPr>
            <w:tcW w:type="dxa" w:w="3033"/>
            <w:tcMar>
              <w:top w:type="dxa" w:w="90"/>
              <w:left w:type="dxa" w:w="110"/>
              <w:bottom w:type="dxa" w:w="90"/>
              <w:right w:type="dxa" w:w="110"/>
            </w:tcMar>
          </w:tcPr>
          <w:p>
            <w:pPr>
              <w:spacing w:after="0" w:line="240"/>
              <w:jc w:val="left"/>
            </w:pPr>
            <w:r>
              <w:t xml:space="preserve">F6</w:t>
            </w:r>
          </w:p>
        </w:tc>
        <w:tc>
          <w:tcPr>
            <w:tcW w:type="dxa" w:w="3033"/>
            <w:tcMar>
              <w:top w:type="dxa" w:w="90"/>
              <w:left w:type="dxa" w:w="110"/>
              <w:bottom w:type="dxa" w:w="90"/>
              <w:right w:type="dxa" w:w="110"/>
            </w:tcMar>
          </w:tcPr>
          <w:p>
            <w:pPr>
              <w:spacing w:after="0" w:line="240"/>
              <w:jc w:val="left"/>
            </w:pPr>
            <w:r>
              <w:t xml:space="preserve">一致性校验</w:t>
            </w:r>
          </w:p>
        </w:tc>
        <w:tc>
          <w:tcPr>
            <w:tcW w:type="dxa" w:w="3034"/>
            <w:tcMar>
              <w:top w:type="dxa" w:w="90"/>
              <w:left w:type="dxa" w:w="110"/>
              <w:bottom w:type="dxa" w:w="90"/>
              <w:right w:type="dxa" w:w="110"/>
            </w:tcMar>
          </w:tcPr>
          <w:p>
            <w:pPr>
              <w:spacing w:after="0" w:line="240"/>
              <w:jc w:val="left"/>
            </w:pPr>
            <w:r>
              <w:t xml:space="preserve">停写、追平时比较行数与规范化数据，报告差异行主键及列名，不泄漏字段原值</w:t>
            </w:r>
          </w:p>
        </w:tc>
      </w:tr>
      <w:tr>
        <w:trPr>
          <w:tblHeader w:val="false"/>
        </w:trPr>
        <w:tc>
          <w:tcPr>
            <w:tcW w:type="dxa" w:w="3033"/>
            <w:tcMar>
              <w:top w:type="dxa" w:w="90"/>
              <w:left w:type="dxa" w:w="110"/>
              <w:bottom w:type="dxa" w:w="90"/>
              <w:right w:type="dxa" w:w="110"/>
            </w:tcMar>
          </w:tcPr>
          <w:p>
            <w:pPr>
              <w:spacing w:after="0" w:line="240"/>
              <w:jc w:val="left"/>
            </w:pPr>
            <w:r>
              <w:t xml:space="preserve">F7</w:t>
            </w:r>
          </w:p>
        </w:tc>
        <w:tc>
          <w:tcPr>
            <w:tcW w:type="dxa" w:w="3033"/>
            <w:tcMar>
              <w:top w:type="dxa" w:w="90"/>
              <w:left w:type="dxa" w:w="110"/>
              <w:bottom w:type="dxa" w:w="90"/>
              <w:right w:type="dxa" w:w="110"/>
            </w:tcMar>
          </w:tcPr>
          <w:p>
            <w:pPr>
              <w:spacing w:after="0" w:line="240"/>
              <w:jc w:val="left"/>
            </w:pPr>
            <w:r>
              <w:t xml:space="preserve">管理界面</w:t>
            </w:r>
          </w:p>
        </w:tc>
        <w:tc>
          <w:tcPr>
            <w:tcW w:type="dxa" w:w="3034"/>
            <w:tcMar>
              <w:top w:type="dxa" w:w="90"/>
              <w:left w:type="dxa" w:w="110"/>
              <w:bottom w:type="dxa" w:w="90"/>
              <w:right w:type="dxa" w:w="110"/>
            </w:tcMar>
          </w:tcPr>
          <w:p>
            <w:pPr>
              <w:spacing w:after="0" w:line="240"/>
              <w:jc w:val="left"/>
            </w:pPr>
            <w:r>
              <w:t xml:space="preserve">浏览器展示任务、真实进度、事件积压与最近报告，不存数据库密码</w:t>
            </w:r>
          </w:p>
        </w:tc>
      </w:tr>
    </w:tbl>
    <w:p>
      <w:pPr>
        <w:spacing w:after="120"/>
      </w:pPr>
    </w:p>
    <w:p>
      <w:pPr>
        <w:pStyle w:val="Heading2"/>
        <w:spacing w:after="150" w:before="220"/>
      </w:pPr>
      <w:r>
        <w:t xml:space="preserve">2.3 非功能需求与范围</w:t>
      </w:r>
    </w:p>
    <w:p>
      <w:pPr>
        <w:pStyle w:val="Normal"/>
        <w:spacing w:after="130" w:line="360"/>
        <w:ind w:firstLine="420"/>
      </w:pPr>
      <w:r>
        <w:t xml:space="preserve">首版只支持 MySQL→PostgreSQL、单机单进程、单表、固定表结构、单列不可变有符号 </w:t>
      </w:r>
      <w:r>
        <w:rPr>
          <w:rFonts w:ascii="Consolas" w:cs="Consolas" w:eastAsia="Consolas" w:hAnsi="Consolas"/>
          <w:color w:val="234F70"/>
        </w:rPr>
        <w:t xml:space="preserve">BIGINT</w:t>
      </w:r>
      <w:r>
        <w:t xml:space="preserve"> 主键。目标表由使用者预先创建且创建任务时必须为空。同一目标表只允许一项任务占用。进程内只允许一个任务运行；尚无跨进程运行锁，不提供多实例部署保证。系统对无法映射的列、异常 Binlog 位点和运行失败采用显式失败，不默默跳过。密码只放在未跟踪环境文件/环境变量中，HTTP 响应不回传连接串或异常原文。性能目标采用实验度量而非事先声称某个吞吐下限。</w:t>
      </w:r>
    </w:p>
    <w:p>
      <w:pPr>
        <w:pStyle w:val="Heading1"/>
        <w:spacing w:after="150" w:before="340"/>
      </w:pPr>
      <w:r>
        <w:t xml:space="preserve">3 系统总体设计</w:t>
      </w:r>
    </w:p>
    <w:p>
      <w:pPr>
        <w:pStyle w:val="Heading2"/>
        <w:spacing w:after="150" w:before="220"/>
      </w:pPr>
      <w:r>
        <w:t xml:space="preserve">3.1 模块和数据流</w:t>
      </w:r>
    </w:p>
    <w:p>
      <w:pPr>
        <w:pStyle w:val="Normal"/>
        <w:spacing w:after="130" w:line="360"/>
        <w:ind w:firstLine="420"/>
      </w:pPr>
      <w:r>
        <w:t xml:space="preserve">DataBridge 的源端为 MySQL，目标端 PostgreSQL 同时保存业务表和 </w:t>
      </w:r>
      <w:r>
        <w:rPr>
          <w:rFonts w:ascii="Consolas" w:cs="Consolas" w:eastAsia="Consolas" w:hAnsi="Consolas"/>
          <w:color w:val="234F70"/>
        </w:rPr>
        <w:t xml:space="preserve">databridge_meta</w:t>
      </w:r>
      <w:r>
        <w:t xml:space="preserve"> 元数据。</w:t>
      </w:r>
      <w:r>
        <w:rPr>
          <w:rFonts w:ascii="Consolas" w:cs="Consolas" w:eastAsia="Consolas" w:hAnsi="Consolas"/>
          <w:color w:val="234F70"/>
        </w:rPr>
        <w:t xml:space="preserve">TaskCoordinator</w:t>
      </w:r>
      <w:r>
        <w:t xml:space="preserve"> 串联 </w:t>
      </w:r>
      <w:r>
        <w:rPr>
          <w:rFonts w:ascii="Consolas" w:cs="Consolas" w:eastAsia="Consolas" w:hAnsi="Consolas"/>
          <w:color w:val="234F70"/>
        </w:rPr>
        <w:t xml:space="preserve">CdcCapture</w:t>
      </w:r>
      <w:r>
        <w:t xml:space="preserve">、</w:t>
      </w:r>
      <w:r>
        <w:rPr>
          <w:rFonts w:ascii="Consolas" w:cs="Consolas" w:eastAsia="Consolas" w:hAnsi="Consolas"/>
          <w:color w:val="234F70"/>
        </w:rPr>
        <w:t xml:space="preserve">FullCopyWorker</w:t>
      </w:r>
      <w:r>
        <w:t xml:space="preserve"> 与 </w:t>
      </w:r>
      <w:r>
        <w:rPr>
          <w:rFonts w:ascii="Consolas" w:cs="Consolas" w:eastAsia="Consolas" w:hAnsi="Consolas"/>
          <w:color w:val="234F70"/>
        </w:rPr>
        <w:t xml:space="preserve">EventApplier</w:t>
      </w:r>
      <w:r>
        <w:t xml:space="preserve">；</w:t>
      </w:r>
      <w:r>
        <w:rPr>
          <w:rFonts w:ascii="Consolas" w:cs="Consolas" w:eastAsia="Consolas" w:hAnsi="Consolas"/>
          <w:color w:val="234F70"/>
        </w:rPr>
        <w:t xml:space="preserve">Verifier</w:t>
      </w:r>
      <w:r>
        <w:t xml:space="preserve"> 独立在持续同步阶段运行；Spring Boot 提供本机 REST API 和构建后的 Vue 静态资源。</w:t>
      </w:r>
    </w:p>
    <w:p>
      <w:pPr>
        <w:pStyle w:val="Code"/>
      </w:pPr>
      <w:r>
        <w:t xml:space="preserve">MySQL 业务表 ──JDBC keyset──&gt; FullCopyWorker ──批次事务──&gt; PostgreSQL 业务表</w:t>
      </w:r>
    </w:p>
    <w:p>
      <w:pPr>
        <w:pStyle w:val="Code"/>
      </w:pPr>
      <w:r>
        <w:t xml:space="preserve">       │                                                   ▲</w:t>
      </w:r>
    </w:p>
    <w:p>
      <w:pPr>
        <w:pStyle w:val="Code"/>
      </w:pPr>
      <w:r>
        <w:t xml:space="preserve">       └──Binlog──&gt; Debezium Engine ──持久化──&gt; cdc_event ─┘</w:t>
      </w:r>
    </w:p>
    <w:p>
      <w:pPr>
        <w:pStyle w:val="Code"/>
      </w:pPr>
      <w:r>
        <w:t xml:space="preserve">                                      全量完成后由 EventApplier 顺序回放</w:t>
      </w:r>
    </w:p>
    <w:p>
      <w:pPr>
        <w:pStyle w:val="Normal"/>
        <w:spacing w:after="130" w:line="360"/>
        <w:ind w:firstLine="420"/>
      </w:pPr>
      <w:r>
        <w:rPr>
          <w:b/>
          <w:bCs/>
        </w:rPr>
        <w:t xml:space="preserve">交接不变量：</w:t>
      </w:r>
      <w:r>
        <w:t xml:space="preserve">在全量完成标记提交之前，只有 </w:t>
      </w:r>
      <w:r>
        <w:rPr>
          <w:rFonts w:ascii="Consolas" w:cs="Consolas" w:eastAsia="Consolas" w:hAnsi="Consolas"/>
          <w:color w:val="234F70"/>
        </w:rPr>
        <w:t xml:space="preserve">FullCopyWorker</w:t>
      </w:r>
      <w:r>
        <w:t xml:space="preserve"> 写目标业务表；完成之后，全量写入器退出，由 </w:t>
      </w:r>
      <w:r>
        <w:rPr>
          <w:rFonts w:ascii="Consolas" w:cs="Consolas" w:eastAsia="Consolas" w:hAnsi="Consolas"/>
          <w:color w:val="234F70"/>
        </w:rPr>
        <w:t xml:space="preserve">EventApplier</w:t>
      </w:r>
      <w:r>
        <w:t xml:space="preserve"> 按 </w:t>
      </w:r>
      <w:r>
        <w:rPr>
          <w:rFonts w:ascii="Consolas" w:cs="Consolas" w:eastAsia="Consolas" w:hAnsi="Consolas"/>
          <w:color w:val="234F70"/>
        </w:rPr>
        <w:t xml:space="preserve">sequence</w:t>
      </w:r>
      <w:r>
        <w:t xml:space="preserve"> 顺序处理事件。该隔离避免两个写入者互相覆盖。事件入库与 Debezium offset 的刷盘并非同一 PostgreSQL 事务，因此系统不宣称跨组件端到端 exactly-once，而是利用稳定事件键和目标端幂等回放抵御重发。</w:t>
      </w:r>
    </w:p>
    <w:p>
      <w:pPr>
        <w:pStyle w:val="Heading2"/>
        <w:spacing w:after="150" w:before="220"/>
      </w:pPr>
      <w:r>
        <w:t xml:space="preserve">3.2 元数据模型</w:t>
      </w:r>
    </w:p>
    <w:p>
      <w:pPr>
        <w:pStyle w:val="Normal"/>
        <w:spacing w:after="130" w:line="360"/>
        <w:ind w:firstLine="420"/>
      </w:pPr>
      <w:r>
        <w:t xml:space="preserve">Flyway V1—V5 在 </w:t>
      </w:r>
      <w:r>
        <w:rPr>
          <w:rFonts w:ascii="Consolas" w:cs="Consolas" w:eastAsia="Consolas" w:hAnsi="Consolas"/>
          <w:color w:val="234F70"/>
        </w:rPr>
        <w:t xml:space="preserve">databridge_meta</w:t>
      </w:r>
      <w:r>
        <w:t xml:space="preserve"> 下建立五类核心记录。</w:t>
      </w:r>
      <w:r>
        <w:rPr>
          <w:rFonts w:ascii="Consolas" w:cs="Consolas" w:eastAsia="Consolas" w:hAnsi="Consolas"/>
          <w:color w:val="234F70"/>
        </w:rPr>
        <w:t xml:space="preserve">cdc_event</w:t>
      </w:r>
      <w:r>
        <w:t xml:space="preserve"> 按任务保存事件顺序号、稳定键、源 partition/offset、操作类型、主键及更新后行；</w:t>
      </w:r>
      <w:r>
        <w:rPr>
          <w:rFonts w:ascii="Consolas" w:cs="Consolas" w:eastAsia="Consolas" w:hAnsi="Consolas"/>
          <w:color w:val="234F70"/>
        </w:rPr>
        <w:t xml:space="preserve">(task_id,event_key)</w:t>
      </w:r>
      <w:r>
        <w:t xml:space="preserve"> 唯一约束去重。</w:t>
      </w:r>
      <w:r>
        <w:rPr>
          <w:rFonts w:ascii="Consolas" w:cs="Consolas" w:eastAsia="Consolas" w:hAnsi="Consolas"/>
          <w:color w:val="234F70"/>
        </w:rPr>
        <w:t xml:space="preserve">full_checkpoint</w:t>
      </w:r>
      <w:r>
        <w:t xml:space="preserve"> 保存一次全量的固定高水位、最后复制主键和完成标记。</w:t>
      </w:r>
      <w:r>
        <w:rPr>
          <w:rFonts w:ascii="Consolas" w:cs="Consolas" w:eastAsia="Consolas" w:hAnsi="Consolas"/>
          <w:color w:val="234F70"/>
        </w:rPr>
        <w:t xml:space="preserve">event_cursor</w:t>
      </w:r>
      <w:r>
        <w:t xml:space="preserve"> 保存最后成功应用的事件顺序号。</w:t>
      </w:r>
      <w:r>
        <w:rPr>
          <w:rFonts w:ascii="Consolas" w:cs="Consolas" w:eastAsia="Consolas" w:hAnsi="Consolas"/>
          <w:color w:val="234F70"/>
        </w:rPr>
        <w:t xml:space="preserve">sync_task</w:t>
      </w:r>
      <w:r>
        <w:t xml:space="preserve"> 保存源/目标表及任务状态，同一目标表有唯一约束。</w:t>
      </w:r>
      <w:r>
        <w:rPr>
          <w:rFonts w:ascii="Consolas" w:cs="Consolas" w:eastAsia="Consolas" w:hAnsi="Consolas"/>
          <w:color w:val="234F70"/>
        </w:rPr>
        <w:t xml:space="preserve">verification_run</w:t>
      </w:r>
      <w:r>
        <w:t xml:space="preserve"> 与 </w:t>
      </w:r>
      <w:r>
        <w:rPr>
          <w:rFonts w:ascii="Consolas" w:cs="Consolas" w:eastAsia="Consolas" w:hAnsi="Consolas"/>
          <w:color w:val="234F70"/>
        </w:rPr>
        <w:t xml:space="preserve">verification_diff</w:t>
      </w:r>
      <w:r>
        <w:t xml:space="preserve"> 保存校验状态、统计量、差异主键和列名，不保存业务原值。数据库迁移版本随源码只追加；Spring Boot 的 Flyway 初始化机制见</w:t>
      </w:r>
      <w:r>
        <w:rPr>
          <w:color w:val="1B4B80"/>
        </w:rPr>
        <w:t xml:space="preserve">官方文档</w:t>
      </w:r>
      <w:r>
        <w:t xml:space="preserve">。</w:t>
      </w:r>
    </w:p>
    <w:p>
      <w:pPr>
        <w:pStyle w:val="Heading2"/>
        <w:spacing w:after="150" w:before="220"/>
      </w:pPr>
      <w:r>
        <w:t xml:space="preserve">3.3 任务状态</w:t>
      </w:r>
    </w:p>
    <w:p>
      <w:pPr>
        <w:pStyle w:val="Normal"/>
        <w:spacing w:after="130" w:line="360"/>
        <w:ind w:firstLine="420"/>
      </w:pPr>
      <w:r>
        <w:t xml:space="preserve">任务从 </w:t>
      </w:r>
      <w:r>
        <w:rPr>
          <w:rFonts w:ascii="Consolas" w:cs="Consolas" w:eastAsia="Consolas" w:hAnsi="Consolas"/>
          <w:color w:val="234F70"/>
        </w:rPr>
        <w:t xml:space="preserve">CREATED</w:t>
      </w:r>
      <w:r>
        <w:t xml:space="preserve"> 启动进入 </w:t>
      </w:r>
      <w:r>
        <w:rPr>
          <w:rFonts w:ascii="Consolas" w:cs="Consolas" w:eastAsia="Consolas" w:hAnsi="Consolas"/>
          <w:color w:val="234F70"/>
        </w:rPr>
        <w:t xml:space="preserve">CAPTURING</w:t>
      </w:r>
      <w:r>
        <w:t xml:space="preserve">，当前 CDC Engine 捕获就绪后进入 </w:t>
      </w:r>
      <w:r>
        <w:rPr>
          <w:rFonts w:ascii="Consolas" w:cs="Consolas" w:eastAsia="Consolas" w:hAnsi="Consolas"/>
          <w:color w:val="234F70"/>
        </w:rPr>
        <w:t xml:space="preserve">COPYING</w:t>
      </w:r>
      <w:r>
        <w:t xml:space="preserve">，全量结束转为 </w:t>
      </w:r>
      <w:r>
        <w:rPr>
          <w:rFonts w:ascii="Consolas" w:cs="Consolas" w:eastAsia="Consolas" w:hAnsi="Consolas"/>
          <w:color w:val="234F70"/>
        </w:rPr>
        <w:t xml:space="preserve">REPLAYING</w:t>
      </w:r>
      <w:r>
        <w:t xml:space="preserve">，积压事件追平后成为 </w:t>
      </w:r>
      <w:r>
        <w:rPr>
          <w:rFonts w:ascii="Consolas" w:cs="Consolas" w:eastAsia="Consolas" w:hAnsi="Consolas"/>
          <w:color w:val="234F70"/>
        </w:rPr>
        <w:t xml:space="preserve">STREAMING</w:t>
      </w:r>
      <w:r>
        <w:t xml:space="preserve">。</w:t>
      </w:r>
      <w:r>
        <w:rPr>
          <w:rFonts w:ascii="Consolas" w:cs="Consolas" w:eastAsia="Consolas" w:hAnsi="Consolas"/>
          <w:color w:val="234F70"/>
        </w:rPr>
        <w:t xml:space="preserve">PAUSED</w:t>
      </w:r>
      <w:r>
        <w:t xml:space="preserve"> 保留 CDC 捕获而停止新的复制/应用批次，恢复后回到应有阶段。</w:t>
      </w:r>
      <w:r>
        <w:rPr>
          <w:rFonts w:ascii="Consolas" w:cs="Consolas" w:eastAsia="Consolas" w:hAnsi="Consolas"/>
          <w:color w:val="234F70"/>
        </w:rPr>
        <w:t xml:space="preserve">STOPPED</w:t>
      </w:r>
      <w:r>
        <w:t xml:space="preserve"> 和 </w:t>
      </w:r>
      <w:r>
        <w:rPr>
          <w:rFonts w:ascii="Consolas" w:cs="Consolas" w:eastAsia="Consolas" w:hAnsi="Consolas"/>
          <w:color w:val="234F70"/>
        </w:rPr>
        <w:t xml:space="preserve">FAILED</w:t>
      </w:r>
      <w:r>
        <w:t xml:space="preserve"> 分别表示人工停止及异常失败；失败记录阶段和净化后的异常类型/SQLState。进程启动时只恢复唯一一个持久运行任务，避免同一实例并发执行多个任务。</w:t>
      </w:r>
    </w:p>
    <w:p>
      <w:pPr>
        <w:pStyle w:val="Heading1"/>
        <w:spacing w:after="150" w:before="340"/>
      </w:pPr>
      <w:r>
        <w:t xml:space="preserve">4 关键模块详细设计</w:t>
      </w:r>
    </w:p>
    <w:p>
      <w:pPr>
        <w:pStyle w:val="Heading2"/>
        <w:spacing w:after="150" w:before="220"/>
      </w:pPr>
      <w:r>
        <w:t xml:space="preserve">4.1 建任务前置检查</w:t>
      </w:r>
    </w:p>
    <w:p>
      <w:pPr>
        <w:pStyle w:val="Normal"/>
        <w:spacing w:after="130" w:line="360"/>
        <w:ind w:firstLine="420"/>
      </w:pPr>
      <w:r>
        <w:rPr>
          <w:rFonts w:ascii="Consolas" w:cs="Consolas" w:eastAsia="Consolas" w:hAnsi="Consolas"/>
          <w:color w:val="234F70"/>
        </w:rPr>
        <w:t xml:space="preserve">TaskPreflight</w:t>
      </w:r>
      <w:r>
        <w:t xml:space="preserve"> 对源表和目标表检查主键、字段类型与目标是否为空。主键必须是单列有符号 </w:t>
      </w:r>
      <w:r>
        <w:rPr>
          <w:rFonts w:ascii="Consolas" w:cs="Consolas" w:eastAsia="Consolas" w:hAnsi="Consolas"/>
          <w:color w:val="234F70"/>
        </w:rPr>
        <w:t xml:space="preserve">BIGINT id</w:t>
      </w:r>
      <w:r>
        <w:t xml:space="preserve">，禁止复合键和主键修改。首版映射支持有符号整数、文本、定点数、JSON 与指定时间类型；精度、长度或时间语义不兼容时应拒绝任务，而不是截断字段。MySQL </w:t>
      </w:r>
      <w:r>
        <w:rPr>
          <w:rFonts w:ascii="Consolas" w:cs="Consolas" w:eastAsia="Consolas" w:hAnsi="Consolas"/>
          <w:color w:val="234F70"/>
        </w:rPr>
        <w:t xml:space="preserve">DATETIME</w:t>
      </w:r>
      <w:r>
        <w:t xml:space="preserve"> 作为无时区墙上时间；</w:t>
      </w:r>
      <w:r>
        <w:rPr>
          <w:rFonts w:ascii="Consolas" w:cs="Consolas" w:eastAsia="Consolas" w:hAnsi="Consolas"/>
          <w:color w:val="234F70"/>
        </w:rPr>
        <w:t xml:space="preserve">TIMESTAMP</w:t>
      </w:r>
      <w:r>
        <w:t xml:space="preserve"> 在 UTC 会话下读出，再写 PostgreSQL </w:t>
      </w:r>
      <w:r>
        <w:rPr>
          <w:rFonts w:ascii="Consolas" w:cs="Consolas" w:eastAsia="Consolas" w:hAnsi="Consolas"/>
          <w:color w:val="234F70"/>
        </w:rPr>
        <w:t xml:space="preserve">timestamp without time zone</w:t>
      </w:r>
      <w:r>
        <w:t xml:space="preserve">。这种约定不等同于跨库时区自动推断，需要在论文和操作手册明确。</w:t>
      </w:r>
    </w:p>
    <w:p>
      <w:pPr>
        <w:pStyle w:val="Heading2"/>
        <w:spacing w:after="150" w:before="220"/>
      </w:pPr>
      <w:r>
        <w:t xml:space="preserve">4.2 当前捕获就绪判定</w:t>
      </w:r>
    </w:p>
    <w:p>
      <w:pPr>
        <w:pStyle w:val="Normal"/>
        <w:spacing w:after="130" w:line="360"/>
        <w:ind w:firstLine="420"/>
      </w:pPr>
      <w:r>
        <w:t xml:space="preserve">Engine 启动或 </w:t>
      </w:r>
      <w:r>
        <w:rPr>
          <w:rFonts w:ascii="Consolas" w:cs="Consolas" w:eastAsia="Consolas" w:hAnsi="Consolas"/>
          <w:color w:val="234F70"/>
        </w:rPr>
        <w:t xml:space="preserve">no_data</w:t>
      </w:r>
      <w:r>
        <w:t xml:space="preserve"> 快照结束并不证明本次连接已经保存可恢复 offset。为此，项目在 MySQL 预置 </w:t>
      </w:r>
      <w:r>
        <w:rPr>
          <w:rFonts w:ascii="Consolas" w:cs="Consolas" w:eastAsia="Consolas" w:hAnsi="Consolas"/>
          <w:color w:val="234F70"/>
        </w:rPr>
        <w:t xml:space="preserve">sync_probe</w:t>
      </w:r>
      <w:r>
        <w:t xml:space="preserve"> 表。每次启动或恢复收到快照通知后，写入一个新的 UUID 标记；只有该标记的 CDC 事件已进入目标日志，且本任务的 JDBC offset 存在，才允许全量/回放继续。探针事件参与顺序游标但不写业务表。这避免把固定睡眠时间、其他任务的 offset 或一次性快照通知误当成就绪证据。</w:t>
      </w:r>
    </w:p>
    <w:p>
      <w:pPr>
        <w:pStyle w:val="Heading2"/>
        <w:spacing w:after="150" w:before="220"/>
      </w:pPr>
      <w:r>
        <w:t xml:space="preserve">4.3 全量复制与故障恢复</w:t>
      </w:r>
    </w:p>
    <w:p>
      <w:pPr>
        <w:pStyle w:val="Normal"/>
        <w:spacing w:after="130" w:line="360"/>
        <w:ind w:firstLine="420"/>
      </w:pPr>
      <w:r>
        <w:t xml:space="preserve">首次批次读取源表 </w:t>
      </w:r>
      <w:r>
        <w:rPr>
          <w:rFonts w:ascii="Consolas" w:cs="Consolas" w:eastAsia="Consolas" w:hAnsi="Consolas"/>
          <w:color w:val="234F70"/>
        </w:rPr>
        <w:t xml:space="preserve">MAX(id)</w:t>
      </w:r>
      <w:r>
        <w:t xml:space="preserve"> 作为高水位。之后按 </w:t>
      </w:r>
      <w:r>
        <w:rPr>
          <w:rFonts w:ascii="Consolas" w:cs="Consolas" w:eastAsia="Consolas" w:hAnsi="Consolas"/>
          <w:color w:val="234F70"/>
        </w:rPr>
        <w:t xml:space="preserve">id &gt; last_id AND id &lt;= high_watermark ORDER BY id LIMIT batch_size</w:t>
      </w:r>
      <w:r>
        <w:t xml:space="preserve"> 查询；第一页省略下界。稀疏主键不影响扫描终止，后插入且大于高水位的行交由 CDC 捕获。每批在 PostgreSQL 一个事务内执行 UPSERT 并更新 </w:t>
      </w:r>
      <w:r>
        <w:rPr>
          <w:rFonts w:ascii="Consolas" w:cs="Consolas" w:eastAsia="Consolas" w:hAnsi="Consolas"/>
          <w:color w:val="234F70"/>
        </w:rPr>
        <w:t xml:space="preserve">full_checkpoint.last_id</w:t>
      </w:r>
      <w:r>
        <w:t xml:space="preserve">。若写入失败，检查点与目标行同时回滚；若进程在提交后退出，重启从已提交主键继续。返回空批时记录 </w:t>
      </w:r>
      <w:r>
        <w:rPr>
          <w:rFonts w:ascii="Consolas" w:cs="Consolas" w:eastAsia="Consolas" w:hAnsi="Consolas"/>
          <w:color w:val="234F70"/>
        </w:rPr>
        <w:t xml:space="preserve">completed=true</w:t>
      </w:r>
      <w:r>
        <w:t xml:space="preserve">，此后不再让全量写入器修改该任务的业务表。</w:t>
      </w:r>
    </w:p>
    <w:p>
      <w:pPr>
        <w:pStyle w:val="Heading2"/>
        <w:spacing w:after="150" w:before="220"/>
      </w:pPr>
      <w:r>
        <w:t xml:space="preserve">4.4 事件持久化和回放</w:t>
      </w:r>
    </w:p>
    <w:p>
      <w:pPr>
        <w:pStyle w:val="Normal"/>
        <w:spacing w:after="130" w:line="360"/>
        <w:ind w:firstLine="420"/>
      </w:pPr>
      <w:r>
        <w:rPr>
          <w:rFonts w:ascii="Consolas" w:cs="Consolas" w:eastAsia="Consolas" w:hAnsi="Consolas"/>
          <w:color w:val="234F70"/>
        </w:rPr>
        <w:t xml:space="preserve">EventKey</w:t>
      </w:r>
      <w:r>
        <w:t xml:space="preserve"> 将源 partition、offset、表名、操作和行主键做稳定序列化并计算 SHA-256；相同源事件重发得到同一键，由数据库唯一约束去重。</w:t>
      </w:r>
      <w:r>
        <w:rPr>
          <w:rFonts w:ascii="Consolas" w:cs="Consolas" w:eastAsia="Consolas" w:hAnsi="Consolas"/>
          <w:color w:val="234F70"/>
        </w:rPr>
        <w:t xml:space="preserve">CdcCapture</w:t>
      </w:r>
      <w:r>
        <w:t xml:space="preserve"> 在事件成功提交到 PostgreSQL 后才向 Debezium 确认。</w:t>
      </w:r>
      <w:r>
        <w:rPr>
          <w:rFonts w:ascii="Consolas" w:cs="Consolas" w:eastAsia="Consolas" w:hAnsi="Consolas"/>
          <w:color w:val="234F70"/>
        </w:rPr>
        <w:t xml:space="preserve">EventApplier</w:t>
      </w:r>
      <w:r>
        <w:t xml:space="preserve"> 只在全量完成后按日志顺序号处理 </w:t>
      </w:r>
      <w:r>
        <w:rPr>
          <w:rFonts w:ascii="Consolas" w:cs="Consolas" w:eastAsia="Consolas" w:hAnsi="Consolas"/>
          <w:color w:val="234F70"/>
        </w:rPr>
        <w:t xml:space="preserve">c/u/d</w:t>
      </w:r>
      <w:r>
        <w:t xml:space="preserve">；每批目标业务变更与 </w:t>
      </w:r>
      <w:r>
        <w:rPr>
          <w:rFonts w:ascii="Consolas" w:cs="Consolas" w:eastAsia="Consolas" w:hAnsi="Consolas"/>
          <w:color w:val="234F70"/>
        </w:rPr>
        <w:t xml:space="preserve">event_cursor.last_sequence</w:t>
      </w:r>
      <w:r>
        <w:t xml:space="preserve"> 在同一事务提交。失败批次不推进游标，重试仍从原位置开始。持续同步与回放使用同一应用器，差别仅是积压量与任务状态。</w:t>
      </w:r>
    </w:p>
    <w:p>
      <w:pPr>
        <w:pStyle w:val="Normal"/>
        <w:spacing w:after="130" w:line="360"/>
        <w:ind w:firstLine="420"/>
      </w:pPr>
      <w:r>
        <w:t xml:space="preserve">两条通道在输入侧不强行复用同一个映射函数：全量从 JDBC </w:t>
      </w:r>
      <w:r>
        <w:rPr>
          <w:rFonts w:ascii="Consolas" w:cs="Consolas" w:eastAsia="Consolas" w:hAnsi="Consolas"/>
          <w:color w:val="234F70"/>
        </w:rPr>
        <w:t xml:space="preserve">ResultSet</w:t>
      </w:r>
      <w:r>
        <w:t xml:space="preserve"> 读取 Java 类型，增量从 Debezium JSON 还原字段值；两者都必须满足预建 PostgreSQL 目标表的字段名、类型、精度和空值契约，且使用 UPSERT 或按主键删除。</w:t>
      </w:r>
      <w:r>
        <w:rPr>
          <w:rFonts w:ascii="Consolas" w:cs="Consolas" w:eastAsia="Consolas" w:hAnsi="Consolas"/>
          <w:color w:val="234F70"/>
        </w:rPr>
        <w:t xml:space="preserve">FullCopyWorkerIT</w:t>
      </w:r>
      <w:r>
        <w:t xml:space="preserve"> 和 </w:t>
      </w:r>
      <w:r>
        <w:rPr>
          <w:rFonts w:ascii="Consolas" w:cs="Consolas" w:eastAsia="Consolas" w:hAnsi="Consolas"/>
          <w:color w:val="234F70"/>
        </w:rPr>
        <w:t xml:space="preserve">EventApplierIT</w:t>
      </w:r>
      <w:r>
        <w:t xml:space="preserve"> 对有符号整数边界、定点小数、Unicode、JSON、NULL 与微秒时间做对应断言，</w:t>
      </w:r>
      <w:r>
        <w:rPr>
          <w:rFonts w:ascii="Consolas" w:cs="Consolas" w:eastAsia="Consolas" w:hAnsi="Consolas"/>
          <w:color w:val="234F70"/>
        </w:rPr>
        <w:t xml:space="preserve">EndToEndSyncIT</w:t>
      </w:r>
      <w:r>
        <w:t xml:space="preserve"> 在真实双库上验证“旧全量值被后续增量覆盖”。这一测试组合降低适配漂移风险，但不构成任意字段值的形式化等价证明。</w:t>
      </w:r>
    </w:p>
    <w:p>
      <w:pPr>
        <w:pStyle w:val="Heading2"/>
        <w:spacing w:after="150" w:before="220"/>
      </w:pPr>
      <w:r>
        <w:t xml:space="preserve">4.5 静默窗口一致性校验</w:t>
      </w:r>
    </w:p>
    <w:p>
      <w:pPr>
        <w:pStyle w:val="Normal"/>
        <w:spacing w:after="130" w:line="360"/>
        <w:ind w:firstLine="420"/>
      </w:pPr>
      <w:r>
        <w:t xml:space="preserve">确定性校验要求源端停止业务写入、任务处于 </w:t>
      </w:r>
      <w:r>
        <w:rPr>
          <w:rFonts w:ascii="Consolas" w:cs="Consolas" w:eastAsia="Consolas" w:hAnsi="Consolas"/>
          <w:color w:val="234F70"/>
        </w:rPr>
        <w:t xml:space="preserve">STREAMING</w:t>
      </w:r>
      <w:r>
        <w:t xml:space="preserve"> 且无其他目标表写入者。</w:t>
      </w:r>
      <w:r>
        <w:rPr>
          <w:rFonts w:ascii="Consolas" w:cs="Consolas" w:eastAsia="Consolas" w:hAnsi="Consolas"/>
          <w:color w:val="234F70"/>
        </w:rPr>
        <w:t xml:space="preserve">Verifier</w:t>
      </w:r>
      <w:r>
        <w:t xml:space="preserve"> 先写第一个探针并等待应用游标越过该探针，再对两端按 </w:t>
      </w:r>
      <w:r>
        <w:rPr>
          <w:rFonts w:ascii="Consolas" w:cs="Consolas" w:eastAsia="Consolas" w:hAnsi="Consolas"/>
          <w:color w:val="234F70"/>
        </w:rPr>
        <w:t xml:space="preserve">id</w:t>
      </w:r>
      <w:r>
        <w:t xml:space="preserve"> 分页合并比较，最后写第二个探针并再次等待。若两个探针之间出现业务事件，报告 </w:t>
      </w:r>
      <w:r>
        <w:rPr>
          <w:rFonts w:ascii="Consolas" w:cs="Consolas" w:eastAsia="Consolas" w:hAnsi="Consolas"/>
          <w:color w:val="234F70"/>
        </w:rPr>
        <w:t xml:space="preserve">INCONCLUSIVE/SOURCE_CHANGED</w:t>
      </w:r>
      <w:r>
        <w:t xml:space="preserve">，不得据此宣称一致或差异确定。若任一探针超时或扫描失败，也报告 </w:t>
      </w:r>
      <w:r>
        <w:rPr>
          <w:rFonts w:ascii="Consolas" w:cs="Consolas" w:eastAsia="Consolas" w:hAnsi="Consolas"/>
          <w:color w:val="234F70"/>
        </w:rPr>
        <w:t xml:space="preserve">INCONCLUSIVE</w:t>
      </w:r>
      <w:r>
        <w:t xml:space="preserve"> 与原因码。正常比较结果为 </w:t>
      </w:r>
      <w:r>
        <w:rPr>
          <w:rFonts w:ascii="Consolas" w:cs="Consolas" w:eastAsia="Consolas" w:hAnsi="Consolas"/>
          <w:color w:val="234F70"/>
        </w:rPr>
        <w:t xml:space="preserve">CONSISTENT</w:t>
      </w:r>
      <w:r>
        <w:t xml:space="preserve"> 或 </w:t>
      </w:r>
      <w:r>
        <w:rPr>
          <w:rFonts w:ascii="Consolas" w:cs="Consolas" w:eastAsia="Consolas" w:hAnsi="Consolas"/>
          <w:color w:val="234F70"/>
        </w:rPr>
        <w:t xml:space="preserve">DIFFERENT</w:t>
      </w:r>
      <w:r>
        <w:t xml:space="preserve">；差异分为目标缺行、目标多行、同主键值不一致。逐行字段先经 </w:t>
      </w:r>
      <w:r>
        <w:rPr>
          <w:rFonts w:ascii="Consolas" w:cs="Consolas" w:eastAsia="Consolas" w:hAnsi="Consolas"/>
          <w:color w:val="234F70"/>
        </w:rPr>
        <w:t xml:space="preserve">RowCanonicalizer</w:t>
      </w:r>
      <w:r>
        <w:t xml:space="preserve"> 规范化，再比较指纹，并最多保存 100 条差异主键和列名，避免报告泄漏业务原值。</w:t>
      </w:r>
    </w:p>
    <w:p>
      <w:pPr>
        <w:pStyle w:val="Heading1"/>
        <w:spacing w:after="150" w:before="340"/>
      </w:pPr>
      <w:r>
        <w:t xml:space="preserve">5 系统实现</w:t>
      </w:r>
    </w:p>
    <w:p>
      <w:pPr>
        <w:pStyle w:val="Heading2"/>
        <w:spacing w:after="150" w:before="220"/>
      </w:pPr>
      <w:r>
        <w:t xml:space="preserve">5.1 开发与运行环境</w:t>
      </w:r>
    </w:p>
    <w:p>
      <w:pPr>
        <w:pStyle w:val="Normal"/>
        <w:spacing w:after="130" w:line="360"/>
        <w:ind w:firstLine="420"/>
      </w:pPr>
      <w:r>
        <w:t xml:space="preserve">后端按 Java 21 目标编译，本机实测 JDK 23.0.2、Maven 3.9.16；使用 Spring Boot 3.5.16、Debezium 3.7.0.Final、MySQL 8.4.11、PostgreSQL 17.11。前端为 Vue 3.5.44、Vite 8.3.4 和 Element Plus 2.14.7。Docker Desktop 运行在 Windows 的 WSL2 后端，开发双库由 Compose 启动。数据库密码仅保存在本机未跟踪的 </w:t>
      </w:r>
      <w:r>
        <w:rPr>
          <w:rFonts w:ascii="Consolas" w:cs="Consolas" w:eastAsia="Consolas" w:hAnsi="Consolas"/>
          <w:color w:val="234F70"/>
        </w:rPr>
        <w:t xml:space="preserve">infra/.env</w:t>
      </w:r>
      <w:r>
        <w:t xml:space="preserve">，公开仓库只有示例配置。</w:t>
      </w:r>
    </w:p>
    <w:p>
      <w:pPr>
        <w:pStyle w:val="Heading2"/>
        <w:spacing w:after="150" w:before="220"/>
      </w:pPr>
      <w:r>
        <w:t xml:space="preserve">5.2 后端接口与页面</w:t>
      </w:r>
    </w:p>
    <w:p>
      <w:pPr>
        <w:pStyle w:val="Normal"/>
        <w:spacing w:after="130" w:line="360"/>
        <w:ind w:firstLine="420"/>
      </w:pPr>
      <w:r>
        <w:t xml:space="preserve">任务 API 提供创建、列表、读取、启动、暂停、继续和停止；进度接口读取持久检查点、捕获/应用事件数和积压数，不通过稀疏主键的最大值伪造百分比。目录接口只读双库表与列元数据，单端失联仅反馈 </w:t>
      </w:r>
      <w:r>
        <w:rPr>
          <w:rFonts w:ascii="Consolas" w:cs="Consolas" w:eastAsia="Consolas" w:hAnsi="Consolas"/>
          <w:color w:val="234F70"/>
        </w:rPr>
        <w:t xml:space="preserve">reachable=false</w:t>
      </w:r>
      <w:r>
        <w:t xml:space="preserve">。校验 API 创建并查询报告，也可读取最近 20 份历史。构建后的前端资源由同一 Spring Boot 实例服务；默认监听 </w:t>
      </w:r>
      <w:r>
        <w:rPr>
          <w:rFonts w:ascii="Consolas" w:cs="Consolas" w:eastAsia="Consolas" w:hAnsi="Consolas"/>
          <w:color w:val="234F70"/>
        </w:rPr>
        <w:t xml:space="preserve">127.0.0.1:18080</w:t>
      </w:r>
      <w:r>
        <w:t xml:space="preserve">。网页可在 375px 到桌面宽度下完成任务创建、控制、进度查看和报告浏览。</w:t>
      </w:r>
    </w:p>
    <w:p>
      <w:pPr>
        <w:pStyle w:val="Heading2"/>
        <w:spacing w:after="150" w:before="220"/>
      </w:pPr>
      <w:r>
        <w:t xml:space="preserve">5.3 部署和操作限制</w:t>
      </w:r>
    </w:p>
    <w:p>
      <w:pPr>
        <w:pStyle w:val="Normal"/>
        <w:spacing w:after="130" w:line="360"/>
        <w:ind w:firstLine="420"/>
      </w:pPr>
      <w:r>
        <w:t xml:space="preserve">运行顺序为启动 Docker 双库、准备源/目标业务表、构建前端、运行后端、浏览器访问本机地址。目标表须预建且为空，业务源表应保证固定结构与不可变主键。若 Binlog 保留期内的位点已丢失，操作员需人工处理，不应重置位点并将任务状态伪装为正常。项目只允许一个后端进程；未实现认证、跨进程 fencing、DDL 跟踪、自动建表和复杂类型映射。</w:t>
      </w:r>
    </w:p>
    <w:p>
      <w:pPr>
        <w:pStyle w:val="Heading1"/>
        <w:spacing w:after="150" w:before="340"/>
      </w:pPr>
      <w:r>
        <w:t xml:space="preserve">6 系统测试与实验</w:t>
      </w:r>
    </w:p>
    <w:p>
      <w:pPr>
        <w:pStyle w:val="Heading2"/>
        <w:spacing w:after="150" w:before="220"/>
      </w:pPr>
      <w:r>
        <w:t xml:space="preserve">6.1 功能与正确性测试</w:t>
      </w:r>
    </w:p>
    <w:p>
      <w:pPr>
        <w:pStyle w:val="Normal"/>
        <w:spacing w:after="130" w:line="360"/>
        <w:ind w:firstLine="420"/>
      </w:pPr>
      <w:r>
        <w:t xml:space="preserve">截至本稿，当前完整后端回归发现 53 项，50 项单元与真实 MySQL/PostgreSQL 集成测试通过，三个独立基准按设计跳过。全量、CDC 延迟及故障恢复基准已分别显式运行，保留 18、300 和 9 条逐次测量。</w:t>
      </w:r>
      <w:r>
        <w:rPr>
          <w:rFonts w:ascii="Consolas" w:cs="Consolas" w:eastAsia="Consolas" w:hAnsi="Consolas"/>
          <w:color w:val="234F70"/>
        </w:rPr>
        <w:t xml:space="preserve">npm test</w:t>
      </w:r>
      <w:r>
        <w:t xml:space="preserve"> 中 9 项前端测试通过，</w:t>
      </w:r>
      <w:r>
        <w:rPr>
          <w:rFonts w:ascii="Consolas" w:cs="Consolas" w:eastAsia="Consolas" w:hAnsi="Consolas"/>
          <w:color w:val="234F70"/>
        </w:rPr>
        <w:t xml:space="preserve">npm run build</w:t>
      </w:r>
      <w:r>
        <w:t xml:space="preserve"> 成功。集成测试用独立 Testcontainers，不读取开发库的密码文件或修改开发数据。测试覆盖全量批次失败时事务回滚、继续复制检查点、CDC 事件入库与去重、全量期间源端增删改后的目标状态、事件应用游标、任务状态控制、源端写入竞争时校验返回 </w:t>
      </w:r>
      <w:r>
        <w:rPr>
          <w:rFonts w:ascii="Consolas" w:cs="Consolas" w:eastAsia="Consolas" w:hAnsi="Consolas"/>
          <w:color w:val="234F70"/>
        </w:rPr>
        <w:t xml:space="preserve">INCONCLUSIVE</w:t>
      </w:r>
      <w:r>
        <w:t xml:space="preserve">，以及错误响应不回传秘密。逐项测试文件与结论边界见</w:t>
      </w:r>
      <w:r>
        <w:rPr>
          <w:color w:val="1B4B80"/>
        </w:rPr>
        <w:t xml:space="preserve">需求—证据对照</w:t>
      </w:r>
      <w:r>
        <w:t xml:space="preserve">。浏览器手工演示额外验证创建/启动/暂停/继续、源端更新经 CDC 到目标端可见和两次三行一致报告；后端进程强制结束后重启，任务自动恢复为持续同步并保留报告历史。</w:t>
      </w:r>
    </w:p>
    <w:p>
      <w:pPr>
        <w:pStyle w:val="Heading2"/>
        <w:spacing w:after="150" w:before="220"/>
      </w:pPr>
      <w:r>
        <w:t xml:space="preserve">6.2 性能与故障恢复实验</w:t>
      </w:r>
    </w:p>
    <w:p>
      <w:pPr>
        <w:pStyle w:val="Normal"/>
        <w:spacing w:after="130" w:line="360"/>
        <w:ind w:firstLine="420"/>
      </w:pPr>
      <w:r>
        <w:t xml:space="preserve">正式全量性能采用 1 万、10 万、100 万行，批次 500/1000，每组 3 次。实验使用独立容器、固定表结构、固定随机顺序、单次全量计时与检查点/目标行数断言；18 条逐次数据、统计脚本和环境说明见</w:t>
      </w:r>
      <w:r>
        <w:rPr>
          <w:color w:val="1B4B80"/>
        </w:rPr>
        <w:t xml:space="preserve">全量通道性能实验报告</w:t>
      </w:r>
      <w:r>
        <w:t xml:space="preserve">。表 6-1 汇总各组中位耗时与平均吞吐，不能用它代表 CDC 或端到端在线迁移性能。</w:t>
      </w:r>
    </w:p>
    <w:p>
      <w:pPr>
        <w:pStyle w:val="Normal"/>
        <w:spacing w:after="130" w:line="360"/>
        <w:ind w:firstLine="420"/>
      </w:pPr>
      <w:r>
        <w:rPr>
          <w:b/>
          <w:bCs/>
        </w:rPr>
        <w:t xml:space="preserve">表 6-1 全量复制性能（3 次技术重复）</w:t>
      </w:r>
    </w:p>
    <w:tbl>
      <w:tblPr>
        <w:tblW w:type="dxa" w:w="9100"/>
        <w:tblBorders>
          <w:top w:val="single" w:color="8494A8" w:sz="4"/>
          <w:left w:val="single" w:color="auto" w:sz="4"/>
          <w:bottom w:val="single" w:color="8494A8" w:sz="4"/>
          <w:right w:val="single" w:color="auto" w:sz="4"/>
          <w:insideH w:val="single" w:color="CCD4DE" w:sz="3"/>
          <w:insideV w:val="single" w:color="CCD4DE" w:sz="3"/>
        </w:tblBorders>
      </w:tblPr>
      <w:tblGrid>
        <w:gridCol w:w="1820"/>
        <w:gridCol w:w="1820"/>
        <w:gridCol w:w="1820"/>
        <w:gridCol w:w="1820"/>
        <w:gridCol w:w="1820"/>
      </w:tblGrid>
      <w:tr>
        <w:trPr>
          <w:tblHeader/>
        </w:trPr>
        <w:tc>
          <w:tcPr>
            <w:tcW w:type="dxa" w:w="1820"/>
            <w:shd w:fill="E8EDF3" w:val="clear"/>
            <w:tcMar>
              <w:top w:type="dxa" w:w="90"/>
              <w:left w:type="dxa" w:w="110"/>
              <w:bottom w:type="dxa" w:w="90"/>
              <w:right w:type="dxa" w:w="110"/>
            </w:tcMar>
          </w:tcPr>
          <w:p>
            <w:pPr>
              <w:spacing w:after="0" w:line="240"/>
              <w:jc w:val="right"/>
            </w:pPr>
            <w:r>
              <w:rPr>
                <w:b/>
                <w:bCs/>
              </w:rPr>
              <w:t xml:space="preserve">行数</w:t>
            </w:r>
          </w:p>
        </w:tc>
        <w:tc>
          <w:tcPr>
            <w:tcW w:type="dxa" w:w="1820"/>
            <w:shd w:fill="E8EDF3" w:val="clear"/>
            <w:tcMar>
              <w:top w:type="dxa" w:w="90"/>
              <w:left w:type="dxa" w:w="110"/>
              <w:bottom w:type="dxa" w:w="90"/>
              <w:right w:type="dxa" w:w="110"/>
            </w:tcMar>
          </w:tcPr>
          <w:p>
            <w:pPr>
              <w:spacing w:after="0" w:line="240"/>
              <w:jc w:val="right"/>
            </w:pPr>
            <w:r>
              <w:rPr>
                <w:b/>
                <w:bCs/>
              </w:rPr>
              <w:t xml:space="preserve">批次 500 中位耗时</w:t>
            </w:r>
          </w:p>
        </w:tc>
        <w:tc>
          <w:tcPr>
            <w:tcW w:type="dxa" w:w="1820"/>
            <w:shd w:fill="E8EDF3" w:val="clear"/>
            <w:tcMar>
              <w:top w:type="dxa" w:w="90"/>
              <w:left w:type="dxa" w:w="110"/>
              <w:bottom w:type="dxa" w:w="90"/>
              <w:right w:type="dxa" w:w="110"/>
            </w:tcMar>
          </w:tcPr>
          <w:p>
            <w:pPr>
              <w:spacing w:after="0" w:line="240"/>
              <w:jc w:val="right"/>
            </w:pPr>
            <w:r>
              <w:rPr>
                <w:b/>
                <w:bCs/>
              </w:rPr>
              <w:t xml:space="preserve">批次 1000 中位耗时</w:t>
            </w:r>
          </w:p>
        </w:tc>
        <w:tc>
          <w:tcPr>
            <w:tcW w:type="dxa" w:w="1820"/>
            <w:shd w:fill="E8EDF3" w:val="clear"/>
            <w:tcMar>
              <w:top w:type="dxa" w:w="90"/>
              <w:left w:type="dxa" w:w="110"/>
              <w:bottom w:type="dxa" w:w="90"/>
              <w:right w:type="dxa" w:w="110"/>
            </w:tcMar>
          </w:tcPr>
          <w:p>
            <w:pPr>
              <w:spacing w:after="0" w:line="240"/>
              <w:jc w:val="right"/>
            </w:pPr>
            <w:r>
              <w:rPr>
                <w:b/>
                <w:bCs/>
              </w:rPr>
              <w:t xml:space="preserve">批次 500 平均吞吐</w:t>
            </w:r>
          </w:p>
        </w:tc>
        <w:tc>
          <w:tcPr>
            <w:tcW w:type="dxa" w:w="1820"/>
            <w:shd w:fill="E8EDF3" w:val="clear"/>
            <w:tcMar>
              <w:top w:type="dxa" w:w="90"/>
              <w:left w:type="dxa" w:w="110"/>
              <w:bottom w:type="dxa" w:w="90"/>
              <w:right w:type="dxa" w:w="110"/>
            </w:tcMar>
          </w:tcPr>
          <w:p>
            <w:pPr>
              <w:spacing w:after="0" w:line="240"/>
              <w:jc w:val="right"/>
            </w:pPr>
            <w:r>
              <w:rPr>
                <w:b/>
                <w:bCs/>
              </w:rPr>
              <w:t xml:space="preserve">批次 1000 平均吞吐</w:t>
            </w:r>
          </w:p>
        </w:tc>
      </w:tr>
      <w:tr>
        <w:trPr>
          <w:tblHeader w:val="false"/>
        </w:trPr>
        <w:tc>
          <w:tcPr>
            <w:tcW w:type="dxa" w:w="1820"/>
            <w:tcMar>
              <w:top w:type="dxa" w:w="90"/>
              <w:left w:type="dxa" w:w="110"/>
              <w:bottom w:type="dxa" w:w="90"/>
              <w:right w:type="dxa" w:w="110"/>
            </w:tcMar>
          </w:tcPr>
          <w:p>
            <w:pPr>
              <w:spacing w:after="0" w:line="240"/>
              <w:jc w:val="right"/>
            </w:pPr>
            <w:r>
              <w:t xml:space="preserve">1 万</w:t>
            </w:r>
          </w:p>
        </w:tc>
        <w:tc>
          <w:tcPr>
            <w:tcW w:type="dxa" w:w="1820"/>
            <w:tcMar>
              <w:top w:type="dxa" w:w="90"/>
              <w:left w:type="dxa" w:w="110"/>
              <w:bottom w:type="dxa" w:w="90"/>
              <w:right w:type="dxa" w:w="110"/>
            </w:tcMar>
          </w:tcPr>
          <w:p>
            <w:pPr>
              <w:spacing w:after="0" w:line="240"/>
              <w:jc w:val="right"/>
            </w:pPr>
            <w:r>
              <w:t xml:space="preserve">3.650 s</w:t>
            </w:r>
          </w:p>
        </w:tc>
        <w:tc>
          <w:tcPr>
            <w:tcW w:type="dxa" w:w="1820"/>
            <w:tcMar>
              <w:top w:type="dxa" w:w="90"/>
              <w:left w:type="dxa" w:w="110"/>
              <w:bottom w:type="dxa" w:w="90"/>
              <w:right w:type="dxa" w:w="110"/>
            </w:tcMar>
          </w:tcPr>
          <w:p>
            <w:pPr>
              <w:spacing w:after="0" w:line="240"/>
              <w:jc w:val="right"/>
            </w:pPr>
            <w:r>
              <w:t xml:space="preserve">2.828 s</w:t>
            </w:r>
          </w:p>
        </w:tc>
        <w:tc>
          <w:tcPr>
            <w:tcW w:type="dxa" w:w="1820"/>
            <w:tcMar>
              <w:top w:type="dxa" w:w="90"/>
              <w:left w:type="dxa" w:w="110"/>
              <w:bottom w:type="dxa" w:w="90"/>
              <w:right w:type="dxa" w:w="110"/>
            </w:tcMar>
          </w:tcPr>
          <w:p>
            <w:pPr>
              <w:spacing w:after="0" w:line="240"/>
              <w:jc w:val="right"/>
            </w:pPr>
            <w:r>
              <w:t xml:space="preserve">2,737 行/s</w:t>
            </w:r>
          </w:p>
        </w:tc>
        <w:tc>
          <w:tcPr>
            <w:tcW w:type="dxa" w:w="1820"/>
            <w:tcMar>
              <w:top w:type="dxa" w:w="90"/>
              <w:left w:type="dxa" w:w="110"/>
              <w:bottom w:type="dxa" w:w="90"/>
              <w:right w:type="dxa" w:w="110"/>
            </w:tcMar>
          </w:tcPr>
          <w:p>
            <w:pPr>
              <w:spacing w:after="0" w:line="240"/>
              <w:jc w:val="right"/>
            </w:pPr>
            <w:r>
              <w:t xml:space="preserve">3,525 行/s</w:t>
            </w:r>
          </w:p>
        </w:tc>
      </w:tr>
      <w:tr>
        <w:trPr>
          <w:tblHeader w:val="false"/>
        </w:trPr>
        <w:tc>
          <w:tcPr>
            <w:tcW w:type="dxa" w:w="1820"/>
            <w:tcMar>
              <w:top w:type="dxa" w:w="90"/>
              <w:left w:type="dxa" w:w="110"/>
              <w:bottom w:type="dxa" w:w="90"/>
              <w:right w:type="dxa" w:w="110"/>
            </w:tcMar>
          </w:tcPr>
          <w:p>
            <w:pPr>
              <w:spacing w:after="0" w:line="240"/>
              <w:jc w:val="right"/>
            </w:pPr>
            <w:r>
              <w:t xml:space="preserve">10 万</w:t>
            </w:r>
          </w:p>
        </w:tc>
        <w:tc>
          <w:tcPr>
            <w:tcW w:type="dxa" w:w="1820"/>
            <w:tcMar>
              <w:top w:type="dxa" w:w="90"/>
              <w:left w:type="dxa" w:w="110"/>
              <w:bottom w:type="dxa" w:w="90"/>
              <w:right w:type="dxa" w:w="110"/>
            </w:tcMar>
          </w:tcPr>
          <w:p>
            <w:pPr>
              <w:spacing w:after="0" w:line="240"/>
              <w:jc w:val="right"/>
            </w:pPr>
            <w:r>
              <w:t xml:space="preserve">34.932 s</w:t>
            </w:r>
          </w:p>
        </w:tc>
        <w:tc>
          <w:tcPr>
            <w:tcW w:type="dxa" w:w="1820"/>
            <w:tcMar>
              <w:top w:type="dxa" w:w="90"/>
              <w:left w:type="dxa" w:w="110"/>
              <w:bottom w:type="dxa" w:w="90"/>
              <w:right w:type="dxa" w:w="110"/>
            </w:tcMar>
          </w:tcPr>
          <w:p>
            <w:pPr>
              <w:spacing w:after="0" w:line="240"/>
              <w:jc w:val="right"/>
            </w:pPr>
            <w:r>
              <w:t xml:space="preserve">26.759 s</w:t>
            </w:r>
          </w:p>
        </w:tc>
        <w:tc>
          <w:tcPr>
            <w:tcW w:type="dxa" w:w="1820"/>
            <w:tcMar>
              <w:top w:type="dxa" w:w="90"/>
              <w:left w:type="dxa" w:w="110"/>
              <w:bottom w:type="dxa" w:w="90"/>
              <w:right w:type="dxa" w:w="110"/>
            </w:tcMar>
          </w:tcPr>
          <w:p>
            <w:pPr>
              <w:spacing w:after="0" w:line="240"/>
              <w:jc w:val="right"/>
            </w:pPr>
            <w:r>
              <w:t xml:space="preserve">2,871 行/s</w:t>
            </w:r>
          </w:p>
        </w:tc>
        <w:tc>
          <w:tcPr>
            <w:tcW w:type="dxa" w:w="1820"/>
            <w:tcMar>
              <w:top w:type="dxa" w:w="90"/>
              <w:left w:type="dxa" w:w="110"/>
              <w:bottom w:type="dxa" w:w="90"/>
              <w:right w:type="dxa" w:w="110"/>
            </w:tcMar>
          </w:tcPr>
          <w:p>
            <w:pPr>
              <w:spacing w:after="0" w:line="240"/>
              <w:jc w:val="right"/>
            </w:pPr>
            <w:r>
              <w:t xml:space="preserve">3,743 行/s</w:t>
            </w:r>
          </w:p>
        </w:tc>
      </w:tr>
      <w:tr>
        <w:trPr>
          <w:tblHeader w:val="false"/>
        </w:trPr>
        <w:tc>
          <w:tcPr>
            <w:tcW w:type="dxa" w:w="1820"/>
            <w:tcMar>
              <w:top w:type="dxa" w:w="90"/>
              <w:left w:type="dxa" w:w="110"/>
              <w:bottom w:type="dxa" w:w="90"/>
              <w:right w:type="dxa" w:w="110"/>
            </w:tcMar>
          </w:tcPr>
          <w:p>
            <w:pPr>
              <w:spacing w:after="0" w:line="240"/>
              <w:jc w:val="right"/>
            </w:pPr>
            <w:r>
              <w:t xml:space="preserve">100 万</w:t>
            </w:r>
          </w:p>
        </w:tc>
        <w:tc>
          <w:tcPr>
            <w:tcW w:type="dxa" w:w="1820"/>
            <w:tcMar>
              <w:top w:type="dxa" w:w="90"/>
              <w:left w:type="dxa" w:w="110"/>
              <w:bottom w:type="dxa" w:w="90"/>
              <w:right w:type="dxa" w:w="110"/>
            </w:tcMar>
          </w:tcPr>
          <w:p>
            <w:pPr>
              <w:spacing w:after="0" w:line="240"/>
              <w:jc w:val="right"/>
            </w:pPr>
            <w:r>
              <w:t xml:space="preserve">344.829 s</w:t>
            </w:r>
          </w:p>
        </w:tc>
        <w:tc>
          <w:tcPr>
            <w:tcW w:type="dxa" w:w="1820"/>
            <w:tcMar>
              <w:top w:type="dxa" w:w="90"/>
              <w:left w:type="dxa" w:w="110"/>
              <w:bottom w:type="dxa" w:w="90"/>
              <w:right w:type="dxa" w:w="110"/>
            </w:tcMar>
          </w:tcPr>
          <w:p>
            <w:pPr>
              <w:spacing w:after="0" w:line="240"/>
              <w:jc w:val="right"/>
            </w:pPr>
            <w:r>
              <w:t xml:space="preserve">264.094 s</w:t>
            </w:r>
          </w:p>
        </w:tc>
        <w:tc>
          <w:tcPr>
            <w:tcW w:type="dxa" w:w="1820"/>
            <w:tcMar>
              <w:top w:type="dxa" w:w="90"/>
              <w:left w:type="dxa" w:w="110"/>
              <w:bottom w:type="dxa" w:w="90"/>
              <w:right w:type="dxa" w:w="110"/>
            </w:tcMar>
          </w:tcPr>
          <w:p>
            <w:pPr>
              <w:spacing w:after="0" w:line="240"/>
              <w:jc w:val="right"/>
            </w:pPr>
            <w:r>
              <w:t xml:space="preserve">2,899 行/s</w:t>
            </w:r>
          </w:p>
        </w:tc>
        <w:tc>
          <w:tcPr>
            <w:tcW w:type="dxa" w:w="1820"/>
            <w:tcMar>
              <w:top w:type="dxa" w:w="90"/>
              <w:left w:type="dxa" w:w="110"/>
              <w:bottom w:type="dxa" w:w="90"/>
              <w:right w:type="dxa" w:w="110"/>
            </w:tcMar>
          </w:tcPr>
          <w:p>
            <w:pPr>
              <w:spacing w:after="0" w:line="240"/>
              <w:jc w:val="right"/>
            </w:pPr>
            <w:r>
              <w:t xml:space="preserve">3,787 行/s</w:t>
            </w:r>
          </w:p>
        </w:tc>
      </w:tr>
    </w:tbl>
    <w:p>
      <w:pPr>
        <w:spacing w:after="120"/>
      </w:pPr>
    </w:p>
    <w:p>
      <w:pPr>
        <w:pStyle w:val="Normal"/>
        <w:spacing w:after="130" w:line="360"/>
        <w:ind w:firstLine="420"/>
      </w:pPr>
      <w:r>
        <w:t xml:space="preserve">同环境下，批次 1000 相对 500 的中位耗时在三个规模分别降低 22.52%、23.40%、23.41%。这一差别不表示对所有字段类型和硬件的最优批次选择。三次测量共享同一对数据库容器，是技术重复；最大 JVM 堆池峰值约 65–66 MiB，且包含测试框架活动。图 6-1、图 6-2 由同一份汇总 CSV 自动生成。</w:t>
      </w:r>
    </w:p>
    <w:p>
      <w:pPr>
        <w:spacing w:after="60" w:before="150"/>
        <w:jc w:val="center"/>
      </w:pPr>
      <w:r>
        <w:drawing>
          <wp:inline distT="0" distB="0" distL="0" distR="0">
            <wp:extent cx="5524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19450"/>
                    </a:xfrm>
                    <a:prstGeom prst="rect">
                      <a:avLst/>
                    </a:prstGeom>
                  </pic:spPr>
                </pic:pic>
              </a:graphicData>
            </a:graphic>
          </wp:inline>
        </w:drawing>
      </w:r>
    </w:p>
    <w:p>
      <w:pPr>
        <w:pStyle w:val="Caption"/>
        <w:jc w:val="center"/>
      </w:pPr>
      <w:r>
        <w:t xml:space="preserve">图 6-1 全量复制中位耗时</w:t>
      </w:r>
    </w:p>
    <w:p>
      <w:pPr>
        <w:spacing w:after="60" w:before="150"/>
        <w:jc w:val="center"/>
      </w:pPr>
      <w:r>
        <w:drawing>
          <wp:inline distT="0" distB="0" distL="0" distR="0">
            <wp:extent cx="5524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19450"/>
                    </a:xfrm>
                    <a:prstGeom prst="rect">
                      <a:avLst/>
                    </a:prstGeom>
                  </pic:spPr>
                </pic:pic>
              </a:graphicData>
            </a:graphic>
          </wp:inline>
        </w:drawing>
      </w:r>
    </w:p>
    <w:p>
      <w:pPr>
        <w:pStyle w:val="Caption"/>
        <w:jc w:val="center"/>
      </w:pPr>
      <w:r>
        <w:t xml:space="preserve">图 6-2 全量复制平均吞吐</w:t>
      </w:r>
    </w:p>
    <w:p>
      <w:pPr>
        <w:pStyle w:val="Normal"/>
        <w:spacing w:after="130" w:line="360"/>
        <w:ind w:firstLine="420"/>
      </w:pPr>
      <w:r>
        <w:t xml:space="preserve">此前一轮 1 万行校验预实验只证明扫描可运行，且吞吐包含两个 CDC 探针，不可与表 6-1 的纯复制指标直接比较。</w:t>
      </w:r>
    </w:p>
    <w:p>
      <w:pPr>
        <w:pStyle w:val="Normal"/>
        <w:spacing w:after="130" w:line="360"/>
        <w:ind w:firstLine="420"/>
      </w:pPr>
      <w:r>
        <w:t xml:space="preserve">持续同步延迟另在独立 Testcontainers 中用真实 Debezium 和事件应用通道测得。任务达到 </w:t>
      </w:r>
      <w:r>
        <w:rPr>
          <w:rFonts w:ascii="Consolas" w:cs="Consolas" w:eastAsia="Consolas" w:hAnsi="Consolas"/>
          <w:color w:val="234F70"/>
        </w:rPr>
        <w:t xml:space="preserve">STREAMING</w:t>
      </w:r>
      <w:r>
        <w:t xml:space="preserve"> 后，对 100 个不同主键以计划 100 ms 间隔逐条提交更新，三轮共 300 条；PostgreSQL 每约 10 ms 轮询目标值。从源端 </w:t>
      </w:r>
      <w:r>
        <w:rPr>
          <w:rFonts w:ascii="Consolas" w:cs="Consolas" w:eastAsia="Consolas" w:hAnsi="Consolas"/>
          <w:color w:val="234F70"/>
        </w:rPr>
        <w:t xml:space="preserve">commit()</w:t>
      </w:r>
      <w:r>
        <w:t xml:space="preserve"> 调用之前到目标首次被看到的单调时间是“可观察延迟”，包含提交调用与轮询误差，不能称为纯 Binlog 传输延迟。最近秩法统计的结果见表 6-2，完整逐次数据、脚本与有效性威胁见</w:t>
      </w:r>
      <w:r>
        <w:rPr>
          <w:color w:val="1B4B80"/>
        </w:rPr>
        <w:t xml:space="preserve">CDC 延迟实验报告</w:t>
      </w:r>
      <w:r>
        <w:t xml:space="preserve">。</w:t>
      </w:r>
    </w:p>
    <w:p>
      <w:pPr>
        <w:pStyle w:val="Normal"/>
        <w:spacing w:after="130" w:line="360"/>
        <w:ind w:firstLine="420"/>
      </w:pPr>
      <w:r>
        <w:rPr>
          <w:b/>
          <w:bCs/>
        </w:rPr>
        <w:t xml:space="preserve">表 6-2 持续 CDC 可观察延迟（每轮 100 条）</w:t>
      </w:r>
    </w:p>
    <w:tbl>
      <w:tblPr>
        <w:tblW w:type="dxa" w:w="9100"/>
        <w:tblBorders>
          <w:top w:val="single" w:color="8494A8" w:sz="4"/>
          <w:left w:val="single" w:color="auto" w:sz="4"/>
          <w:bottom w:val="single" w:color="8494A8" w:sz="4"/>
          <w:right w:val="single" w:color="auto" w:sz="4"/>
          <w:insideH w:val="single" w:color="CCD4DE" w:sz="3"/>
          <w:insideV w:val="single" w:color="CCD4DE" w:sz="3"/>
        </w:tblBorders>
      </w:tblPr>
      <w:tblGrid>
        <w:gridCol w:w="2275"/>
        <w:gridCol w:w="2275"/>
        <w:gridCol w:w="2275"/>
        <w:gridCol w:w="2275"/>
      </w:tblGrid>
      <w:tr>
        <w:trPr>
          <w:tblHeader/>
        </w:trPr>
        <w:tc>
          <w:tcPr>
            <w:tcW w:type="dxa" w:w="2275"/>
            <w:shd w:fill="E8EDF3" w:val="clear"/>
            <w:tcMar>
              <w:top w:type="dxa" w:w="90"/>
              <w:left w:type="dxa" w:w="110"/>
              <w:bottom w:type="dxa" w:w="90"/>
              <w:right w:type="dxa" w:w="110"/>
            </w:tcMar>
          </w:tcPr>
          <w:p>
            <w:pPr>
              <w:spacing w:after="0" w:line="240"/>
              <w:jc w:val="right"/>
            </w:pPr>
            <w:r>
              <w:rPr>
                <w:b/>
                <w:bCs/>
              </w:rPr>
              <w:t xml:space="preserve">轮次</w:t>
            </w:r>
          </w:p>
        </w:tc>
        <w:tc>
          <w:tcPr>
            <w:tcW w:type="dxa" w:w="2275"/>
            <w:shd w:fill="E8EDF3" w:val="clear"/>
            <w:tcMar>
              <w:top w:type="dxa" w:w="90"/>
              <w:left w:type="dxa" w:w="110"/>
              <w:bottom w:type="dxa" w:w="90"/>
              <w:right w:type="dxa" w:w="110"/>
            </w:tcMar>
          </w:tcPr>
          <w:p>
            <w:pPr>
              <w:spacing w:after="0" w:line="240"/>
              <w:jc w:val="right"/>
            </w:pPr>
            <w:r>
              <w:rPr>
                <w:b/>
                <w:bCs/>
              </w:rPr>
              <w:t xml:space="preserve">P50</w:t>
            </w:r>
          </w:p>
        </w:tc>
        <w:tc>
          <w:tcPr>
            <w:tcW w:type="dxa" w:w="2275"/>
            <w:shd w:fill="E8EDF3" w:val="clear"/>
            <w:tcMar>
              <w:top w:type="dxa" w:w="90"/>
              <w:left w:type="dxa" w:w="110"/>
              <w:bottom w:type="dxa" w:w="90"/>
              <w:right w:type="dxa" w:w="110"/>
            </w:tcMar>
          </w:tcPr>
          <w:p>
            <w:pPr>
              <w:spacing w:after="0" w:line="240"/>
              <w:jc w:val="right"/>
            </w:pPr>
            <w:r>
              <w:rPr>
                <w:b/>
                <w:bCs/>
              </w:rPr>
              <w:t xml:space="preserve">P95</w:t>
            </w:r>
          </w:p>
        </w:tc>
        <w:tc>
          <w:tcPr>
            <w:tcW w:type="dxa" w:w="2275"/>
            <w:shd w:fill="E8EDF3" w:val="clear"/>
            <w:tcMar>
              <w:top w:type="dxa" w:w="90"/>
              <w:left w:type="dxa" w:w="110"/>
              <w:bottom w:type="dxa" w:w="90"/>
              <w:right w:type="dxa" w:w="110"/>
            </w:tcMar>
          </w:tcPr>
          <w:p>
            <w:pPr>
              <w:spacing w:after="0" w:line="240"/>
              <w:jc w:val="right"/>
            </w:pPr>
            <w:r>
              <w:rPr>
                <w:b/>
                <w:bCs/>
              </w:rPr>
              <w:t xml:space="preserve">P99</w:t>
            </w:r>
          </w:p>
        </w:tc>
      </w:tr>
      <w:tr>
        <w:trPr>
          <w:tblHeader w:val="false"/>
        </w:trPr>
        <w:tc>
          <w:tcPr>
            <w:tcW w:type="dxa" w:w="2275"/>
            <w:tcMar>
              <w:top w:type="dxa" w:w="90"/>
              <w:left w:type="dxa" w:w="110"/>
              <w:bottom w:type="dxa" w:w="90"/>
              <w:right w:type="dxa" w:w="110"/>
            </w:tcMar>
          </w:tcPr>
          <w:p>
            <w:pPr>
              <w:spacing w:after="0" w:line="240"/>
              <w:jc w:val="right"/>
            </w:pPr>
            <w:r>
              <w:t xml:space="preserve">1</w:t>
            </w:r>
          </w:p>
        </w:tc>
        <w:tc>
          <w:tcPr>
            <w:tcW w:type="dxa" w:w="2275"/>
            <w:tcMar>
              <w:top w:type="dxa" w:w="90"/>
              <w:left w:type="dxa" w:w="110"/>
              <w:bottom w:type="dxa" w:w="90"/>
              <w:right w:type="dxa" w:w="110"/>
            </w:tcMar>
          </w:tcPr>
          <w:p>
            <w:pPr>
              <w:spacing w:after="0" w:line="240"/>
              <w:jc w:val="right"/>
            </w:pPr>
            <w:r>
              <w:t xml:space="preserve">362.263 ms</w:t>
            </w:r>
          </w:p>
        </w:tc>
        <w:tc>
          <w:tcPr>
            <w:tcW w:type="dxa" w:w="2275"/>
            <w:tcMar>
              <w:top w:type="dxa" w:w="90"/>
              <w:left w:type="dxa" w:w="110"/>
              <w:bottom w:type="dxa" w:w="90"/>
              <w:right w:type="dxa" w:w="110"/>
            </w:tcMar>
          </w:tcPr>
          <w:p>
            <w:pPr>
              <w:spacing w:after="0" w:line="240"/>
              <w:jc w:val="right"/>
            </w:pPr>
            <w:r>
              <w:t xml:space="preserve">588.316 ms</w:t>
            </w:r>
          </w:p>
        </w:tc>
        <w:tc>
          <w:tcPr>
            <w:tcW w:type="dxa" w:w="2275"/>
            <w:tcMar>
              <w:top w:type="dxa" w:w="90"/>
              <w:left w:type="dxa" w:w="110"/>
              <w:bottom w:type="dxa" w:w="90"/>
              <w:right w:type="dxa" w:w="110"/>
            </w:tcMar>
          </w:tcPr>
          <w:p>
            <w:pPr>
              <w:spacing w:after="0" w:line="240"/>
              <w:jc w:val="right"/>
            </w:pPr>
            <w:r>
              <w:t xml:space="preserve">693.547 ms</w:t>
            </w:r>
          </w:p>
        </w:tc>
      </w:tr>
      <w:tr>
        <w:trPr>
          <w:tblHeader w:val="false"/>
        </w:trPr>
        <w:tc>
          <w:tcPr>
            <w:tcW w:type="dxa" w:w="2275"/>
            <w:tcMar>
              <w:top w:type="dxa" w:w="90"/>
              <w:left w:type="dxa" w:w="110"/>
              <w:bottom w:type="dxa" w:w="90"/>
              <w:right w:type="dxa" w:w="110"/>
            </w:tcMar>
          </w:tcPr>
          <w:p>
            <w:pPr>
              <w:spacing w:after="0" w:line="240"/>
              <w:jc w:val="right"/>
            </w:pPr>
            <w:r>
              <w:t xml:space="preserve">2</w:t>
            </w:r>
          </w:p>
        </w:tc>
        <w:tc>
          <w:tcPr>
            <w:tcW w:type="dxa" w:w="2275"/>
            <w:tcMar>
              <w:top w:type="dxa" w:w="90"/>
              <w:left w:type="dxa" w:w="110"/>
              <w:bottom w:type="dxa" w:w="90"/>
              <w:right w:type="dxa" w:w="110"/>
            </w:tcMar>
          </w:tcPr>
          <w:p>
            <w:pPr>
              <w:spacing w:after="0" w:line="240"/>
              <w:jc w:val="right"/>
            </w:pPr>
            <w:r>
              <w:t xml:space="preserve">330.687 ms</w:t>
            </w:r>
          </w:p>
        </w:tc>
        <w:tc>
          <w:tcPr>
            <w:tcW w:type="dxa" w:w="2275"/>
            <w:tcMar>
              <w:top w:type="dxa" w:w="90"/>
              <w:left w:type="dxa" w:w="110"/>
              <w:bottom w:type="dxa" w:w="90"/>
              <w:right w:type="dxa" w:w="110"/>
            </w:tcMar>
          </w:tcPr>
          <w:p>
            <w:pPr>
              <w:spacing w:after="0" w:line="240"/>
              <w:jc w:val="right"/>
            </w:pPr>
            <w:r>
              <w:t xml:space="preserve">558.900 ms</w:t>
            </w:r>
          </w:p>
        </w:tc>
        <w:tc>
          <w:tcPr>
            <w:tcW w:type="dxa" w:w="2275"/>
            <w:tcMar>
              <w:top w:type="dxa" w:w="90"/>
              <w:left w:type="dxa" w:w="110"/>
              <w:bottom w:type="dxa" w:w="90"/>
              <w:right w:type="dxa" w:w="110"/>
            </w:tcMar>
          </w:tcPr>
          <w:p>
            <w:pPr>
              <w:spacing w:after="0" w:line="240"/>
              <w:jc w:val="right"/>
            </w:pPr>
            <w:r>
              <w:t xml:space="preserve">590.278 ms</w:t>
            </w:r>
          </w:p>
        </w:tc>
      </w:tr>
      <w:tr>
        <w:trPr>
          <w:tblHeader w:val="false"/>
        </w:trPr>
        <w:tc>
          <w:tcPr>
            <w:tcW w:type="dxa" w:w="2275"/>
            <w:tcMar>
              <w:top w:type="dxa" w:w="90"/>
              <w:left w:type="dxa" w:w="110"/>
              <w:bottom w:type="dxa" w:w="90"/>
              <w:right w:type="dxa" w:w="110"/>
            </w:tcMar>
          </w:tcPr>
          <w:p>
            <w:pPr>
              <w:spacing w:after="0" w:line="240"/>
              <w:jc w:val="right"/>
            </w:pPr>
            <w:r>
              <w:t xml:space="preserve">3</w:t>
            </w:r>
          </w:p>
        </w:tc>
        <w:tc>
          <w:tcPr>
            <w:tcW w:type="dxa" w:w="2275"/>
            <w:tcMar>
              <w:top w:type="dxa" w:w="90"/>
              <w:left w:type="dxa" w:w="110"/>
              <w:bottom w:type="dxa" w:w="90"/>
              <w:right w:type="dxa" w:w="110"/>
            </w:tcMar>
          </w:tcPr>
          <w:p>
            <w:pPr>
              <w:spacing w:after="0" w:line="240"/>
              <w:jc w:val="right"/>
            </w:pPr>
            <w:r>
              <w:t xml:space="preserve">335.351 ms</w:t>
            </w:r>
          </w:p>
        </w:tc>
        <w:tc>
          <w:tcPr>
            <w:tcW w:type="dxa" w:w="2275"/>
            <w:tcMar>
              <w:top w:type="dxa" w:w="90"/>
              <w:left w:type="dxa" w:w="110"/>
              <w:bottom w:type="dxa" w:w="90"/>
              <w:right w:type="dxa" w:w="110"/>
            </w:tcMar>
          </w:tcPr>
          <w:p>
            <w:pPr>
              <w:spacing w:after="0" w:line="240"/>
              <w:jc w:val="right"/>
            </w:pPr>
            <w:r>
              <w:t xml:space="preserve">577.681 ms</w:t>
            </w:r>
          </w:p>
        </w:tc>
        <w:tc>
          <w:tcPr>
            <w:tcW w:type="dxa" w:w="2275"/>
            <w:tcMar>
              <w:top w:type="dxa" w:w="90"/>
              <w:left w:type="dxa" w:w="110"/>
              <w:bottom w:type="dxa" w:w="90"/>
              <w:right w:type="dxa" w:w="110"/>
            </w:tcMar>
          </w:tcPr>
          <w:p>
            <w:pPr>
              <w:spacing w:after="0" w:line="240"/>
              <w:jc w:val="right"/>
            </w:pPr>
            <w:r>
              <w:t xml:space="preserve">630.439 ms</w:t>
            </w:r>
          </w:p>
        </w:tc>
      </w:tr>
      <w:tr>
        <w:trPr>
          <w:tblHeader w:val="false"/>
        </w:trPr>
        <w:tc>
          <w:tcPr>
            <w:tcW w:type="dxa" w:w="2275"/>
            <w:tcMar>
              <w:top w:type="dxa" w:w="90"/>
              <w:left w:type="dxa" w:w="110"/>
              <w:bottom w:type="dxa" w:w="90"/>
              <w:right w:type="dxa" w:w="110"/>
            </w:tcMar>
          </w:tcPr>
          <w:p>
            <w:pPr>
              <w:spacing w:after="0" w:line="240"/>
              <w:jc w:val="right"/>
            </w:pPr>
            <w:r>
              <w:t xml:space="preserve">合并描述</w:t>
            </w:r>
          </w:p>
        </w:tc>
        <w:tc>
          <w:tcPr>
            <w:tcW w:type="dxa" w:w="2275"/>
            <w:tcMar>
              <w:top w:type="dxa" w:w="90"/>
              <w:left w:type="dxa" w:w="110"/>
              <w:bottom w:type="dxa" w:w="90"/>
              <w:right w:type="dxa" w:w="110"/>
            </w:tcMar>
          </w:tcPr>
          <w:p>
            <w:pPr>
              <w:spacing w:after="0" w:line="240"/>
              <w:jc w:val="right"/>
            </w:pPr>
            <w:r>
              <w:t xml:space="preserve">341.292 ms</w:t>
            </w:r>
          </w:p>
        </w:tc>
        <w:tc>
          <w:tcPr>
            <w:tcW w:type="dxa" w:w="2275"/>
            <w:tcMar>
              <w:top w:type="dxa" w:w="90"/>
              <w:left w:type="dxa" w:w="110"/>
              <w:bottom w:type="dxa" w:w="90"/>
              <w:right w:type="dxa" w:w="110"/>
            </w:tcMar>
          </w:tcPr>
          <w:p>
            <w:pPr>
              <w:spacing w:after="0" w:line="240"/>
              <w:jc w:val="right"/>
            </w:pPr>
            <w:r>
              <w:t xml:space="preserve">577.380 ms</w:t>
            </w:r>
          </w:p>
        </w:tc>
        <w:tc>
          <w:tcPr>
            <w:tcW w:type="dxa" w:w="2275"/>
            <w:tcMar>
              <w:top w:type="dxa" w:w="90"/>
              <w:left w:type="dxa" w:w="110"/>
              <w:bottom w:type="dxa" w:w="90"/>
              <w:right w:type="dxa" w:w="110"/>
            </w:tcMar>
          </w:tcPr>
          <w:p>
            <w:pPr>
              <w:spacing w:after="0" w:line="240"/>
              <w:jc w:val="right"/>
            </w:pPr>
            <w:r>
              <w:t xml:space="preserve">630.625 ms</w:t>
            </w:r>
          </w:p>
        </w:tc>
      </w:tr>
    </w:tbl>
    <w:p>
      <w:pPr>
        <w:spacing w:after="120"/>
      </w:pPr>
    </w:p>
    <w:p>
      <w:pPr>
        <w:spacing w:after="60" w:before="15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14700"/>
                    </a:xfrm>
                    <a:prstGeom prst="rect">
                      <a:avLst/>
                    </a:prstGeom>
                  </pic:spPr>
                </pic:pic>
              </a:graphicData>
            </a:graphic>
          </wp:inline>
        </w:drawing>
      </w:r>
    </w:p>
    <w:p>
      <w:pPr>
        <w:pStyle w:val="Caption"/>
        <w:jc w:val="center"/>
      </w:pPr>
      <w:r>
        <w:t xml:space="preserve">图 6-3 三轮 CDC 可观察延迟 ECDF</w:t>
      </w:r>
    </w:p>
    <w:p>
      <w:pPr>
        <w:pStyle w:val="Normal"/>
        <w:spacing w:after="130" w:line="360"/>
        <w:ind w:firstLine="420"/>
      </w:pPr>
      <w:r>
        <w:t xml:space="preserve">第一轮有较大的源端提交调用和计划节拍波动，因此三轮差异不应全部归因于 CDC 本身。三轮是同一任务、同一对容器中的技术重复，合并 300 条仅用于描述此次会话。</w:t>
      </w:r>
    </w:p>
    <w:p>
      <w:pPr>
        <w:pStyle w:val="Normal"/>
        <w:spacing w:after="130" w:line="360"/>
        <w:ind w:firstLine="420"/>
      </w:pPr>
      <w:r>
        <w:t xml:space="preserve">故障恢复实验另在独立双库中让业务任务运行于子 JVM，父进程分别等到“全量检查点已推进”“CDC 业务事件已持久化但应用游标未推进”“应用事务正在等待目标业务行锁”三个可观察窗口，然后强制终止子 JVM、确认退出并重启同一任务。每窗口三次、每次不同任务，停写追平后逐行比较源/目标。恢复耗时从重启调用计至 </w:t>
      </w:r>
      <w:r>
        <w:rPr>
          <w:rFonts w:ascii="Consolas" w:cs="Consolas" w:eastAsia="Consolas" w:hAnsi="Consolas"/>
          <w:color w:val="234F70"/>
        </w:rPr>
        <w:t xml:space="preserve">STREAMING</w:t>
      </w:r>
      <w:r>
        <w:t xml:space="preserve"> 且全行一致，</w:t>
      </w:r>
      <w:r>
        <w:rPr>
          <w:b/>
          <w:bCs/>
        </w:rPr>
        <w:t xml:space="preserve">包含 JVM 启动与剩余复制/应用</w:t>
      </w:r>
      <w:r>
        <w:t xml:space="preserve">；全量窗口在 1000 行只完成首批 10 行后中断，不能与仅更新一行的另两组直接比较。完整注入条件、9 条逐次数据及边界见</w:t>
      </w:r>
      <w:r>
        <w:rPr>
          <w:color w:val="1B4B80"/>
        </w:rPr>
        <w:t xml:space="preserve">故障恢复实验报告</w:t>
      </w:r>
      <w:r>
        <w:t xml:space="preserve">。</w:t>
      </w:r>
    </w:p>
    <w:p>
      <w:pPr>
        <w:pStyle w:val="Normal"/>
        <w:spacing w:after="130" w:line="360"/>
        <w:ind w:firstLine="420"/>
      </w:pPr>
      <w:r>
        <w:rPr>
          <w:b/>
          <w:bCs/>
        </w:rPr>
        <w:t xml:space="preserve">表 6-3 三故障窗口强杀后的恢复结果（每组 3 次）</w:t>
      </w:r>
    </w:p>
    <w:tbl>
      <w:tblPr>
        <w:tblW w:type="dxa" w:w="9100"/>
        <w:tblBorders>
          <w:top w:val="single" w:color="8494A8" w:sz="4"/>
          <w:left w:val="single" w:color="auto" w:sz="4"/>
          <w:bottom w:val="single" w:color="8494A8" w:sz="4"/>
          <w:right w:val="single" w:color="auto" w:sz="4"/>
          <w:insideH w:val="single" w:color="CCD4DE" w:sz="3"/>
          <w:insideV w:val="single" w:color="CCD4DE" w:sz="3"/>
        </w:tblBorders>
      </w:tblPr>
      <w:tblGrid>
        <w:gridCol w:w="2275"/>
        <w:gridCol w:w="2275"/>
        <w:gridCol w:w="2275"/>
        <w:gridCol w:w="2275"/>
      </w:tblGrid>
      <w:tr>
        <w:trPr>
          <w:tblHeader/>
        </w:trPr>
        <w:tc>
          <w:tcPr>
            <w:tcW w:type="dxa" w:w="2275"/>
            <w:shd w:fill="E8EDF3" w:val="clear"/>
            <w:tcMar>
              <w:top w:type="dxa" w:w="90"/>
              <w:left w:type="dxa" w:w="110"/>
              <w:bottom w:type="dxa" w:w="90"/>
              <w:right w:type="dxa" w:w="110"/>
            </w:tcMar>
          </w:tcPr>
          <w:p>
            <w:pPr>
              <w:spacing w:after="0" w:line="240"/>
              <w:jc w:val="left"/>
            </w:pPr>
            <w:r>
              <w:rPr>
                <w:b/>
                <w:bCs/>
              </w:rPr>
              <w:t xml:space="preserve">窗口</w:t>
            </w:r>
          </w:p>
        </w:tc>
        <w:tc>
          <w:tcPr>
            <w:tcW w:type="dxa" w:w="2275"/>
            <w:shd w:fill="E8EDF3" w:val="clear"/>
            <w:tcMar>
              <w:top w:type="dxa" w:w="90"/>
              <w:left w:type="dxa" w:w="110"/>
              <w:bottom w:type="dxa" w:w="90"/>
              <w:right w:type="dxa" w:w="110"/>
            </w:tcMar>
          </w:tcPr>
          <w:p>
            <w:pPr>
              <w:spacing w:after="0" w:line="240"/>
              <w:jc w:val="left"/>
            </w:pPr>
            <w:r>
              <w:rPr>
                <w:b/>
                <w:bCs/>
              </w:rPr>
              <w:t xml:space="preserve">三次恢复时间</w:t>
            </w:r>
          </w:p>
        </w:tc>
        <w:tc>
          <w:tcPr>
            <w:tcW w:type="dxa" w:w="2275"/>
            <w:shd w:fill="E8EDF3" w:val="clear"/>
            <w:tcMar>
              <w:top w:type="dxa" w:w="90"/>
              <w:left w:type="dxa" w:w="110"/>
              <w:bottom w:type="dxa" w:w="90"/>
              <w:right w:type="dxa" w:w="110"/>
            </w:tcMar>
          </w:tcPr>
          <w:p>
            <w:pPr>
              <w:spacing w:after="0" w:line="240"/>
              <w:jc w:val="right"/>
            </w:pPr>
            <w:r>
              <w:rPr>
                <w:b/>
                <w:bCs/>
              </w:rPr>
              <w:t xml:space="preserve">中位恢复时间</w:t>
            </w:r>
          </w:p>
        </w:tc>
        <w:tc>
          <w:tcPr>
            <w:tcW w:type="dxa" w:w="2275"/>
            <w:shd w:fill="E8EDF3" w:val="clear"/>
            <w:tcMar>
              <w:top w:type="dxa" w:w="90"/>
              <w:left w:type="dxa" w:w="110"/>
              <w:bottom w:type="dxa" w:w="90"/>
              <w:right w:type="dxa" w:w="110"/>
            </w:tcMar>
          </w:tcPr>
          <w:p>
            <w:pPr>
              <w:spacing w:after="0" w:line="240"/>
              <w:jc w:val="left"/>
            </w:pPr>
            <w:r>
              <w:rPr>
                <w:b/>
                <w:bCs/>
              </w:rPr>
              <w:t xml:space="preserve">三次最终差异行数</w:t>
            </w:r>
          </w:p>
        </w:tc>
      </w:tr>
      <w:tr>
        <w:trPr>
          <w:tblHeader w:val="false"/>
        </w:trPr>
        <w:tc>
          <w:tcPr>
            <w:tcW w:type="dxa" w:w="2275"/>
            <w:tcMar>
              <w:top w:type="dxa" w:w="90"/>
              <w:left w:type="dxa" w:w="110"/>
              <w:bottom w:type="dxa" w:w="90"/>
              <w:right w:type="dxa" w:w="110"/>
            </w:tcMar>
          </w:tcPr>
          <w:p>
            <w:pPr>
              <w:spacing w:after="0" w:line="240"/>
              <w:jc w:val="left"/>
            </w:pPr>
            <w:r>
              <w:t xml:space="preserve">全量写入</w:t>
            </w:r>
          </w:p>
        </w:tc>
        <w:tc>
          <w:tcPr>
            <w:tcW w:type="dxa" w:w="2275"/>
            <w:tcMar>
              <w:top w:type="dxa" w:w="90"/>
              <w:left w:type="dxa" w:w="110"/>
              <w:bottom w:type="dxa" w:w="90"/>
              <w:right w:type="dxa" w:w="110"/>
            </w:tcMar>
          </w:tcPr>
          <w:p>
            <w:pPr>
              <w:spacing w:after="0" w:line="240"/>
              <w:jc w:val="left"/>
            </w:pPr>
            <w:r>
              <w:t xml:space="preserve">14.420、14.599、14.276 s</w:t>
            </w:r>
          </w:p>
        </w:tc>
        <w:tc>
          <w:tcPr>
            <w:tcW w:type="dxa" w:w="2275"/>
            <w:tcMar>
              <w:top w:type="dxa" w:w="90"/>
              <w:left w:type="dxa" w:w="110"/>
              <w:bottom w:type="dxa" w:w="90"/>
              <w:right w:type="dxa" w:w="110"/>
            </w:tcMar>
          </w:tcPr>
          <w:p>
            <w:pPr>
              <w:spacing w:after="0" w:line="240"/>
              <w:jc w:val="right"/>
            </w:pPr>
            <w:r>
              <w:t xml:space="preserve">14.420 s</w:t>
            </w:r>
          </w:p>
        </w:tc>
        <w:tc>
          <w:tcPr>
            <w:tcW w:type="dxa" w:w="2275"/>
            <w:tcMar>
              <w:top w:type="dxa" w:w="90"/>
              <w:left w:type="dxa" w:w="110"/>
              <w:bottom w:type="dxa" w:w="90"/>
              <w:right w:type="dxa" w:w="110"/>
            </w:tcMar>
          </w:tcPr>
          <w:p>
            <w:pPr>
              <w:spacing w:after="0" w:line="240"/>
              <w:jc w:val="left"/>
            </w:pPr>
            <w:r>
              <w:t xml:space="preserve">0、0、0</w:t>
            </w:r>
          </w:p>
        </w:tc>
      </w:tr>
      <w:tr>
        <w:trPr>
          <w:tblHeader w:val="false"/>
        </w:trPr>
        <w:tc>
          <w:tcPr>
            <w:tcW w:type="dxa" w:w="2275"/>
            <w:tcMar>
              <w:top w:type="dxa" w:w="90"/>
              <w:left w:type="dxa" w:w="110"/>
              <w:bottom w:type="dxa" w:w="90"/>
              <w:right w:type="dxa" w:w="110"/>
            </w:tcMar>
          </w:tcPr>
          <w:p>
            <w:pPr>
              <w:spacing w:after="0" w:line="240"/>
              <w:jc w:val="left"/>
            </w:pPr>
            <w:r>
              <w:t xml:space="preserve">CDC 事件入库</w:t>
            </w:r>
          </w:p>
        </w:tc>
        <w:tc>
          <w:tcPr>
            <w:tcW w:type="dxa" w:w="2275"/>
            <w:tcMar>
              <w:top w:type="dxa" w:w="90"/>
              <w:left w:type="dxa" w:w="110"/>
              <w:bottom w:type="dxa" w:w="90"/>
              <w:right w:type="dxa" w:w="110"/>
            </w:tcMar>
          </w:tcPr>
          <w:p>
            <w:pPr>
              <w:spacing w:after="0" w:line="240"/>
              <w:jc w:val="left"/>
            </w:pPr>
            <w:r>
              <w:t xml:space="preserve">4.346、4.401、4.218 s</w:t>
            </w:r>
          </w:p>
        </w:tc>
        <w:tc>
          <w:tcPr>
            <w:tcW w:type="dxa" w:w="2275"/>
            <w:tcMar>
              <w:top w:type="dxa" w:w="90"/>
              <w:left w:type="dxa" w:w="110"/>
              <w:bottom w:type="dxa" w:w="90"/>
              <w:right w:type="dxa" w:w="110"/>
            </w:tcMar>
          </w:tcPr>
          <w:p>
            <w:pPr>
              <w:spacing w:after="0" w:line="240"/>
              <w:jc w:val="right"/>
            </w:pPr>
            <w:r>
              <w:t xml:space="preserve">4.346 s</w:t>
            </w:r>
          </w:p>
        </w:tc>
        <w:tc>
          <w:tcPr>
            <w:tcW w:type="dxa" w:w="2275"/>
            <w:tcMar>
              <w:top w:type="dxa" w:w="90"/>
              <w:left w:type="dxa" w:w="110"/>
              <w:bottom w:type="dxa" w:w="90"/>
              <w:right w:type="dxa" w:w="110"/>
            </w:tcMar>
          </w:tcPr>
          <w:p>
            <w:pPr>
              <w:spacing w:after="0" w:line="240"/>
              <w:jc w:val="left"/>
            </w:pPr>
            <w:r>
              <w:t xml:space="preserve">0、0、0</w:t>
            </w:r>
          </w:p>
        </w:tc>
      </w:tr>
      <w:tr>
        <w:trPr>
          <w:tblHeader w:val="false"/>
        </w:trPr>
        <w:tc>
          <w:tcPr>
            <w:tcW w:type="dxa" w:w="2275"/>
            <w:tcMar>
              <w:top w:type="dxa" w:w="90"/>
              <w:left w:type="dxa" w:w="110"/>
              <w:bottom w:type="dxa" w:w="90"/>
              <w:right w:type="dxa" w:w="110"/>
            </w:tcMar>
          </w:tcPr>
          <w:p>
            <w:pPr>
              <w:spacing w:after="0" w:line="240"/>
              <w:jc w:val="left"/>
            </w:pPr>
            <w:r>
              <w:t xml:space="preserve">事件回放</w:t>
            </w:r>
          </w:p>
        </w:tc>
        <w:tc>
          <w:tcPr>
            <w:tcW w:type="dxa" w:w="2275"/>
            <w:tcMar>
              <w:top w:type="dxa" w:w="90"/>
              <w:left w:type="dxa" w:w="110"/>
              <w:bottom w:type="dxa" w:w="90"/>
              <w:right w:type="dxa" w:w="110"/>
            </w:tcMar>
          </w:tcPr>
          <w:p>
            <w:pPr>
              <w:spacing w:after="0" w:line="240"/>
              <w:jc w:val="left"/>
            </w:pPr>
            <w:r>
              <w:t xml:space="preserve">4.231、4.250、4.226 s</w:t>
            </w:r>
          </w:p>
        </w:tc>
        <w:tc>
          <w:tcPr>
            <w:tcW w:type="dxa" w:w="2275"/>
            <w:tcMar>
              <w:top w:type="dxa" w:w="90"/>
              <w:left w:type="dxa" w:w="110"/>
              <w:bottom w:type="dxa" w:w="90"/>
              <w:right w:type="dxa" w:w="110"/>
            </w:tcMar>
          </w:tcPr>
          <w:p>
            <w:pPr>
              <w:spacing w:after="0" w:line="240"/>
              <w:jc w:val="right"/>
            </w:pPr>
            <w:r>
              <w:t xml:space="preserve">4.231 s</w:t>
            </w:r>
          </w:p>
        </w:tc>
        <w:tc>
          <w:tcPr>
            <w:tcW w:type="dxa" w:w="2275"/>
            <w:tcMar>
              <w:top w:type="dxa" w:w="90"/>
              <w:left w:type="dxa" w:w="110"/>
              <w:bottom w:type="dxa" w:w="90"/>
              <w:right w:type="dxa" w:w="110"/>
            </w:tcMar>
          </w:tcPr>
          <w:p>
            <w:pPr>
              <w:spacing w:after="0" w:line="240"/>
              <w:jc w:val="left"/>
            </w:pPr>
            <w:r>
              <w:t xml:space="preserve">0、0、0</w:t>
            </w:r>
          </w:p>
        </w:tc>
      </w:tr>
    </w:tbl>
    <w:p>
      <w:pPr>
        <w:spacing w:after="120"/>
      </w:pPr>
    </w:p>
    <w:p>
      <w:pPr>
        <w:pStyle w:val="Normal"/>
        <w:spacing w:after="130" w:line="360"/>
        <w:ind w:firstLine="420"/>
      </w:pPr>
      <w:r>
        <w:t xml:space="preserve">这证明上述被覆盖的故障条件下恢复后最终一致，不意味着任意时刻掉电、跨进程并发运行或数据库自身故障也有相同结论。三次同宿主、同容器的技术重复不提供生产 SLA 或部署间置信区间。</w:t>
      </w:r>
    </w:p>
    <w:p>
      <w:pPr>
        <w:pStyle w:val="Heading1"/>
        <w:spacing w:after="150" w:before="340"/>
      </w:pPr>
      <w:r>
        <w:t xml:space="preserve">7 总结与展望</w:t>
      </w:r>
    </w:p>
    <w:p>
      <w:pPr>
        <w:pStyle w:val="Normal"/>
        <w:spacing w:after="130" w:line="360"/>
        <w:ind w:firstLine="420"/>
      </w:pPr>
      <w:r>
        <w:t xml:space="preserve">在明确限制的单表场景中，DataBridge 已把历史数据搬运与持续变更捕获拆成两条通道，通过先记录事件、后顺序回放的交接策略避免旧全量值覆盖新变更，并以同事务检查点/游标和静默窗口双探针校验提供可检查的恢复与一致性依据。全量性能、稳定小更新下的可观察 CDC 延迟及三故障窗口强杀恢复已有逐次实验数据。JDBC </w:t>
      </w:r>
      <w:r>
        <w:rPr>
          <w:rFonts w:ascii="Consolas" w:cs="Consolas" w:eastAsia="Consolas" w:hAnsi="Consolas"/>
          <w:color w:val="234F70"/>
        </w:rPr>
        <w:t xml:space="preserve">ResultSet</w:t>
      </w:r>
      <w:r>
        <w:t xml:space="preserve"> 与 Debezium JSON 表示不同，因此两条通道保留独立输入适配，以共同的目标 schema 契约及边界/端到端测试约束结果，而不是形式上共用一个 </w:t>
      </w:r>
      <w:r>
        <w:rPr>
          <w:rFonts w:ascii="Consolas" w:cs="Consolas" w:eastAsia="Consolas" w:hAnsi="Consolas"/>
          <w:color w:val="234F70"/>
        </w:rPr>
        <w:t xml:space="preserve">RowMapper</w:t>
      </w:r>
      <w:r>
        <w:t xml:space="preserve">。现阶段仍缺少单进程以外的互斥与身份认证；不能据限定实验宣称通用数据库迁移或强一致能力。后续可研究更广的类型映射、数据库级租约/fencing、批次写入优化和更多数据库类型，但这些扩展须在既有正确性约束之上逐项验证。</w:t>
      </w:r>
    </w:p>
    <w:p>
      <w:pPr>
        <w:pStyle w:val="Heading1"/>
        <w:pageBreakBefore/>
        <w:spacing w:after="150" w:before="340"/>
      </w:pPr>
      <w:r>
        <w:t xml:space="preserve">参考资料（技术文档，正式论文需按学校格式核对）</w:t>
      </w:r>
    </w:p>
    <w:p>
      <w:pPr>
        <w:pStyle w:val="Normal"/>
        <w:numPr>
          <w:ilvl w:val="0"/>
          <w:numId w:val="2"/>
        </w:numPr>
        <w:spacing w:after="90" w:line="340"/>
      </w:pPr>
      <w:r>
        <w:t xml:space="preserve">Debezium. MySQL Connector Documentation. </w:t>
      </w:r>
      <w:r>
        <w:rPr>
          <w:color w:val="1B4B80"/>
        </w:rPr>
        <w:t xml:space="preserve">https://debezium.io/documentation/reference/stable/connectors/mysql.html</w:t>
      </w:r>
    </w:p>
    <w:p>
      <w:pPr>
        <w:pStyle w:val="Normal"/>
        <w:numPr>
          <w:ilvl w:val="0"/>
          <w:numId w:val="2"/>
        </w:numPr>
        <w:spacing w:after="90" w:line="340"/>
      </w:pPr>
      <w:r>
        <w:t xml:space="preserve">Oracle. MySQL 8.4 Reference Manual: Binary Logging Options and Variables. </w:t>
      </w:r>
      <w:r>
        <w:rPr>
          <w:color w:val="1B4B80"/>
        </w:rPr>
        <w:t xml:space="preserve">https://dev.mysql.com/doc/refman/8.4/en/replication-options-binary-log.html</w:t>
      </w:r>
    </w:p>
    <w:p>
      <w:pPr>
        <w:pStyle w:val="Normal"/>
        <w:numPr>
          <w:ilvl w:val="0"/>
          <w:numId w:val="2"/>
        </w:numPr>
        <w:spacing w:after="90" w:line="340"/>
      </w:pPr>
      <w:r>
        <w:t xml:space="preserve">PostgreSQL Global Development Group. PostgreSQL 17 Documentation: INSERT. </w:t>
      </w:r>
      <w:r>
        <w:rPr>
          <w:color w:val="1B4B80"/>
        </w:rPr>
        <w:t xml:space="preserve">https://www.postgresql.org/docs/17/sql-insert.html</w:t>
      </w:r>
    </w:p>
    <w:p>
      <w:pPr>
        <w:pStyle w:val="Normal"/>
        <w:numPr>
          <w:ilvl w:val="0"/>
          <w:numId w:val="2"/>
        </w:numPr>
        <w:spacing w:after="90" w:line="340"/>
      </w:pPr>
      <w:r>
        <w:t xml:space="preserve">Spring Boot Project. Database Initialization Documentation. </w:t>
      </w:r>
      <w:r>
        <w:rPr>
          <w:color w:val="1B4B80"/>
        </w:rPr>
        <w:t xml:space="preserve">https://docs.spring.io/spring-boot/how-to/data-initialization.html</w:t>
      </w:r>
    </w:p>
    <w:p>
      <w:pPr>
        <w:pStyle w:val="Normal"/>
        <w:numPr>
          <w:ilvl w:val="0"/>
          <w:numId w:val="2"/>
        </w:numPr>
        <w:spacing w:after="90" w:line="340"/>
      </w:pPr>
      <w:r>
        <w:t xml:space="preserve">Andreakis A, Papapanagiotou I. DBLog: A Watermark Based Change-Data-Capture Framework. arXiv:2010.12597, 2020. </w:t>
      </w:r>
      <w:r>
        <w:rPr>
          <w:color w:val="1B4B80"/>
        </w:rPr>
        <w:t xml:space="preserve">https://arxiv.org/abs/2010.12597</w:t>
      </w:r>
    </w:p>
    <w:p>
      <w:pPr>
        <w:pStyle w:val="Normal"/>
        <w:numPr>
          <w:ilvl w:val="0"/>
          <w:numId w:val="2"/>
        </w:numPr>
        <w:spacing w:after="90" w:line="340"/>
      </w:pPr>
      <w:r>
        <w:t xml:space="preserve">Thalheim B, Wang Q. Data migration: A theoretical perspective. Data &amp; Knowledge Engineering, 87:260–278, 2013. </w:t>
      </w:r>
      <w:r>
        <w:rPr>
          <w:color w:val="1B4B80"/>
        </w:rPr>
        <w:t xml:space="preserve">https://doi.org/10.1016/j.datak.2012.12.003</w:t>
      </w:r>
    </w:p>
    <w:p>
      <w:pPr>
        <w:pStyle w:val="Quote"/>
      </w:pPr>
      <w:r>
        <w:t xml:space="preserve">参考资料目前以官方技术文档为主；正式提交前需要补充经核实的相关研究文献，并按学校要求统一著录格式。封面作者、导师、原创性声明、签名及日期由本人按真实信息完成。</w:t>
      </w:r>
    </w:p>
    <w:sectPr>
      <w:headerReference w:type="default" r:id="rId7"/>
      <w:footerReference w:type="default" r:id="rId8"/>
      <w:pgSz w:w="11906" w:h="16838" w:orient="portrait"/>
      <w:pgMar w:top="1250" w:right="12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5"/>
        <w:sz w:val="16"/>
        <w:szCs w:val="16"/>
      </w:rPr>
      <w:t xml:space="preserve">DataBridge · 技术内容稿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30" w:line="360"/>
    </w:pPr>
    <w:rPr>
      <w:rFonts w:ascii="SimSun" w:cs="SimSun" w:eastAsia="SimSun" w:hAnsi="SimSun"/>
      <w:sz w:val="22"/>
      <w:szCs w:val="22"/>
    </w:rPr>
  </w:style>
  <w:style w:type="paragraph" w:styleId="Heading1">
    <w:name w:val="Heading 1"/>
    <w:basedOn w:val="Normal"/>
    <w:next w:val="Normal"/>
    <w:pPr>
      <w:spacing w:after="160" w:before="340"/>
      <w:outlineLvl w:val="0"/>
    </w:pPr>
    <w:rPr>
      <w:rFonts w:ascii="SimHei" w:cs="SimHei" w:eastAsia="SimHei" w:hAnsi="SimHei"/>
      <w:b/>
      <w:bCs/>
      <w:sz w:val="30"/>
      <w:szCs w:val="30"/>
    </w:rPr>
  </w:style>
  <w:style w:type="paragraph" w:styleId="Heading2">
    <w:name w:val="Heading 2"/>
    <w:basedOn w:val="Normal"/>
    <w:next w:val="Normal"/>
    <w:pPr>
      <w:spacing w:after="120" w:before="240"/>
      <w:outlineLvl w:val="1"/>
    </w:pPr>
    <w:rPr>
      <w:rFonts w:ascii="SimHei" w:cs="SimHei" w:eastAsia="SimHei" w:hAnsi="SimHei"/>
      <w:b/>
      <w:bCs/>
      <w:sz w:val="26"/>
      <w:szCs w:val="26"/>
    </w:rPr>
  </w:style>
  <w:style w:type="paragraph" w:styleId="Caption">
    <w:name w:val="Caption"/>
    <w:basedOn w:val="Normal"/>
    <w:pPr>
      <w:spacing w:after="200"/>
    </w:pPr>
    <w:rPr>
      <w:rFonts w:ascii="SimSun" w:cs="SimSun" w:eastAsia="SimSun" w:hAnsi="SimSun"/>
      <w:sz w:val="20"/>
      <w:szCs w:val="20"/>
    </w:rPr>
  </w:style>
  <w:style w:type="paragraph" w:styleId="Quote">
    <w:name w:val="Quote"/>
    <w:basedOn w:val="Normal"/>
    <w:pPr>
      <w:spacing w:after="140" w:line="320"/>
      <w:ind w:left="360" w:right="360"/>
    </w:pPr>
    <w:rPr>
      <w:rFonts w:ascii="SimSun" w:cs="SimSun" w:eastAsia="SimSun" w:hAnsi="SimSun"/>
      <w:color w:val="526171"/>
      <w:sz w:val="20"/>
      <w:szCs w:val="20"/>
    </w:rPr>
  </w:style>
  <w:style w:type="paragraph" w:styleId="Code">
    <w:name w:val="Code"/>
    <w:pPr>
      <w:spacing w:after="0" w:line="230"/>
      <w:ind w:left="240"/>
    </w:pPr>
    <w:rPr>
      <w:rFonts w:ascii="Consolas" w:cs="Consolas" w:eastAsia="Consolas" w:hAnsi="Consolas"/>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7432c4245ff40fdfe98991526b63ac73405710.png"/><Relationship Id="rId10" Type="http://schemas.openxmlformats.org/officeDocument/2006/relationships/image" Target="media/babb652c8662a4951e3b23664eb64fba301c9ac4.png"/><Relationship Id="rId11" Type="http://schemas.openxmlformats.org/officeDocument/2006/relationships/image" Target="media/5dae5d043f6d6745707b2229eddc5257de85f74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的异构数据库迁移与增量同步平台的设计与实现</dc:title>
  <dc:subject>Graduation project technical content draft</dc:subject>
  <dc:creator>DataBridge project</dc:creator>
  <cp:lastModifiedBy>Un-named</cp:lastModifiedBy>
  <cp:revision>1</cp:revision>
  <dcterms:created xsi:type="dcterms:W3CDTF">2026-10-19T17:32:44.566Z</dcterms:created>
  <dcterms:modified xsi:type="dcterms:W3CDTF">2026-10-19T17:32:44.568Z</dcterms:modified>
</cp:coreProperties>
</file>

<file path=docProps/custom.xml><?xml version="1.0" encoding="utf-8"?>
<Properties xmlns="http://schemas.openxmlformats.org/officeDocument/2006/custom-properties" xmlns:vt="http://schemas.openxmlformats.org/officeDocument/2006/docPropsVTypes"/>
</file>