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55FC">
      <w:pPr>
        <w:spacing w:before="960"/>
        <w:jc w:val="center"/>
      </w:pPr>
      <w:bookmarkStart w:id="0" w:name="_GoBack"/>
      <w:bookmarkEnd w:id="0"/>
      <w:r>
        <w:rPr>
          <w:rFonts w:ascii="Arial" w:hAnsi="Arial" w:eastAsia="微软雅黑" w:cs="Arial"/>
          <w:b/>
          <w:color w:val="1F4E79"/>
          <w:sz w:val="36"/>
        </w:rPr>
        <w:t>FusionCore</w:t>
      </w:r>
    </w:p>
    <w:p w14:paraId="35FC0C44">
      <w:pPr>
        <w:jc w:val="center"/>
      </w:pPr>
      <w:r>
        <w:rPr>
          <w:rFonts w:ascii="Arial" w:hAnsi="Arial" w:eastAsia="微软雅黑" w:cs="Arial"/>
          <w:b/>
          <w:color w:val="1F4E79"/>
          <w:sz w:val="40"/>
        </w:rPr>
        <w:t>FusionDomain 领域对象模型设计说明书</w:t>
      </w:r>
    </w:p>
    <w:p w14:paraId="58AD9E6E">
      <w:pPr>
        <w:jc w:val="center"/>
      </w:pPr>
      <w:r>
        <w:rPr>
          <w:rFonts w:ascii="Arial" w:hAnsi="Arial" w:eastAsia="Arial" w:cs="Arial"/>
          <w:color w:val="666666"/>
          <w:sz w:val="21"/>
        </w:rPr>
        <w:t>Domain Model Design Specification</w:t>
      </w:r>
    </w:p>
    <w:p w14:paraId="1D685E9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51CE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57AB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项目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3F18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内容</w:t>
            </w:r>
          </w:p>
        </w:tc>
      </w:tr>
      <w:tr w14:paraId="7A9B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7EC8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文档编号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96C5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FC-DOM-002</w:t>
            </w:r>
          </w:p>
        </w:tc>
      </w:tr>
      <w:tr w14:paraId="3A7E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E309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版本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FC44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v1.1</w:t>
            </w:r>
          </w:p>
        </w:tc>
      </w:tr>
      <w:tr w14:paraId="03B4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B894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状态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9BF1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Draft / 兼容修订版</w:t>
            </w:r>
          </w:p>
        </w:tc>
      </w:tr>
      <w:tr w14:paraId="54EF9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A990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编制日期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3F31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2026-03-23</w:t>
            </w:r>
          </w:p>
        </w:tc>
      </w:tr>
      <w:tr w14:paraId="2EB7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4837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适用范围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CA26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FusionCore 半导体设备平台领域层</w:t>
            </w:r>
          </w:p>
        </w:tc>
      </w:tr>
      <w:tr w14:paraId="5253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406A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关联文档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BB56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FC-ARCH-001《FusionCore 系统分层与模块职责设计说明书》</w:t>
            </w:r>
          </w:p>
        </w:tc>
      </w:tr>
    </w:tbl>
    <w:p w14:paraId="78EDA05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3EE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14AC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1F1F1F"/>
                <w:sz w:val="21"/>
              </w:rPr>
              <w:t>编写说明</w:t>
            </w:r>
          </w:p>
        </w:tc>
      </w:tr>
      <w:tr w14:paraId="0657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7306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20"/>
              </w:rPr>
              <w:t>本版为兼容性修订版本。文档统一采用常见中文办公字体设定，移除易引发乱码的特殊字符、复杂符号和图形内嵌文字，保留领域模型主结构、对象边界与标准映射约束，可作为后续 Scheduler、FA、UI 与数据库详细设计的上位基线。</w:t>
            </w:r>
          </w:p>
        </w:tc>
      </w:tr>
    </w:tbl>
    <w:p w14:paraId="69C6FED3"/>
    <w:p w14:paraId="6092DE73">
      <w:pPr>
        <w:spacing w:before="400"/>
        <w:jc w:val="center"/>
      </w:pPr>
      <w:r>
        <w:rPr>
          <w:rFonts w:ascii="Times New Roman" w:hAnsi="Times New Roman" w:eastAsia="宋体" w:cs="Times New Roman"/>
          <w:color w:val="666666"/>
          <w:sz w:val="21"/>
        </w:rPr>
        <w:t>FusionCore 架构设计组</w:t>
      </w:r>
    </w:p>
    <w:p w14:paraId="559427EA">
      <w:r>
        <w:br w:type="page"/>
      </w:r>
    </w:p>
    <w:p w14:paraId="530EFE14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目录</w:t>
      </w:r>
    </w:p>
    <w:p w14:paraId="5865A7E0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1. 文档控制</w:t>
      </w:r>
    </w:p>
    <w:p w14:paraId="16B4C12B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2. 文档目的、范围与非目标</w:t>
      </w:r>
    </w:p>
    <w:p w14:paraId="0B89CA31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3. 参考资料与标准依据</w:t>
      </w:r>
    </w:p>
    <w:p w14:paraId="0B3BB4E0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4. 设计原则</w:t>
      </w:r>
    </w:p>
    <w:p w14:paraId="79BA7FB1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5. 领域边界与有界上下文</w:t>
      </w:r>
    </w:p>
    <w:p w14:paraId="55355B9B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6. 统一术语与对象分类</w:t>
      </w:r>
    </w:p>
    <w:p w14:paraId="1C0A96FB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7. 核心聚合与实体设计</w:t>
      </w:r>
    </w:p>
    <w:p w14:paraId="6DBC007B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8. 关键值对象设计</w:t>
      </w:r>
    </w:p>
    <w:p w14:paraId="72CE5CCC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9. 核心状态模型基线</w:t>
      </w:r>
    </w:p>
    <w:p w14:paraId="56D6E5AD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10. 关键业务不变量</w:t>
      </w:r>
    </w:p>
    <w:p w14:paraId="03D8A628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11. 领域事件与应用服务</w:t>
      </w:r>
    </w:p>
    <w:p w14:paraId="2F4729F1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12. 与 SEMI 标准的映射策略</w:t>
      </w:r>
    </w:p>
    <w:p w14:paraId="7758ACCB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13. 推荐的代码包与命名结构</w:t>
      </w:r>
    </w:p>
    <w:p w14:paraId="609F74B4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14. 场景验证示例</w:t>
      </w:r>
    </w:p>
    <w:p w14:paraId="5E938135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15. 风险、开放问题与后续工作</w:t>
      </w:r>
    </w:p>
    <w:p w14:paraId="744FE42F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16. 结论</w:t>
      </w:r>
    </w:p>
    <w:p w14:paraId="4E0B213E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附录 A. 关键值对象建议</w:t>
      </w:r>
    </w:p>
    <w:p w14:paraId="2F93F849">
      <w:pPr>
        <w:pStyle w:val="19"/>
        <w:spacing w:after="40" w:line="288" w:lineRule="auto"/>
        <w:ind w:left="0" w:firstLine="0"/>
      </w:pPr>
      <w:r>
        <w:rPr>
          <w:rFonts w:ascii="Times New Roman" w:hAnsi="Times New Roman" w:eastAsia="宋体" w:cs="Times New Roman"/>
          <w:b w:val="0"/>
          <w:sz w:val="21"/>
        </w:rPr>
        <w:t>附录 B. 第一阶段实现优先级</w:t>
      </w:r>
    </w:p>
    <w:p w14:paraId="1BD19766">
      <w:r>
        <w:br w:type="page"/>
      </w:r>
    </w:p>
    <w:p w14:paraId="7617C576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1. 文档控制</w:t>
      </w:r>
    </w:p>
    <w:p w14:paraId="00AF429F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本章定义文档控制信息、版本变更、审阅角色和术语约定。该信息用于支撑后续评审、基线冻结、版本追踪和设计变更管理。</w:t>
      </w:r>
    </w:p>
    <w:p w14:paraId="4C27EAD3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1.1 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598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17A5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版本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9626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日期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75EB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修订内容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E3EA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修订人</w:t>
            </w:r>
          </w:p>
        </w:tc>
      </w:tr>
      <w:tr w14:paraId="2FCC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7B71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v1.0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0DA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2026-03-23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BDEE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初版领域模型基线，形成有界上下文、聚合和状态模型骨架。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EFCA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FusionCore 架构设计组</w:t>
            </w:r>
          </w:p>
        </w:tc>
      </w:tr>
      <w:tr w14:paraId="5C02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6681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v1.1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CD17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2026-03-23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E2F9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兼容性修订：统一中文字体、简化图形表达、移除可能导致乱码的特殊字符，并对表格和章节格式进行标准化处理。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4C3C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FusionCore 架构设计组</w:t>
            </w:r>
          </w:p>
        </w:tc>
      </w:tr>
    </w:tbl>
    <w:p w14:paraId="764D9736"/>
    <w:p w14:paraId="1A2F24E6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1.2 审阅与批准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A41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12CB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角色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64CA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职责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03B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建议责任人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F4E7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状态</w:t>
            </w:r>
          </w:p>
        </w:tc>
      </w:tr>
      <w:tr w14:paraId="0F722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A869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架构负责人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7220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确认领域边界、聚合边界和对象命名是否稳定。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39B3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待指定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AB2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待审阅</w:t>
            </w:r>
          </w:p>
        </w:tc>
      </w:tr>
      <w:tr w14:paraId="3AEC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4548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控制软件负责人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0671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确认领域模型是否可承载 PM、TM、CM、BM 业务。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D2AF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待指定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21AC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待审阅</w:t>
            </w:r>
          </w:p>
        </w:tc>
      </w:tr>
      <w:tr w14:paraId="2E24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7E35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FA 负责人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32AE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确认 Carrier、Substrate、ControlJob、ProcessJob 等对象可映射至标准对外语义。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A394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待指定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8502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待审阅</w:t>
            </w:r>
          </w:p>
        </w:tc>
      </w:tr>
      <w:tr w14:paraId="52CC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9F4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测试与仿真负责人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3EC6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确认状态模型可用于仿真、恢复和回归测试。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DDA5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待指定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ABFC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待审阅</w:t>
            </w:r>
          </w:p>
        </w:tc>
      </w:tr>
    </w:tbl>
    <w:p w14:paraId="593ED14B"/>
    <w:p w14:paraId="583111A6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1.3 术语约定</w:t>
      </w:r>
    </w:p>
    <w:p w14:paraId="4CDCF372">
      <w:pPr>
        <w:pStyle w:val="19"/>
        <w:spacing w:after="80" w:line="300" w:lineRule="auto"/>
        <w:ind w:firstLine="0"/>
      </w:pPr>
      <w:r>
        <w:rPr>
          <w:rFonts w:ascii="Times New Roman" w:hAnsi="Times New Roman" w:eastAsia="宋体" w:cs="Times New Roman"/>
          <w:sz w:val="21"/>
        </w:rPr>
        <w:t>本文件中的“领域真相”指系统内部对设备、物料、作业、配方、告警和事件的最终语义归属。UI 查询结果、日志投影、SECS 或 GEM 报文对象均不得替代领域真相。</w:t>
      </w:r>
    </w:p>
    <w:p w14:paraId="3538F1AC">
      <w:pPr>
        <w:pStyle w:val="19"/>
        <w:spacing w:after="80" w:line="300" w:lineRule="auto"/>
        <w:ind w:firstLine="0"/>
      </w:pPr>
      <w:r>
        <w:rPr>
          <w:rFonts w:ascii="Times New Roman" w:hAnsi="Times New Roman" w:eastAsia="宋体" w:cs="Times New Roman"/>
          <w:sz w:val="21"/>
        </w:rPr>
        <w:t>本文件中的“领域对象模型”不仅指类结构或数据库表结构，还包括对象边界、状态、约束、生命周期、跨对象协作方式以及领域事件语义。</w:t>
      </w:r>
    </w:p>
    <w:p w14:paraId="54EA0AF4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2. 文档目的、范围与非目标</w:t>
      </w:r>
    </w:p>
    <w:p w14:paraId="4773299F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本文件定义 FusionCore 中 FusionDomain 的领域对象模型基线。其目标是为半导体设备控制平台建立统一语义，确保设备模块、调度、工厂自动化、界面和追溯系统围绕同一组对象与规则协作。</w:t>
      </w:r>
    </w:p>
    <w:p w14:paraId="1BEB143D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2.1 文档目的</w:t>
      </w:r>
    </w:p>
    <w:p w14:paraId="5A3CD226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统一半导体设备软件中的核心名词，避免 PM、TM、CM、BM、Scheduler、FA、UI 各自定义不同对象语义。</w:t>
      </w:r>
    </w:p>
    <w:p w14:paraId="2AA97EF4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明确哪些对象属于领域层，哪些对象仅为协议映射、查询投影或基础设施对象。</w:t>
      </w:r>
    </w:p>
    <w:p w14:paraId="08BA1E0A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明确聚合边界、状态基线、核心约束和事件清单，为后续详细设计和代码仓库结构提供依据。</w:t>
      </w:r>
    </w:p>
    <w:p w14:paraId="7E6E8F0D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为 FusionScheduler、FusionFA、FusionSim、数据库模型和测试用例提供可追溯的上位约束。</w:t>
      </w:r>
    </w:p>
    <w:p w14:paraId="5E0BBFEE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2.2 范围</w:t>
      </w:r>
    </w:p>
    <w:p w14:paraId="331D17A5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FusionDomain 内的有界上下文、聚合根、实体、值对象、领域服务、领域事件和仓储接口。</w:t>
      </w:r>
    </w:p>
    <w:p w14:paraId="5A5E288F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设备、物料、作业、配方、告警、事件和运行状态的统一建模。</w:t>
      </w:r>
    </w:p>
    <w:p w14:paraId="605F9155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与 SEMI E87、E90、E94、E40、E42、E120 等标准语义的一致性策略。</w:t>
      </w:r>
    </w:p>
    <w:p w14:paraId="0621289D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面向半导体单机设备、Cluster Tool、内部带 Buffer 的生产设备以及需要 Host 或 EAP 接入的软件场景。</w:t>
      </w:r>
    </w:p>
    <w:p w14:paraId="1FD7D864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2.3 非目标</w:t>
      </w:r>
    </w:p>
    <w:p w14:paraId="25BB4933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不定义具体 WPF 页面、导航和交互细节；该部分由 FusionUI 与 E95 对齐文档负责。</w:t>
      </w:r>
    </w:p>
    <w:p w14:paraId="545E13CE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不定义 HSMS、SECS-II、GEM 的报文字段与通信会话细节；该部分由 FusionFA 详细设计负责。</w:t>
      </w:r>
    </w:p>
    <w:p w14:paraId="4EE3AD4E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不定义 PLC、Motion、Vision、IO 等底层驱动和硬件接线实现；这些属于设备能力层。</w:t>
      </w:r>
    </w:p>
    <w:p w14:paraId="6783464E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不在本文件中展开调度算法、路由优化或恢复策略求解器；这些属于 FusionScheduler。</w:t>
      </w:r>
    </w:p>
    <w:p w14:paraId="7FAC9BA3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2.4 与其他设计文档的关系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099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2289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文档编号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1C46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文档名称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131F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与本文件的关系</w:t>
            </w:r>
          </w:p>
        </w:tc>
      </w:tr>
      <w:tr w14:paraId="02A4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2411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FC-ARCH-001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959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FusionCore 系统分层与模块职责设计说明书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34DA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定义系统分层和模块职责，本文件在其约束下细化领域语义。</w:t>
            </w:r>
          </w:p>
        </w:tc>
      </w:tr>
      <w:tr w14:paraId="0026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CC5A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FC-SCH-003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0E8C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FusionScheduler 调度与物料流转设计说明书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7F8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消费本文件中的作业、物料、配方和状态模型。</w:t>
            </w:r>
          </w:p>
        </w:tc>
      </w:tr>
      <w:tr w14:paraId="7A9B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D64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FC-FA-004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F572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FusionFA 工厂自动化接口设计说明书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0F5E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将本文件中的领域对象映射为 Host 或 EAP 可识别的标准对象。</w:t>
            </w:r>
          </w:p>
        </w:tc>
      </w:tr>
      <w:tr w14:paraId="3D91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2454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FC-UI-005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4C5E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FusionUI 与 E95 对齐设计说明书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DD2E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基于领域对象的查询投影与操作语义构建界面。</w:t>
            </w:r>
          </w:p>
        </w:tc>
      </w:tr>
    </w:tbl>
    <w:p w14:paraId="6710AC0A"/>
    <w:p w14:paraId="2F0B896C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3. 参考资料与标准依据</w:t>
      </w:r>
    </w:p>
    <w:p w14:paraId="753D7449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本文件的对象命名和边界划分，主要参考你提供的 SEMI 资料包与既有半导体设备开发经验；同时将标准对象语义与 FusionCore 的架构分层要求进行结合。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CE7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B957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编号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509D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资料名称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B164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用途</w:t>
            </w:r>
          </w:p>
        </w:tc>
      </w:tr>
      <w:tr w14:paraId="5AB1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85F5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R1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420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semi_1106.pdf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C3D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作为标准语义总参考，用于识别 Carrier、Substrate、Control Job、Process Job、Recipe 等核心对象的定义来源。</w:t>
            </w:r>
          </w:p>
        </w:tc>
      </w:tr>
      <w:tr w14:paraId="3A8F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1157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R2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9BAB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300mm Operational Flowcharts and Scenarios V10.pdf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EC01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用于对照 300 mm 设备常见运行流、作业关系、物料移动和异常处置场景。</w:t>
            </w:r>
          </w:p>
        </w:tc>
      </w:tr>
      <w:tr w14:paraId="4956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5BD0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R3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B7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半导体设备的人机界面 SEMI E95 标准.pdf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9244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用于界面对象语义和功能区划分的一致性参考。</w:t>
            </w:r>
          </w:p>
        </w:tc>
      </w:tr>
      <w:tr w14:paraId="0CB8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CDFE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R4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8777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FC-ARCH-001《FusionCore 系统分层与模块职责设计说明书》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A7C6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提供本文件必须遵守的系统分层、责任边界和模块关系。</w:t>
            </w:r>
          </w:p>
        </w:tc>
      </w:tr>
    </w:tbl>
    <w:p w14:paraId="0E45AE3B"/>
    <w:p w14:paraId="3613CE72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3.1 关键标准与吸收重点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D90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5A58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标准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1ED4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标准主题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681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本文件吸收重点</w:t>
            </w:r>
          </w:p>
        </w:tc>
      </w:tr>
      <w:tr w14:paraId="16C1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A395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E87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54A1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Carrier Management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623F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Carrier、Load Port、保留、关联、入站与出站语义。</w:t>
            </w:r>
          </w:p>
        </w:tc>
      </w:tr>
      <w:tr w14:paraId="5780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805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E90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53FE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Substrate Tracking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0565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Substrate、位置、运输状态、加工状态和可追溯性。</w:t>
            </w:r>
          </w:p>
        </w:tc>
      </w:tr>
      <w:tr w14:paraId="3042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61B8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E94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4194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Control Job Management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52C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面向工厂协调的一组物料工作编组语义。</w:t>
            </w:r>
          </w:p>
        </w:tc>
      </w:tr>
      <w:tr w14:paraId="0AE1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95EA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E40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B6D5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Processing Management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649E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Process Job、处理资源、处理生命周期。</w:t>
            </w:r>
          </w:p>
        </w:tc>
      </w:tr>
      <w:tr w14:paraId="7E1FA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0034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E42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D5C1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Recipe Management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B605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配方定义、版本、校验、执行引用。</w:t>
            </w:r>
          </w:p>
        </w:tc>
      </w:tr>
      <w:tr w14:paraId="714B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92D0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E120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D1F9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Common Equipment Model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535F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9"/>
              </w:rPr>
              <w:t>设备、模块、能力和物理拓扑的稳定表达方式。</w:t>
            </w:r>
          </w:p>
        </w:tc>
      </w:tr>
    </w:tbl>
    <w:p w14:paraId="723C6C31"/>
    <w:p w14:paraId="1C8F1B65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4. 设计原则</w:t>
      </w:r>
    </w:p>
    <w:p w14:paraId="602E9FC3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FusionDomain 的设计遵循“标准驱动、领域优先、聚合清晰、真相唯一、状态可审计、边界明确”的原则。以下原则为后续实现阶段的强约束，除非通过正式变更流程，不得在项目代码中被绕开。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CD3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9E1E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编号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B467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原则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2FBA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C78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838D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P1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6535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语义优先于实现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FEC1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先定义对象的业务意义，再讨论数据库、协议字段和界面呈现。任何实现优化都不得削弱对象原有语义。</w:t>
            </w:r>
          </w:p>
        </w:tc>
      </w:tr>
      <w:tr w14:paraId="35E5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889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P2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A009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标准驱动但不被报文绑架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AD9C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领域模型吸收标准中的稳定对象语义，但不直接等同于单一消息结构。</w:t>
            </w:r>
          </w:p>
        </w:tc>
      </w:tr>
      <w:tr w14:paraId="69DC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D6E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P3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45EA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领域真相唯一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28FD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设备状态、物料位置、作业状态、配方版本和告警状态在系统中只能有一个主语义来源。</w:t>
            </w:r>
          </w:p>
        </w:tc>
      </w:tr>
      <w:tr w14:paraId="47F38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DB76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P4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20FF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聚合边界明确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36F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跨聚合协作以标识符、命令和领域事件为主，避免跨聚合直接持有可变对象。</w:t>
            </w:r>
          </w:p>
        </w:tc>
      </w:tr>
      <w:tr w14:paraId="1C7F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720C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P5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F15A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行为分层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450E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 定义语义与规则；FusionScheduler 负责编排；FusionFA 负责映射；FusionUI 负责展示。</w:t>
            </w:r>
          </w:p>
        </w:tc>
      </w:tr>
      <w:tr w14:paraId="27AE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CFFB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P6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A8C5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状态可追踪、可重建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D2D5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关键对象必须具有足够的状态和事件信息，以支持恢复、追溯和离线仿真。</w:t>
            </w:r>
          </w:p>
        </w:tc>
      </w:tr>
      <w:tr w14:paraId="0858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A508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P7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EE96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面向多模块设备拓扑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1D84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领域模型天然支持 PM、TM、CM、BM、LoadPort、Aligner 等模块组合，而不是只适配单腔体设备。</w:t>
            </w:r>
          </w:p>
        </w:tc>
      </w:tr>
    </w:tbl>
    <w:p w14:paraId="0318FE79"/>
    <w:p w14:paraId="30696FCB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5. 领域边界与有界上下文</w:t>
      </w:r>
    </w:p>
    <w:p w14:paraId="6E2E3C3F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FusionDomain 内部进一步划分为若干有界上下文，以降低耦合、明确对象所有权并避免领域对象失控增长。上下文之间通过标识符、应用服务和领域事件协作，不通过任意对象图直接穿透。</w:t>
      </w:r>
    </w:p>
    <w:p w14:paraId="6FCCF3ED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5.1 上下文划分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4DD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E6AF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上下文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F6B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主题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F782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拥有的对象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3629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职责</w:t>
            </w:r>
          </w:p>
        </w:tc>
      </w:tr>
      <w:tr w14:paraId="7FA3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79D2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EquipmentStructure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6798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设备结构与能力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B40C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Equipment、EquipmentModule、ModuleCapability、TopologyLink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459D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设备实例身份、模块拓扑、静态能力边界。</w:t>
            </w:r>
          </w:p>
        </w:tc>
      </w:tr>
      <w:tr w14:paraId="5716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EA80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EquipmentRuntime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B239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设备运行态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9053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EquipmentRuntimeState、ModuleRuntimeState、Mode、InterlockSnapshot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9741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运行模式、可用性、联锁快照和健康度。</w:t>
            </w:r>
          </w:p>
        </w:tc>
      </w:tr>
      <w:tr w14:paraId="4826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CCB1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MaterialTracking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A602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物料跟踪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C470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Carrier、Substrate、SubstrateLocation、MaterialIdentity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EAD3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物料身份、位置、归属、去向和生命周期。</w:t>
            </w:r>
          </w:p>
        </w:tc>
      </w:tr>
      <w:tr w14:paraId="240F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BFED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JobManagement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778D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作业管理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D8B1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ControlJob、ProcessJob、JobLinkage、MaterialDisposition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B9A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工厂工作编组、处理作业和作业关系。</w:t>
            </w:r>
          </w:p>
        </w:tc>
      </w:tr>
      <w:tr w14:paraId="70D7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BFF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RecipeManagement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2E64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配方管理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68D7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RecipeDefinition、RecipeVersion、ParameterSet、RecipeBinding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72B6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配方定义、版本、参数模板和执行引用。</w:t>
            </w:r>
          </w:p>
        </w:tc>
      </w:tr>
      <w:tr w14:paraId="2E8A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2C6F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AlarmEvent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995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告警与事件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79B2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AlarmOccurrence、EventRecord、DomainEventEnvelope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B275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异常实例、业务事实、审计与追溯。</w:t>
            </w:r>
          </w:p>
        </w:tc>
      </w:tr>
    </w:tbl>
    <w:p w14:paraId="00937772"/>
    <w:p w14:paraId="0A2CA71A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5.2 边界规则</w:t>
      </w:r>
    </w:p>
    <w:p w14:paraId="60E91FF2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Scheduler 可以通过应用服务改变 ControlJob、ProcessJob、Substrate 等对象状态，但不得绕过领域校验规则直接写库。</w:t>
      </w:r>
    </w:p>
    <w:p w14:paraId="011FABE1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FA 层可以依据 Host 指令触发应用服务，但不能把 SECS 或 GEM 报文对象直接当作领域对象持久化。</w:t>
      </w:r>
    </w:p>
    <w:p w14:paraId="441575D1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UI 页面只能绑定查询投影和 ViewModel，不直接维护 Equipment、Carrier 或 Job 的最终状态。</w:t>
      </w:r>
    </w:p>
    <w:p w14:paraId="427EFCBB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仿真层可以复用领域层的同一套状态机和事件，但硬件行为模拟属于 FusionSim，不属于 FusionDomain。</w:t>
      </w:r>
    </w:p>
    <w:p w14:paraId="6BE8E714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5) 设备驱动层只提供能力反馈和执行结果，不拥有 Carrier、Substrate、RecipeVersion 的主语义。</w:t>
      </w:r>
    </w:p>
    <w:p w14:paraId="537CACC1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5.3 外部模块与领域层的责任交界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135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523E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外部模块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CAB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可以做什么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35D2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不能做什么</w:t>
            </w:r>
          </w:p>
        </w:tc>
      </w:tr>
      <w:tr w14:paraId="3663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9B40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FusionScheduler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BF3F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创建或推进 ControlJob、ProcessJob；请求更新物料位置；触发恢复服务。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5978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不能自己定义新的物料状态语义或绕过领域校验。</w:t>
            </w:r>
          </w:p>
        </w:tc>
      </w:tr>
      <w:tr w14:paraId="4F99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12CA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FusionFA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896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把领域对象映射为标准对象；响应 Host 或 EAP 请求；发出事件与变量。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F38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不能把协议报文结构直接变成领域持久化结构。</w:t>
            </w:r>
          </w:p>
        </w:tc>
      </w:tr>
      <w:tr w14:paraId="2105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0BF8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FusionUI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9128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展示投影、发起命令、查看历史和告警。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B34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不能作为设备状态、作业状态或物料位置的最终真相来源。</w:t>
            </w:r>
          </w:p>
        </w:tc>
      </w:tr>
      <w:tr w14:paraId="23DD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F0F2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FusionSim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2065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复用对象模型和状态机进行仿真、回放和异常注入。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67E8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不能修改领域语义本身。</w:t>
            </w:r>
          </w:p>
        </w:tc>
      </w:tr>
    </w:tbl>
    <w:p w14:paraId="7F0DC06F"/>
    <w:p w14:paraId="3FC7840D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6. 统一术语与对象分类</w:t>
      </w:r>
    </w:p>
    <w:p w14:paraId="03E1C66F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6.1 统一术语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DC0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E4BB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术语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A349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中文定义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D40E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726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21F5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651B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设备实例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125C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一台可独立运行、可对外提供自动化接口的物理或逻辑设备。</w:t>
            </w:r>
          </w:p>
        </w:tc>
      </w:tr>
      <w:tr w14:paraId="69FDF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FF8B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EquipmentModule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F611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设备模块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602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设备内部可被单独监控、调度或告警的功能模块。</w:t>
            </w:r>
          </w:p>
        </w:tc>
      </w:tr>
      <w:tr w14:paraId="199A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69E4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0447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025C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承载基底进入或离开设备的载体，如 FOUP 或 Cassette。</w:t>
            </w:r>
          </w:p>
        </w:tc>
      </w:tr>
      <w:tr w14:paraId="0FF5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DF6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A764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产品基底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C6B2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设备处理的核心物料对象，如 Wafer、Panel 或其他产品基底。</w:t>
            </w:r>
          </w:p>
        </w:tc>
      </w:tr>
      <w:tr w14:paraId="2194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E9A2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SubstrateLocation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775E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基底位置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30A7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用于表达基底所处设备、模块、槽位或工作位置的值对象。</w:t>
            </w:r>
          </w:p>
        </w:tc>
      </w:tr>
      <w:tr w14:paraId="24EB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FAC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91CA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控制作业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D190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面向工厂协调的一组材料和处理任务编组。</w:t>
            </w:r>
          </w:p>
        </w:tc>
      </w:tr>
      <w:tr w14:paraId="05C2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6001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9955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处理作业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4CC7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绑定某处理资源、执行一段加工过程的作业对象。</w:t>
            </w:r>
          </w:p>
        </w:tc>
      </w:tr>
      <w:tr w14:paraId="0742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199E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RecipeDefinition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E89A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配方定义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EF37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具有稳定标识和业务意义的配方主定义。</w:t>
            </w:r>
          </w:p>
        </w:tc>
      </w:tr>
      <w:tr w14:paraId="41F4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B733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RecipeVersion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F7CD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配方版本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3DD7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可执行、可审计、可冻结的配方版本实例。</w:t>
            </w:r>
          </w:p>
        </w:tc>
      </w:tr>
      <w:tr w14:paraId="6C53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B467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AlarmOccurrence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05FC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告警实例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8C66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一次需要确认、恢复、统计或审计的异常实例。</w:t>
            </w:r>
          </w:p>
        </w:tc>
      </w:tr>
      <w:tr w14:paraId="237F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89ED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EventRecord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2C3B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事件记录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1D2E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已发生的领域事实，不要求像告警那样维护生命周期。</w:t>
            </w:r>
          </w:p>
        </w:tc>
      </w:tr>
      <w:tr w14:paraId="4B767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AA07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Disposition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C9DB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物料处置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0CA8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异常后对物料的处理策略，如返回、暂存、报废或人工确认。</w:t>
            </w:r>
          </w:p>
        </w:tc>
      </w:tr>
    </w:tbl>
    <w:p w14:paraId="435BCA5A"/>
    <w:p w14:paraId="530F2FED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6.2 领域对象分类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B10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DC29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D851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定义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147D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示例</w:t>
            </w:r>
          </w:p>
        </w:tc>
      </w:tr>
      <w:tr w14:paraId="46E6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B3E5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聚合根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D094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拥有对象内部一致性边界，负责强业务规则。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1121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Equipment、Carrier、Substrate、ControlJob、ProcessJob、RecipeDefinition。</w:t>
            </w:r>
          </w:p>
        </w:tc>
      </w:tr>
      <w:tr w14:paraId="7212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FD39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实体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8F2C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有稳定身份、生命周期由聚合管理。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9B0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LoadPortBinding、ModuleNode、RecipeParameter。</w:t>
            </w:r>
          </w:p>
        </w:tc>
      </w:tr>
      <w:tr w14:paraId="3FA6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7ED9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值对象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DB4D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无独立身份，以不可变属性表达语义。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D13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SubstrateLocation、RecipeRef、ModuleId、LotId。</w:t>
            </w:r>
          </w:p>
        </w:tc>
      </w:tr>
      <w:tr w14:paraId="52A56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3783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领域事件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F8FF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表达已发生的业务事实，用于解耦协作。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CED3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SubstrateMoved、ProcessJobCompleted、AlarmRaised。</w:t>
            </w:r>
          </w:p>
        </w:tc>
      </w:tr>
      <w:tr w14:paraId="6F90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E847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领域服务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4B22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承载不适合落在单个聚合上的业务规则。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4C6E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MaterialTrackingService、JobLinkageService。</w:t>
            </w:r>
          </w:p>
        </w:tc>
      </w:tr>
      <w:tr w14:paraId="5281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3DCF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查询投影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FEA7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面向 UI、报表、追溯的读取模型。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3FE6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SubstrateView、AlarmListView、JobSummaryView。</w:t>
            </w:r>
          </w:p>
        </w:tc>
      </w:tr>
    </w:tbl>
    <w:p w14:paraId="40ECF6E1"/>
    <w:p w14:paraId="4B42D33B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7. 核心聚合与实体设计</w:t>
      </w:r>
    </w:p>
    <w:p w14:paraId="2EE3593F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第一版领域模型的核心聚合围绕设备、物料、作业、配方和异常五条主线展开。它们不是数据库表的简单投影，而是对外部行为、内部一致性和状态约束的承载者。</w:t>
      </w:r>
    </w:p>
    <w:p w14:paraId="40BB9C35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7.1 Equipment 聚合</w:t>
      </w:r>
    </w:p>
    <w:p w14:paraId="06C2D1D1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Equipment 是整机语义的顶层聚合根，负责定义设备实例身份、设备类型、模块装配关系、全局运行模式和静态能力基线。Equipment 不直接执行搬运或加工动作，但它拥有“这台设备由哪些模块组成、模块之间如何拓扑连接、系统允许哪些运行模式”的最终解释权。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832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0922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属性域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AB3B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建议内容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598A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E30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71F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Identity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B1F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EquipmentId、EquipmentName、EquipmentType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1424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标识一台设备实例及其机型。</w:t>
            </w:r>
          </w:p>
        </w:tc>
      </w:tr>
      <w:tr w14:paraId="36F8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77D9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Structure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D66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ModuleIds、TopologyLinks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BE9F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表达模块之间的静态连接关系。</w:t>
            </w:r>
          </w:p>
        </w:tc>
      </w:tr>
      <w:tr w14:paraId="63A8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2733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Capability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B4B3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CapabilitySet、FeatureFlags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B2D4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表达是否具备特定能力，如多腔体、双臂机器人、缓冲区等。</w:t>
            </w:r>
          </w:p>
        </w:tc>
      </w:tr>
      <w:tr w14:paraId="5B03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DE70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Runtime Envelope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267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Mode、Availability、OnlineState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2467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表达设备对调度和自动化层可见的整体状态轮廓。</w:t>
            </w:r>
          </w:p>
        </w:tc>
      </w:tr>
    </w:tbl>
    <w:p w14:paraId="28C2175E"/>
    <w:p w14:paraId="20AC8C42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7.2 EquipmentModule 聚合</w:t>
      </w:r>
    </w:p>
    <w:p w14:paraId="518DD932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EquipmentModule 代表一个可被调度、可被监控、可被告警和可被维护的设备功能模块。PM、TM、CM、BM、LoadPort、Aligner 均通过 ModuleType 与 CapabilitySet 建模，而不是通过杂乱的继承层次硬编码。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2BA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9416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属性域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2D68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建议内容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0085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F78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6802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Identity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93DE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ModuleId、ModuleName、ModuleType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45A7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模块身份与类型。</w:t>
            </w:r>
          </w:p>
        </w:tc>
      </w:tr>
      <w:tr w14:paraId="79D9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19EE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Capability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A5A1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SupportedActions、SupportedRecipes、SupportedMaterialKind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CD4D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定义模块可提供的动作与资源约束。</w:t>
            </w:r>
          </w:p>
        </w:tc>
      </w:tr>
      <w:tr w14:paraId="68CE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CE8B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Runtime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2C9C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ModuleRuntimeState、HealthState、InterlockSnapshot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D730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定义当前是否可接收、可处理、可释放。</w:t>
            </w:r>
          </w:p>
        </w:tc>
      </w:tr>
      <w:tr w14:paraId="454E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65B6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Position Model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3A56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PortPoints、WorkPoints、BufferSlots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9546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用于描述可到达位置和占位资源。</w:t>
            </w:r>
          </w:p>
        </w:tc>
      </w:tr>
    </w:tbl>
    <w:p w14:paraId="3A714EFF"/>
    <w:p w14:paraId="43340EE3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7.3 Carrier 聚合</w:t>
      </w:r>
    </w:p>
    <w:p w14:paraId="58E7BA89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Carrier 聚合吸收 E87 中关于 Carrier、Load Port、Reservation、Association 和入站出站的核心语义，但在领域层中采用统一的业务语言表达。Carrier 聚合负责载具身份、当前所在 Port、槽图摘要、来源批次和关联状态的管理。</w:t>
      </w:r>
    </w:p>
    <w:p w14:paraId="740832D3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Carrier 聚合必须拥有独立标识，不允许把 Carrier 仅作为字符串挂在 LoadPort 上。</w:t>
      </w:r>
    </w:p>
    <w:p w14:paraId="5D8BF94C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Carrier 与 LoadPort 的关系通过值对象或关联实体描述，而不是把 LoadPort 作为 Carrier 内的随意文本字段。</w:t>
      </w:r>
    </w:p>
    <w:p w14:paraId="53AF71D4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Carrier 可以不直接拥有全部 Substrate 实体，但必须具备可追溯的承载关系快照。</w:t>
      </w:r>
    </w:p>
    <w:p w14:paraId="6A82C4C0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7.4 Substrate 聚合</w:t>
      </w:r>
    </w:p>
    <w:p w14:paraId="6995D5A4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Substrate 是最关键的物料对象。为了与 E90 保持一致，Substrate 建议使用两条相互独立但可并行观察的状态轴：运输状态轴与加工状态轴。这样可以支持“位置变化”和“加工进度变化”同时存在，而不需要用一个模糊字符串去表达所有语义。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3C4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419D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属性域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0BFA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建议内容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21F2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92F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4678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Identity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82A0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SubstrateId、LotId、SlotNo、SubstrateKind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727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基底身份与所属关系。</w:t>
            </w:r>
          </w:p>
        </w:tc>
      </w:tr>
      <w:tr w14:paraId="6F26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0822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Location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B95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SubstrateLocation、SourceLocation、TargetLocation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1CB9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表达当前位置、来源位置和目标位置。</w:t>
            </w:r>
          </w:p>
        </w:tc>
      </w:tr>
      <w:tr w14:paraId="6D91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701F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Transport State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4EFE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AtSource、ReservedForTransfer、InTransfer、AtWork、Buffered、AtDestination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59B3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表达运输和流转相关状态。</w:t>
            </w:r>
          </w:p>
        </w:tc>
      </w:tr>
      <w:tr w14:paraId="0669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5876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 State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3540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NeedsProcessing、WaitingProcess、InProcess、Processed、Stopped、Aborted、Rejected、Hold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BD83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表达加工语义。</w:t>
            </w:r>
          </w:p>
        </w:tc>
      </w:tr>
      <w:tr w14:paraId="2160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F8E6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Quality and Disposition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E814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ResultCode、Disposition、ScrapFlag、ManualReviewRequired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64C7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表达异常后物料处置与质量结论。</w:t>
            </w:r>
          </w:p>
        </w:tc>
      </w:tr>
    </w:tbl>
    <w:p w14:paraId="4EFD957E"/>
    <w:p w14:paraId="1A97AEBF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7.5 ControlJob 聚合</w:t>
      </w:r>
    </w:p>
    <w:p w14:paraId="45D03F41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ControlJob 对应工厂侧工作编组语义。它用于组织一组相关材料与处理任务、声明物料去向和协调要求，但不直接代表某一处理资源上的一次加工。ControlJob 可以拥有优先级、入口载具、出口策略、目标配方集合以及与多个 ProcessJob 的关联。</w:t>
      </w:r>
    </w:p>
    <w:p w14:paraId="4C1812D9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7.6 ProcessJob 聚合</w:t>
      </w:r>
    </w:p>
    <w:p w14:paraId="7C4EFD5E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ProcessJob 对应处理资源上的具体作业语义。它绑定某个处理资源或模块集合、绑定确定的配方版本并维护准备、等待、加工、暂停、停止、中止和完成等生命周期。ProcessJob 是连接 Scheduler 与 PM 模块行为的关键业务对象。</w:t>
      </w:r>
    </w:p>
    <w:p w14:paraId="7B5C4509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7.7 RecipeDefinition 与 RecipeVersion</w:t>
      </w:r>
    </w:p>
    <w:p w14:paraId="165A0D65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配方在领域层中必须以“定义加版本”的方式建模。调度和执行层只能绑定确定的 RecipeVersion，而不能直接使用模糊的 Recipe Name。RecipeDefinition 表达业务上配方是什么；RecipeVersion 表达本次执行用的是哪一个可冻结、可审计、可回溯的版本。</w:t>
      </w:r>
    </w:p>
    <w:p w14:paraId="0D61A2DD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7.8 AlarmOccurrence 与 EventRecord</w:t>
      </w:r>
    </w:p>
    <w:p w14:paraId="3DAEEEF7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告警与事件必须区分。告警是需要确认、恢复、统计和审计的异常实例；事件是已经发生的领域事实。两者都必须可追溯，但不应混为一张万能日志表。告警具有生命周期，事件强调事实发生和时间顺序。</w:t>
      </w:r>
    </w:p>
    <w:p w14:paraId="32FF828B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8. 关键值对象设计</w:t>
      </w:r>
    </w:p>
    <w:p w14:paraId="63E9297B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值对象用于表达领域中的稳定语义片段。它们通常不可变、可比较、可复制，适合承载位置、引用、参数快照、批次键和处置结论等信息。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C05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4BD0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值对象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A06D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建议用途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C469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设计说明</w:t>
            </w:r>
          </w:p>
        </w:tc>
      </w:tr>
      <w:tr w14:paraId="5743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790A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EquipmentId / ModuleId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131E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设备与模块标识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E748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避免用裸字符串在多个模块间随意传递。</w:t>
            </w:r>
          </w:p>
        </w:tc>
      </w:tr>
      <w:tr w14:paraId="74F5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7358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SubstrateLocation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C7B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位置值对象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DE99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表达设备、模块、槽位、工作点、缓存位等层级位置。</w:t>
            </w:r>
          </w:p>
        </w:tc>
      </w:tr>
      <w:tr w14:paraId="0E06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C543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RecipeRef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D788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配方引用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E07C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表达定义标识、版本标识、来源和校验指纹。</w:t>
            </w:r>
          </w:p>
        </w:tc>
      </w:tr>
      <w:tr w14:paraId="5791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51FF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MaterialSpec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924E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物料规格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B22E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表达物料类别、数量、尺寸、批次约束等。</w:t>
            </w:r>
          </w:p>
        </w:tc>
      </w:tr>
      <w:tr w14:paraId="111F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62A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DispositionResult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1D7A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处置结论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F95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表达返回、缓存、报废或人工确认等异常处置结果。</w:t>
            </w:r>
          </w:p>
        </w:tc>
      </w:tr>
      <w:tr w14:paraId="79A5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B597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AlarmCode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132E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告警编码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1673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表达等级、类别、来源模块和标准映射。</w:t>
            </w:r>
          </w:p>
        </w:tc>
      </w:tr>
      <w:tr w14:paraId="3BF7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F1F3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ParameterSetSnapshot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D69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参数快照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B354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表达执行时实际生效的参数集合。</w:t>
            </w:r>
          </w:p>
        </w:tc>
      </w:tr>
    </w:tbl>
    <w:p w14:paraId="74F7CE78"/>
    <w:p w14:paraId="1DDDDA80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9. 核心状态模型基线</w:t>
      </w:r>
    </w:p>
    <w:p w14:paraId="5F099284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领域层不追求穷尽所有厂商差异，而是给出一个跨设备类型的规范状态基线。具体机型可以在不破坏主语义的前提下扩展局部子状态，但不得改变状态轴的核心含义。</w:t>
      </w:r>
    </w:p>
    <w:p w14:paraId="0BA9F944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9.1 Equipment 与 Module 运行状态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37FD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4119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状态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533F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语义说明</w:t>
            </w:r>
          </w:p>
        </w:tc>
      </w:tr>
      <w:tr w14:paraId="61F6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AFD6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Created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AC2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对象已建立但尚未初始化。</w:t>
            </w:r>
          </w:p>
        </w:tc>
      </w:tr>
      <w:tr w14:paraId="767B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C83D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Initializing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097C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正在加载配置、建立连接、分配资源。</w:t>
            </w:r>
          </w:p>
        </w:tc>
      </w:tr>
      <w:tr w14:paraId="5EE2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B42D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Initialized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8EB7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初始化结束，但未完成归零或预备动作。</w:t>
            </w:r>
          </w:p>
        </w:tc>
      </w:tr>
      <w:tr w14:paraId="6D45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37EE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Homing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7582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正在执行回原、清位或初始对位。</w:t>
            </w:r>
          </w:p>
        </w:tc>
      </w:tr>
      <w:tr w14:paraId="74AE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D8A8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Ready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AA1A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具备接收任务的条件。</w:t>
            </w:r>
          </w:p>
        </w:tc>
      </w:tr>
      <w:tr w14:paraId="2C23F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02D4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Running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DB4A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正在执行搬运、加工或其他模块动作。</w:t>
            </w:r>
          </w:p>
        </w:tc>
      </w:tr>
      <w:tr w14:paraId="7C94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78DC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Paused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3ABF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运行被暂停，可待恢复。</w:t>
            </w:r>
          </w:p>
        </w:tc>
      </w:tr>
      <w:tr w14:paraId="2723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053F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Stopped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0F38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被停止，需重新进入准备过程。</w:t>
            </w:r>
          </w:p>
        </w:tc>
      </w:tr>
      <w:tr w14:paraId="41DA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6914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Faulted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C80C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发生异常，等待恢复策略或人工介入。</w:t>
            </w:r>
          </w:p>
        </w:tc>
      </w:tr>
      <w:tr w14:paraId="5F22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A8E0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Recovery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4D33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处于恢复流程中。</w:t>
            </w:r>
          </w:p>
        </w:tc>
      </w:tr>
      <w:tr w14:paraId="4EE7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5262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Disabled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5219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被维护、屏蔽或暂不参与生产。</w:t>
            </w:r>
          </w:p>
        </w:tc>
      </w:tr>
    </w:tbl>
    <w:p w14:paraId="42B84D72"/>
    <w:p w14:paraId="422FE949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9.2 Substrate 状态轴</w:t>
      </w:r>
    </w:p>
    <w:p w14:paraId="74404245">
      <w:pPr>
        <w:pStyle w:val="19"/>
        <w:spacing w:after="80" w:line="300" w:lineRule="auto"/>
        <w:ind w:firstLine="0"/>
      </w:pPr>
      <w:r>
        <w:rPr>
          <w:rFonts w:ascii="Times New Roman" w:hAnsi="Times New Roman" w:eastAsia="宋体" w:cs="Times New Roman"/>
          <w:sz w:val="21"/>
        </w:rPr>
        <w:t>Substrate 建议使用运输状态轴和加工状态轴并行建模。运输状态表达物料在设备中的流转位置语义；加工状态表达物料在工艺上的完成度语义。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0B9E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DDB3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运输状态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AE40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81D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D01A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Unknown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E686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位置未知，通常只允许进入恢复或盘点流程。</w:t>
            </w:r>
          </w:p>
        </w:tc>
      </w:tr>
      <w:tr w14:paraId="0BCF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BD0F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AtSource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BC7C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位于来源位置，尚未被取走。</w:t>
            </w:r>
          </w:p>
        </w:tc>
      </w:tr>
      <w:tr w14:paraId="06A4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65C1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ReservedForTransfer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647D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已被调度预占，等待搬运。</w:t>
            </w:r>
          </w:p>
        </w:tc>
      </w:tr>
      <w:tr w14:paraId="3655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A7D9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InTransfer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71D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正在搬运过程中。</w:t>
            </w:r>
          </w:p>
        </w:tc>
      </w:tr>
      <w:tr w14:paraId="66BD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FBCA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AtWork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D25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已到达工作模块或工作点。</w:t>
            </w:r>
          </w:p>
        </w:tc>
      </w:tr>
      <w:tr w14:paraId="61F0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691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Buffered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3DA0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处于缓存或等待位。</w:t>
            </w:r>
          </w:p>
        </w:tc>
      </w:tr>
      <w:tr w14:paraId="0684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CC2F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AtDestination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925F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已到达目标位置，等待下一步决策。</w:t>
            </w:r>
          </w:p>
        </w:tc>
      </w:tr>
      <w:tr w14:paraId="187B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7256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Lost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A2C6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丢片或位置不可确认。</w:t>
            </w:r>
          </w:p>
        </w:tc>
      </w:tr>
    </w:tbl>
    <w:p w14:paraId="43ED9F8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5A4E7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0E15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加工状态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5464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5E62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1A39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NeedsProcessing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0E9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尚未开始加工。</w:t>
            </w:r>
          </w:p>
        </w:tc>
      </w:tr>
      <w:tr w14:paraId="76B3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D909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WaitingProcess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57D9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已就位，等待进入加工。</w:t>
            </w:r>
          </w:p>
        </w:tc>
      </w:tr>
      <w:tr w14:paraId="17B2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5BEB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InProcess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7A4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正在加工。</w:t>
            </w:r>
          </w:p>
        </w:tc>
      </w:tr>
      <w:tr w14:paraId="11B1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D3A9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7338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加工完成，可进入下一流程或出站。</w:t>
            </w:r>
          </w:p>
        </w:tc>
      </w:tr>
      <w:tr w14:paraId="41E4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E4F7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Stopped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BDA6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加工被停止。</w:t>
            </w:r>
          </w:p>
        </w:tc>
      </w:tr>
      <w:tr w14:paraId="20CF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9F06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Aborted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19B9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加工被中止。</w:t>
            </w:r>
          </w:p>
        </w:tc>
      </w:tr>
      <w:tr w14:paraId="7EC2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2B76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Rejected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890D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被判定为不合格或不允许继续。</w:t>
            </w:r>
          </w:p>
        </w:tc>
      </w:tr>
      <w:tr w14:paraId="20F7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63FB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Hold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3C17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被保留等待人工确认或后续决策。</w:t>
            </w:r>
          </w:p>
        </w:tc>
      </w:tr>
    </w:tbl>
    <w:p w14:paraId="254766F7"/>
    <w:p w14:paraId="12AED2CB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9.3 ControlJob 与 ProcessJob 状态基线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126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0332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对象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AAAA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状态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E2B1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B9A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09CE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60BD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Created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81B6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作业已建立，尚未入队。</w:t>
            </w:r>
          </w:p>
        </w:tc>
      </w:tr>
      <w:tr w14:paraId="64C5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FAA6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B7E2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Queued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87AE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等待调度进入执行。</w:t>
            </w:r>
          </w:p>
        </w:tc>
      </w:tr>
      <w:tr w14:paraId="0FBF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6228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037A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Ready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3A54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执行前条件满足。</w:t>
            </w:r>
          </w:p>
        </w:tc>
      </w:tr>
      <w:tr w14:paraId="5954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8ACE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99F8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Executing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7942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至少一个关联 ProcessJob 正在推进。</w:t>
            </w:r>
          </w:p>
        </w:tc>
      </w:tr>
      <w:tr w14:paraId="32A7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61A6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4B4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Completed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8EE4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作业完成。</w:t>
            </w:r>
          </w:p>
        </w:tc>
      </w:tr>
      <w:tr w14:paraId="0C8E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29C6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7E8C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Stopped / Aborted / Cancelled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F78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被停止、中止或取消。</w:t>
            </w:r>
          </w:p>
        </w:tc>
      </w:tr>
      <w:tr w14:paraId="15EE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5411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EACE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Created / Prepared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83E1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作业已建立并绑定资源或配方。</w:t>
            </w:r>
          </w:p>
        </w:tc>
      </w:tr>
      <w:tr w14:paraId="3CB5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82EA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4E2D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Queued / Setup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EF31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等待进入处理或处于处理前准备。</w:t>
            </w:r>
          </w:p>
        </w:tc>
      </w:tr>
      <w:tr w14:paraId="5742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EBDF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E9E2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Processing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ECEA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正在处理。</w:t>
            </w:r>
          </w:p>
        </w:tc>
      </w:tr>
      <w:tr w14:paraId="4E07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7BF8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B7A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Paused / Stopped / Aborted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3A9F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被暂停、停止或中止。</w:t>
            </w:r>
          </w:p>
        </w:tc>
      </w:tr>
      <w:tr w14:paraId="3DD5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4CD5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E977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Completed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40A4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处理完成，产出结果。</w:t>
            </w:r>
          </w:p>
        </w:tc>
      </w:tr>
    </w:tbl>
    <w:p w14:paraId="3293FC64"/>
    <w:p w14:paraId="5BF1125F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9.4 Carrier 与 LoadPort 运行语义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4FD9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52EB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语义项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E9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6AC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0EAF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PortReservation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DC74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端口是否已为某 Carrier 或作业预留。</w:t>
            </w:r>
          </w:p>
        </w:tc>
      </w:tr>
      <w:tr w14:paraId="178B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EB2C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PortAssociation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81C5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端口与 Carrier 是否建立逻辑关联。</w:t>
            </w:r>
          </w:p>
        </w:tc>
      </w:tr>
      <w:tr w14:paraId="2212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2251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AccessMode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790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端口允许自动、手动或维护方式接入。</w:t>
            </w:r>
          </w:p>
        </w:tc>
      </w:tr>
      <w:tr w14:paraId="5BC4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E281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CarrierPresence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F3A3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载具是否到位。</w:t>
            </w:r>
          </w:p>
        </w:tc>
      </w:tr>
      <w:tr w14:paraId="6281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BFF2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CarrierDocking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B3C4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载具是否完成 Dock、Clamp 或确认。</w:t>
            </w:r>
          </w:p>
        </w:tc>
      </w:tr>
      <w:tr w14:paraId="1D0A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07C2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CarrierCompletion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01F2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载具中的物料是否已处理完成并可出站。</w:t>
            </w:r>
          </w:p>
        </w:tc>
      </w:tr>
    </w:tbl>
    <w:p w14:paraId="22655E37"/>
    <w:p w14:paraId="620E7BF0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10. 关键业务不变量</w:t>
      </w:r>
    </w:p>
    <w:p w14:paraId="05B81E12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领域模型的核心价值不只是对象命名，更在于能稳定表达业务约束。以下不变量是强业务规则，必须通过聚合方法、领域服务和持久化约束共同保证。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08F5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A596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编号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828A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不变量</w:t>
            </w:r>
          </w:p>
        </w:tc>
      </w:tr>
      <w:tr w14:paraId="355C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8F6D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INV-01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B8B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同一时刻一个 Substrate 只能有一个有效当前位置。</w:t>
            </w:r>
          </w:p>
        </w:tc>
      </w:tr>
      <w:tr w14:paraId="7015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26C4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INV-02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693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处于 InTransfer 的 Substrate 不允许同时处于 InProcess。</w:t>
            </w:r>
          </w:p>
        </w:tc>
      </w:tr>
      <w:tr w14:paraId="2B61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9D48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INV-03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53F8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 必须绑定确定的处理资源和确定的 RecipeVersion。</w:t>
            </w:r>
          </w:p>
        </w:tc>
      </w:tr>
      <w:tr w14:paraId="03D1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4352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INV-04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7AD2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 只能关联同一设备上下文下可被统一协调的材料集合。</w:t>
            </w:r>
          </w:p>
        </w:tc>
      </w:tr>
      <w:tr w14:paraId="00D7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30CF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INV-05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F8D0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 未完成关联和到位确认时，不允许作为正式来源位置发起自动取片。</w:t>
            </w:r>
          </w:p>
        </w:tc>
      </w:tr>
      <w:tr w14:paraId="7E2E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1F8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INV-06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F022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处于 Faulted 的模块不得被标记为可接收新物料，除非显式进入 Recovery 并满足恢复规则。</w:t>
            </w:r>
          </w:p>
        </w:tc>
      </w:tr>
      <w:tr w14:paraId="1F87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83A7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INV-07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63C3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同一 BufferSlot 在同一时刻只能占用一个有效物料。</w:t>
            </w:r>
          </w:p>
        </w:tc>
      </w:tr>
      <w:tr w14:paraId="7709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B916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INV-08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177C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RecipeVersion 一旦进入执行引用，不允许原地修改，只允许生成新版本。</w:t>
            </w:r>
          </w:p>
        </w:tc>
      </w:tr>
      <w:tr w14:paraId="415F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C6AC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INV-09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E60B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已完成或已取消的 ControlJob 不能再新增 ProcessJob。</w:t>
            </w:r>
          </w:p>
        </w:tc>
      </w:tr>
      <w:tr w14:paraId="6957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789B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INV-10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7BC3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AlarmOccurrence 与 EventRecord 必须具备时间戳、来源和追溯标识。</w:t>
            </w:r>
          </w:p>
        </w:tc>
      </w:tr>
      <w:tr w14:paraId="5BEC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929F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INV-11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6ED4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当物料被标记为 Rejected 或 Scrap 时，不得继续自动进入下一加工步骤。</w:t>
            </w:r>
          </w:p>
        </w:tc>
      </w:tr>
      <w:tr w14:paraId="6060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B9B5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INV-12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769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若 Substrate 位置未知，只能进入盘点、恢复或人工确认流程。</w:t>
            </w:r>
          </w:p>
        </w:tc>
      </w:tr>
    </w:tbl>
    <w:p w14:paraId="2F819303"/>
    <w:p w14:paraId="6719E251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11. 领域事件与应用服务</w:t>
      </w:r>
    </w:p>
    <w:p w14:paraId="3C1638AE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领域事件用于表达已发生的业务事实；应用服务用于在多个聚合之间组织一次受控变更。两者共同构成 FusionDomain 与 Scheduler、FA、UI 之间最重要的协作契约。</w:t>
      </w:r>
    </w:p>
    <w:p w14:paraId="0249199B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11.1 建议的领域事件清单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625A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F16D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事件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C9C0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02D9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4755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EquipmentModeChanged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A2D7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设备模式切换。</w:t>
            </w:r>
          </w:p>
        </w:tc>
      </w:tr>
      <w:tr w14:paraId="5351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4DBC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ModuleStateChanged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932B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模块运行态发生变化。</w:t>
            </w:r>
          </w:p>
        </w:tc>
      </w:tr>
      <w:tr w14:paraId="58A97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32DC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CarrierBound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CAA0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 与 Port 或作业建立关联。</w:t>
            </w:r>
          </w:p>
        </w:tc>
      </w:tr>
      <w:tr w14:paraId="6A2C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88DA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CarrierLoaded / CarrierUnloaded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AA1B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载具入站或出站。</w:t>
            </w:r>
          </w:p>
        </w:tc>
      </w:tr>
      <w:tr w14:paraId="296B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6A28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SubstrateRegistered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EF0F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基底被注册进入领域系统。</w:t>
            </w:r>
          </w:p>
        </w:tc>
      </w:tr>
      <w:tr w14:paraId="60D9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5019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SubstrateMoved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F365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基底位置发生变化。</w:t>
            </w:r>
          </w:p>
        </w:tc>
      </w:tr>
      <w:tr w14:paraId="3407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EA8F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SubstrateDispositionRequired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0B0D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需要对物料进行处置决策。</w:t>
            </w:r>
          </w:p>
        </w:tc>
      </w:tr>
      <w:tr w14:paraId="15C1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4E04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ControlJobCreated / ControlJobCompleted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F360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控制作业建立或完成。</w:t>
            </w:r>
          </w:p>
        </w:tc>
      </w:tr>
      <w:tr w14:paraId="1645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0ED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ProcessJobStarted / ProcessJobCompleted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B00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处理作业开始或完成。</w:t>
            </w:r>
          </w:p>
        </w:tc>
      </w:tr>
      <w:tr w14:paraId="12AF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B7EA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RecipeVersionBound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F324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配方版本被绑定到作业或材料。</w:t>
            </w:r>
          </w:p>
        </w:tc>
      </w:tr>
      <w:tr w14:paraId="5762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1FBD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AlarmRaised / AlarmCleared / AlarmAcknowledged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49A4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告警生命周期变化。</w:t>
            </w:r>
          </w:p>
        </w:tc>
      </w:tr>
    </w:tbl>
    <w:p w14:paraId="73EE5344"/>
    <w:p w14:paraId="1E1E9468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11.2 建议的领域应用服务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6F25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7F84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应用服务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C45B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954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C4C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MaterialTrackingService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D14A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维护 Carrier、Substrate、SubstrateLocation 一致性。</w:t>
            </w:r>
          </w:p>
        </w:tc>
      </w:tr>
      <w:tr w14:paraId="01F1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1597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JobLinkageService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958B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建立 ControlJob 与 ProcessJob 的关系并校验约束。</w:t>
            </w:r>
          </w:p>
        </w:tc>
      </w:tr>
      <w:tr w14:paraId="1974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3379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RecipeBindingService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0099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将 RecipeVersion 与 ProcessJob 或 Substrate 绑定并固化参数快照。</w:t>
            </w:r>
          </w:p>
        </w:tc>
      </w:tr>
      <w:tr w14:paraId="01D6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6142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MaterialDispositionService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CD3D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在异常或停机后对物料处置结果落账。</w:t>
            </w:r>
          </w:p>
        </w:tc>
      </w:tr>
      <w:tr w14:paraId="2F01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49C1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AlarmLifecycleService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9272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规范告警实例的拉起、确认、清除和恢复闭环。</w:t>
            </w:r>
          </w:p>
        </w:tc>
      </w:tr>
      <w:tr w14:paraId="538C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6678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RecoveryValidationService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F95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校验恢复前提是否满足。</w:t>
            </w:r>
          </w:p>
        </w:tc>
      </w:tr>
    </w:tbl>
    <w:p w14:paraId="4D293F6C"/>
    <w:p w14:paraId="5EE73465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12. 与 SEMI 标准的映射策略</w:t>
      </w:r>
    </w:p>
    <w:p w14:paraId="4DFBFB83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FusionDomain 不是标准复印件，而是对标准中稳定语义的吸收与约束。本章定义领域层与主要标准的映射关系，以及哪些内容属于领域层，哪些内容应延后到 FA 或其他模块实现。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ACB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25F1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标准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4D8A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领域层吸收内容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50E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延后到其他模块</w:t>
            </w:r>
          </w:p>
        </w:tc>
        <w:tc>
          <w:tcPr>
            <w:tcW w:w="23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62D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600F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AF83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E87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C60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Carrier、LoadPort 关系、Reservation、Association、AccessMode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ADC0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对外状态机细节、消息时序、指令确认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4725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领域层保留业务语义，FA 层完成对外状态映射。</w:t>
            </w:r>
          </w:p>
        </w:tc>
      </w:tr>
      <w:tr w14:paraId="036E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A9DA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E90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3BB8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Substrate、SubstrateLocation、运输与加工状态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B34E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标准变量暴露方式、报文字段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4B46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领域层必须拥有物料位置与加工状态真相。</w:t>
            </w:r>
          </w:p>
        </w:tc>
      </w:tr>
      <w:tr w14:paraId="58F6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6F53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E94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E24A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ControlJob、MaterialSpec、优先级、物料去向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A8F5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Host 命令明细、回复码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A55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ControlJob 语义由领域层承载。</w:t>
            </w:r>
          </w:p>
        </w:tc>
      </w:tr>
      <w:tr w14:paraId="1B98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5291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E40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5E4F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ProcessJob、处理资源、处理生命周期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4CCF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标准对外命令与结果编码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831D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领域层承载 ProcessJob 业务语义和状态基线。</w:t>
            </w:r>
          </w:p>
        </w:tc>
      </w:tr>
      <w:tr w14:paraId="1334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FA5B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E42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A74A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RecipeDefinition、RecipeVersion、参数快照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8783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下载上传协议、主机交互细节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5D5A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领域层负责定义与版本化，不负责传输。</w:t>
            </w:r>
          </w:p>
        </w:tc>
      </w:tr>
      <w:tr w14:paraId="1E05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5B98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E120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EC09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Equipment、EquipmentModule、Capability、Topology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A24D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设备自描述发布格式</w:t>
            </w:r>
          </w:p>
        </w:tc>
        <w:tc>
          <w:tcPr>
            <w:tcW w:w="23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E424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7"/>
              </w:rPr>
              <w:t>领域层定义静态设备语义，EDA 或 FA 层负责发布。</w:t>
            </w:r>
          </w:p>
        </w:tc>
      </w:tr>
    </w:tbl>
    <w:p w14:paraId="7B62566D"/>
    <w:p w14:paraId="7F511977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13. 推荐的代码包与命名结构</w:t>
      </w:r>
    </w:p>
    <w:p w14:paraId="64A9B686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为了避免后续代码层出现“一个项目里什么都能放”的失控现象，建议 FusionDomain 采用明确的包与命名结构。命名结构不是本文件的核心，但它能帮助团队把语义边界落到工程结构中。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0388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D5A0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包建议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E7EA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204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3268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FusionDomain.Abstractions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6F2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跨上下文共享的标识、基类、事件接口和仓储接口。</w:t>
            </w:r>
          </w:p>
        </w:tc>
      </w:tr>
      <w:tr w14:paraId="103F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D7A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FusionDomain.Equipment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4224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Equipment、EquipmentModule、Topology、Capability。</w:t>
            </w:r>
          </w:p>
        </w:tc>
      </w:tr>
      <w:tr w14:paraId="01FB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C094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FusionDomain.Material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CADE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Carrier、Substrate、SubstrateLocation、MaterialSpec。</w:t>
            </w:r>
          </w:p>
        </w:tc>
      </w:tr>
      <w:tr w14:paraId="1EBF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B478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FusionDomain.Job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FD88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ControlJob、ProcessJob、JobLinkage。</w:t>
            </w:r>
          </w:p>
        </w:tc>
      </w:tr>
      <w:tr w14:paraId="2310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D13C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FusionDomain.Recipe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9735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RecipeDefinition、RecipeVersion、ParameterSet。</w:t>
            </w:r>
          </w:p>
        </w:tc>
      </w:tr>
      <w:tr w14:paraId="79FB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7CFD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FusionDomain.Alarm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350B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AlarmOccurrence、AlarmCode、AlarmLifecycleService。</w:t>
            </w:r>
          </w:p>
        </w:tc>
      </w:tr>
      <w:tr w14:paraId="4218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D295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FusionDomain.Events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36F6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领域事件定义、事件封装、事件元数据。</w:t>
            </w:r>
          </w:p>
        </w:tc>
      </w:tr>
      <w:tr w14:paraId="2BA0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458A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FusionDomain.Services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90BE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MaterialTrackingService、RecipeBindingService、DispositionService。</w:t>
            </w:r>
          </w:p>
        </w:tc>
      </w:tr>
    </w:tbl>
    <w:p w14:paraId="35B2EEDE"/>
    <w:p w14:paraId="48909FDF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14. 场景验证示例</w:t>
      </w:r>
    </w:p>
    <w:p w14:paraId="55CF6791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以下场景用于验证本领域模型在典型半导体设备流程中的适用性。场景中的动作顺序由 Scheduler 组织，但对象状态变化必须由 FusionDomain 定义的对象和服务承接。</w:t>
      </w:r>
    </w:p>
    <w:p w14:paraId="5A0928C4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14.1 载具入站与基底注册</w:t>
      </w:r>
    </w:p>
    <w:p w14:paraId="6A48A6CE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上层触发 Bind、Reserve 或 CarrierNotification 后，应用服务在领域层创建或更新 Carrier 与 LoadPort 的关联。</w:t>
      </w:r>
    </w:p>
    <w:p w14:paraId="64656AF7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Carrier 到位并完成 ID 与 SlotMap 校验后，MaterialTrackingService 为每个产品基底建立 Substrate 对象或恢复已知对象。</w:t>
      </w:r>
    </w:p>
    <w:p w14:paraId="4167D28A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每个 Substrate 被赋予来源位置、运输状态 AtSource 和加工状态 NeedsProcessing。</w:t>
      </w:r>
    </w:p>
    <w:p w14:paraId="332E52EB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对应领域事件至少包括 CarrierBound、CarrierLoaded 和 SubstrateRegistered。</w:t>
      </w:r>
    </w:p>
    <w:p w14:paraId="78B700AB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14.2 ControlJob 驱动 ProcessJob</w:t>
      </w:r>
    </w:p>
    <w:p w14:paraId="29E41062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Factory 或 Scheduler 创建 ControlJob，并声明物料集合、优先级、出口策略和目标配方引用。</w:t>
      </w:r>
    </w:p>
    <w:p w14:paraId="4337CFCD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应用服务根据材料和资源情况创建一个或多个 ProcessJob，并通过 JobLinkage 建立关系。</w:t>
      </w:r>
    </w:p>
    <w:p w14:paraId="52F4BE32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ProcessJob 绑定确定的 RecipeVersion 与处理资源，随后进入 Queued、Setup、Processing 等状态。</w:t>
      </w:r>
    </w:p>
    <w:p w14:paraId="083200FF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4) ControlJob 维护工厂视角的完成度与物料去向，不替代 ProcessJob 的资源状态机。</w:t>
      </w:r>
    </w:p>
    <w:p w14:paraId="5D2DC579">
      <w:pPr>
        <w:pStyle w:val="4"/>
        <w:keepNext/>
      </w:pPr>
      <w:r>
        <w:rPr>
          <w:rFonts w:ascii="Arial" w:hAnsi="Arial" w:eastAsia="微软雅黑" w:cs="Arial"/>
          <w:b/>
          <w:color w:val="1F4E79"/>
          <w:sz w:val="24"/>
        </w:rPr>
        <w:t>14.3 Abort、Stop 与 Recovery 物料处置</w:t>
      </w:r>
    </w:p>
    <w:p w14:paraId="365284BE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1) 当 ProcessJob 被 Abort 或 Stop 时，领域层必须产出 ProcessResult 和 SubstrateDispositionRequired 事件。</w:t>
      </w:r>
    </w:p>
    <w:p w14:paraId="5DA69831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2) Substrate 的加工状态进入 Aborted 或 Stopped，并记录返回、缓存、报废或人工确认等处置要求。</w:t>
      </w:r>
    </w:p>
    <w:p w14:paraId="0958BA82">
      <w:pPr>
        <w:pStyle w:val="19"/>
        <w:spacing w:after="40" w:line="288" w:lineRule="auto"/>
        <w:ind w:left="113" w:firstLine="0"/>
      </w:pPr>
      <w:r>
        <w:rPr>
          <w:rFonts w:ascii="Times New Roman" w:hAnsi="Times New Roman" w:eastAsia="宋体" w:cs="Times New Roman"/>
          <w:b w:val="0"/>
          <w:sz w:val="21"/>
        </w:rPr>
        <w:t>3) Scheduler 负责选择退片或恢复路径；MaterialDispositionService 负责把结果落到物料对象和审计轨迹。</w:t>
      </w:r>
    </w:p>
    <w:p w14:paraId="6C4EEF57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15. 风险、开放问题与后续工作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B0A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C324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编号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8CF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问题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7666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建议方向</w:t>
            </w:r>
          </w:p>
        </w:tc>
      </w:tr>
      <w:tr w14:paraId="608C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3EA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R-01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F4E9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ControlJob 与 ProcessJob 的粒度是否在所有机型上保持一致。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E794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在 Scheduler 文档中明确单载具、多腔体和多段工艺的作业拆分策略。</w:t>
            </w:r>
          </w:p>
        </w:tc>
      </w:tr>
      <w:tr w14:paraId="4433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D83F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R-02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FEE1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 是否需要进一步细分 Wafer、Panel、Frame 等类型。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6B84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先保留 SubstrateKind 值对象，后续再按设备族扩展。</w:t>
            </w:r>
          </w:p>
        </w:tc>
      </w:tr>
      <w:tr w14:paraId="6AB4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7A8C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R-03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3417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 与 Substrate 的关联是否需要保存完整 SlotMap 历史。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E674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基础版保存快照，追溯版在 Data 层保存历史序列。</w:t>
            </w:r>
          </w:p>
        </w:tc>
      </w:tr>
      <w:tr w14:paraId="79A9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F617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R-04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7784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 参数是否需要与物料或作业同时冻结。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7352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在 RecipeBindingService 中生成参数快照，禁止执行中修改。</w:t>
            </w:r>
          </w:p>
        </w:tc>
      </w:tr>
      <w:tr w14:paraId="1A2F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179F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R-05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E93E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异常后物料处置是否全部进入领域层。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CF79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处置策略语义进入领域层，策略求解与路径规划留给 Scheduler。</w:t>
            </w:r>
          </w:p>
        </w:tc>
      </w:tr>
    </w:tbl>
    <w:p w14:paraId="772AED35"/>
    <w:p w14:paraId="2089B885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16. 结论</w:t>
      </w:r>
    </w:p>
    <w:p w14:paraId="3D1671C4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FusionDomain 的第一版基线明确了一个关键原则：设备控制平台的稳定性首先来自稳定的领域语义，而不是某个协议栈、页面框架或数据库方案。</w:t>
      </w:r>
    </w:p>
    <w:p w14:paraId="3EC8C5C1">
      <w:pPr>
        <w:pStyle w:val="19"/>
        <w:spacing w:after="80" w:line="300" w:lineRule="auto"/>
        <w:ind w:firstLine="420"/>
      </w:pPr>
      <w:r>
        <w:rPr>
          <w:rFonts w:ascii="Times New Roman" w:hAnsi="Times New Roman" w:eastAsia="宋体" w:cs="Times New Roman"/>
          <w:sz w:val="21"/>
        </w:rPr>
        <w:t>本文件将设备、物料、作业、配方、告警和事件确立为 FusionCore 的领域核心，并明确了这些对象与 Scheduler、FA、UI 之间的职责边界。在此基础上，FusionScheduler 可以负责编排，FusionFA 可以负责标准映射，FusionUI 可以负责呈现，而不会互相污染领域核心。</w:t>
      </w:r>
    </w:p>
    <w:p w14:paraId="5D4535C9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附录 A. 关键值对象建议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3C0B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0173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值对象</w:t>
            </w:r>
          </w:p>
        </w:tc>
        <w:tc>
          <w:tcPr>
            <w:tcW w:w="47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A1B2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3FCA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986C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LotId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8DD4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批次标识。</w:t>
            </w:r>
          </w:p>
        </w:tc>
      </w:tr>
      <w:tr w14:paraId="44AF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145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CarrierId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D125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载具标识。</w:t>
            </w:r>
          </w:p>
        </w:tc>
      </w:tr>
      <w:tr w14:paraId="4E6E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A7BE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SubstrateId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151B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物料标识。</w:t>
            </w:r>
          </w:p>
        </w:tc>
      </w:tr>
      <w:tr w14:paraId="1365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DCDC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PortId / SlotId / BufferSlotId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586C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位置相关标识。</w:t>
            </w:r>
          </w:p>
        </w:tc>
      </w:tr>
      <w:tr w14:paraId="4E5D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9C62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RecipeId / RecipeVersionId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311B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配方定义与版本标识。</w:t>
            </w:r>
          </w:p>
        </w:tc>
      </w:tr>
      <w:tr w14:paraId="7AC2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5A3A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DispositionCode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632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异常处置分类。</w:t>
            </w:r>
          </w:p>
        </w:tc>
      </w:tr>
      <w:tr w14:paraId="170A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61FE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ResultCode</w:t>
            </w:r>
          </w:p>
        </w:tc>
        <w:tc>
          <w:tcPr>
            <w:tcW w:w="4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E17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工艺结果或判断结果。</w:t>
            </w:r>
          </w:p>
        </w:tc>
      </w:tr>
    </w:tbl>
    <w:p w14:paraId="17090150"/>
    <w:p w14:paraId="61D1CA21">
      <w:pPr>
        <w:pStyle w:val="3"/>
        <w:keepNext/>
      </w:pPr>
      <w:r>
        <w:rPr>
          <w:rFonts w:ascii="Arial" w:hAnsi="Arial" w:eastAsia="微软雅黑" w:cs="Arial"/>
          <w:b/>
          <w:color w:val="1F4E79"/>
          <w:sz w:val="28"/>
        </w:rPr>
        <w:t>附录 B. 第一阶段实现优先级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2A7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E9C4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优先级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43F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对象范围</w:t>
            </w:r>
          </w:p>
        </w:tc>
        <w:tc>
          <w:tcPr>
            <w:tcW w:w="313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A9D2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9"/>
              </w:rPr>
              <w:t>说明</w:t>
            </w:r>
          </w:p>
        </w:tc>
      </w:tr>
      <w:tr w14:paraId="79F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4839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P0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CFD2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Equipment、EquipmentModule、Carrier、Substrate、SubstrateLocation、ControlJob、ProcessJob、RecipeVersion、AlarmOccurrence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A56D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构成最小闭环。</w:t>
            </w:r>
          </w:p>
        </w:tc>
      </w:tr>
      <w:tr w14:paraId="67EB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3A7D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P1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A3E4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History、Audit、DomainEventEnvelope、MaterialDisposition、JobLinkage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977B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增强恢复、追溯和跨聚合协作。</w:t>
            </w:r>
          </w:p>
        </w:tc>
      </w:tr>
      <w:tr w14:paraId="7857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C2E6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P2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6B08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BatchLocation、Consumable、Fixture、DataCollectionPlan、Capability Metadata</w:t>
            </w:r>
          </w:p>
        </w:tc>
        <w:tc>
          <w:tcPr>
            <w:tcW w:w="31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1497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8"/>
              </w:rPr>
              <w:t>用于二期扩展和更完整的标准对齐。</w:t>
            </w:r>
          </w:p>
        </w:tc>
      </w:tr>
    </w:tbl>
    <w:p w14:paraId="05AD8774"/>
    <w:sectPr>
      <w:headerReference r:id="rId5" w:type="default"/>
      <w:footerReference r:id="rId6" w:type="default"/>
      <w:pgSz w:w="11906" w:h="16838"/>
      <w:pgMar w:top="1247" w:right="1134" w:bottom="1020" w:left="136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BE29B">
    <w:pPr>
      <w:pStyle w:val="24"/>
      <w:jc w:val="center"/>
    </w:pPr>
    <w:r>
      <w:rPr>
        <w:rFonts w:ascii="Arial" w:hAnsi="Arial" w:eastAsia="宋体" w:cs="Arial"/>
        <w:color w:val="7A7A7A"/>
        <w:sz w:val="17"/>
      </w:rPr>
      <w:t xml:space="preserve">内部草案  |  </w:t>
    </w:r>
    <w:r>
      <w:rPr>
        <w:rFonts w:ascii="Times New Roman" w:hAnsi="Times New Roman" w:eastAsia="宋体" w:cs="Times New Roman"/>
        <w:color w:val="666666"/>
        <w:sz w:val="18"/>
      </w:rPr>
      <w:t xml:space="preserve">第 </w:t>
    </w:r>
    <w:r>
      <w:rPr>
        <w:rFonts w:ascii="Times New Roman" w:hAnsi="Times New Roman" w:eastAsia="宋体" w:cs="Times New Roman"/>
        <w:color w:val="666666"/>
        <w:sz w:val="18"/>
      </w:rPr>
      <w:fldChar w:fldCharType="begin"/>
    </w:r>
    <w:r>
      <w:rPr>
        <w:rFonts w:ascii="Times New Roman" w:hAnsi="Times New Roman" w:eastAsia="宋体" w:cs="Times New Roman"/>
        <w:color w:val="666666"/>
        <w:sz w:val="18"/>
      </w:rPr>
      <w:instrText xml:space="preserve">PAGE</w:instrText>
    </w:r>
    <w:r>
      <w:rPr>
        <w:rFonts w:ascii="Times New Roman" w:hAnsi="Times New Roman" w:eastAsia="宋体" w:cs="Times New Roman"/>
        <w:color w:val="666666"/>
        <w:sz w:val="18"/>
      </w:rPr>
      <w:fldChar w:fldCharType="end"/>
    </w:r>
    <w:r>
      <w:rPr>
        <w:rFonts w:ascii="Times New Roman" w:hAnsi="Times New Roman" w:eastAsia="宋体" w:cs="Times New Roman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6ABFD">
    <w:pPr>
      <w:pStyle w:val="25"/>
      <w:jc w:val="right"/>
    </w:pPr>
    <w:r>
      <w:rPr>
        <w:rFonts w:ascii="Arial" w:hAnsi="Arial" w:eastAsia="宋体" w:cs="Arial"/>
        <w:color w:val="7A7A7A"/>
        <w:sz w:val="17"/>
      </w:rPr>
      <w:t>FC-DOM-002  |  FusionDomain 领域对象模型设计说明书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9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4546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Text"/>
    <w:qFormat/>
    <w:uiPriority w:val="0"/>
    <w:pPr>
      <w:spacing w:after="80" w:line="300" w:lineRule="auto"/>
    </w:pPr>
    <w:rPr>
      <w:rFonts w:ascii="Times New Roman" w:hAnsi="Times New Roman" w:eastAsia="宋体" w:cs="Times New Roman"/>
      <w:color w:val="222222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423</Words>
  <Characters>572</Characters>
  <Lines>0</Lines>
  <Paragraphs>0</Paragraphs>
  <TotalTime>0</TotalTime>
  <ScaleCrop>false</ScaleCrop>
  <LinksUpToDate>false</LinksUpToDate>
  <CharactersWithSpaces>607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2026-03-23T04:35:42Z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AF4F337244EF4B01843324216D3FACFC_13</vt:lpwstr>
  </property>
</Properties>
</file>