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44EE1">
      <w:pPr>
        <w:spacing w:before="1400"/>
        <w:jc w:val="center"/>
      </w:pPr>
      <w:bookmarkStart w:id="0" w:name="_GoBack"/>
      <w:bookmarkEnd w:id="0"/>
      <w:r>
        <w:rPr>
          <w:rFonts w:ascii="Noto Sans CJK SC" w:hAnsi="Noto Sans CJK SC" w:eastAsia="Noto Sans CJK SC" w:cs="Noto Sans CJK SC"/>
          <w:b/>
          <w:i w:val="0"/>
          <w:color w:val="346191"/>
          <w:sz w:val="28"/>
        </w:rPr>
        <w:t>FusionFA</w:t>
      </w:r>
    </w:p>
    <w:p w14:paraId="3203D364">
      <w:pPr>
        <w:spacing w:before="0" w:after="160" w:line="288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44"/>
        </w:rPr>
        <w:t>工厂自动化接口设计说明书</w:t>
      </w:r>
    </w:p>
    <w:p w14:paraId="500B7977">
      <w:pPr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5A5A5A"/>
          <w:sz w:val="23"/>
        </w:rPr>
        <w:t>Factory Automation Interface Design Specification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76FEA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B24AA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文档编号</w:t>
            </w:r>
          </w:p>
        </w:tc>
        <w:tc>
          <w:tcPr>
            <w:tcW w:w="6520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8C916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FC-FA-001</w:t>
            </w:r>
          </w:p>
        </w:tc>
      </w:tr>
      <w:tr w14:paraId="59BC4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9C12B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版本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B3A6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v1.0</w:t>
            </w:r>
          </w:p>
        </w:tc>
      </w:tr>
      <w:tr w14:paraId="14A8E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BA06D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状态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E007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Draft / Architecture Baseline</w:t>
            </w:r>
          </w:p>
        </w:tc>
      </w:tr>
      <w:tr w14:paraId="55D6C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F7B6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日期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C7D5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2026-03-23</w:t>
            </w:r>
          </w:p>
        </w:tc>
      </w:tr>
      <w:tr w14:paraId="3EBD2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E405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适用对象</w:t>
            </w:r>
          </w:p>
        </w:tc>
        <w:tc>
          <w:tcPr>
            <w:tcW w:w="6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FC70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FusionCore 半导体设备软件平台：工厂自动化、SECS/GEM、GEM300、EAP/Host 集成</w:t>
            </w:r>
          </w:p>
        </w:tc>
      </w:tr>
    </w:tbl>
    <w:p w14:paraId="68B36B89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2A962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171D5"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文档摘要</w:t>
            </w:r>
          </w:p>
        </w:tc>
      </w:tr>
      <w:tr w14:paraId="45944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0C26E"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本说明书定义 FusionCore 中 FusionFA 模块的目标定位、分层结构、职责边界、标准对象映射与实施范围。</w:t>
            </w:r>
          </w:p>
        </w:tc>
      </w:tr>
      <w:tr w14:paraId="19730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FDFD2"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文档重点解决“设备内部真实状态”与“工厂侧自动化语义”之间的边界问题，明确 EAP/Host 与设备控制域之间的受控接口。</w:t>
            </w:r>
          </w:p>
        </w:tc>
      </w:tr>
      <w:tr w14:paraId="35142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CDC6C"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本说明书不替代协议详细编码规范；消息字典、SxFy 清单、CEID/VID/ALID 编码表应在后续详细设计中另行发布。</w:t>
            </w:r>
          </w:p>
        </w:tc>
      </w:tr>
    </w:tbl>
    <w:p w14:paraId="3CB89FC0"/>
    <w:p w14:paraId="6DDE6DC8">
      <w:pPr>
        <w:spacing w:before="600" w:after="0" w:line="288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5A5A5A"/>
          <w:sz w:val="19"/>
        </w:rPr>
        <w:t>FusionCore Architecture Series</w:t>
      </w:r>
    </w:p>
    <w:p w14:paraId="71583585">
      <w:pPr>
        <w:sectPr>
          <w:pgSz w:w="11906" w:h="16838"/>
          <w:pgMar w:top="1247" w:right="1134" w:bottom="1020" w:left="1247" w:header="720" w:footer="720" w:gutter="0"/>
          <w:cols w:space="720" w:num="1"/>
          <w:docGrid w:linePitch="360" w:charSpace="0"/>
        </w:sectPr>
      </w:pPr>
    </w:p>
    <w:p w14:paraId="3BDC1F07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1. 文档控制</w:t>
      </w:r>
    </w:p>
    <w:p w14:paraId="25158A0E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本文件是 FusionCore 架构设计系列文档中的工厂自动化专题说明书。该文档用于指导 FusionFA 模块的职责划分、接口边界、标准映射与后续实现分解，是后续接口字典、对象模型、测试方案和联调清单的上位约束文档。</w:t>
      </w:r>
    </w:p>
    <w:p w14:paraId="64E8B0A2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1.1 修订历史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5"/>
        <w:gridCol w:w="1905"/>
        <w:gridCol w:w="1905"/>
      </w:tblGrid>
      <w:tr w14:paraId="4E986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ADAE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版本</w:t>
            </w:r>
          </w:p>
        </w:tc>
        <w:tc>
          <w:tcPr>
            <w:tcW w:w="1587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B56AA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日期</w:t>
            </w:r>
          </w:p>
        </w:tc>
        <w:tc>
          <w:tcPr>
            <w:tcW w:w="1814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0B797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作者</w:t>
            </w:r>
          </w:p>
        </w:tc>
        <w:tc>
          <w:tcPr>
            <w:tcW w:w="1814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DB92B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状态</w:t>
            </w:r>
          </w:p>
        </w:tc>
        <w:tc>
          <w:tcPr>
            <w:tcW w:w="2835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6CA7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说明</w:t>
            </w:r>
          </w:p>
        </w:tc>
      </w:tr>
      <w:tr w14:paraId="7055C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17AA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v0.1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4AD88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2026-03-22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691B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OpenAI / 项目组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D9238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Draft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AB2FA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完成初稿结构、边界与标准映射梳理</w:t>
            </w:r>
          </w:p>
        </w:tc>
      </w:tr>
      <w:tr w14:paraId="47793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A32B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v1.0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77ED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2026-03-23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2A35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OpenAI / 项目组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383B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Draft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A0B2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补充上下文图、模块分层、状态模型与分期建议</w:t>
            </w:r>
          </w:p>
        </w:tc>
      </w:tr>
    </w:tbl>
    <w:p w14:paraId="4F4A40A9"/>
    <w:p w14:paraId="091C94BD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1.2 审阅与批准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01AF2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3D3F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角色</w:t>
            </w:r>
          </w:p>
        </w:tc>
        <w:tc>
          <w:tcPr>
            <w:tcW w:w="2268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8F6A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姓名/部门</w:t>
            </w:r>
          </w:p>
        </w:tc>
        <w:tc>
          <w:tcPr>
            <w:tcW w:w="2268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CB86F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签署状态</w:t>
            </w:r>
          </w:p>
        </w:tc>
        <w:tc>
          <w:tcPr>
            <w:tcW w:w="2268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A815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备注</w:t>
            </w:r>
          </w:p>
        </w:tc>
      </w:tr>
      <w:tr w14:paraId="6FCE7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581E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架构负责人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CAB63">
            <w:pPr>
              <w:spacing w:before="0" w:after="0" w:line="288" w:lineRule="auto"/>
              <w:jc w:val="left"/>
            </w:pP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6B71D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待审阅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E10BF">
            <w:pPr>
              <w:spacing w:before="0" w:after="0" w:line="288" w:lineRule="auto"/>
              <w:jc w:val="left"/>
            </w:pPr>
          </w:p>
        </w:tc>
      </w:tr>
      <w:tr w14:paraId="7DE7F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D31B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自动化/FA 负责人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3CC23">
            <w:pPr>
              <w:spacing w:before="0" w:after="0" w:line="288" w:lineRule="auto"/>
              <w:jc w:val="left"/>
            </w:pP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F35AA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待审阅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CA856">
            <w:pPr>
              <w:spacing w:before="0" w:after="0" w:line="288" w:lineRule="auto"/>
              <w:jc w:val="left"/>
            </w:pPr>
          </w:p>
        </w:tc>
      </w:tr>
    </w:tbl>
    <w:p w14:paraId="66EF98E1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2. 引用资料与标准基线</w:t>
      </w:r>
    </w:p>
    <w:p w14:paraId="55EF462B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 的设计必须以 SEMI 语义为主，而不是以某个单一项目的现有消息清单为主。标准对象、状态模型和消息服务是“长期稳定层”；设备机型差异、客户特定变量和扩展命令属于“项目变动层”。本章节给出当前版本采用的规范基线。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3365A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EF3DD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编号</w:t>
            </w:r>
          </w:p>
        </w:tc>
        <w:tc>
          <w:tcPr>
            <w:tcW w:w="4649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26EED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参考资料</w:t>
            </w:r>
          </w:p>
        </w:tc>
        <w:tc>
          <w:tcPr>
            <w:tcW w:w="3175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44E0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设计用途</w:t>
            </w:r>
          </w:p>
        </w:tc>
      </w:tr>
      <w:tr w14:paraId="0298A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9DFD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R1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C0476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SEMI E30 GEM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C44D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通信状态、控制状态、事件、报警、远程控制、变量与设备常量的总基线</w:t>
            </w:r>
          </w:p>
        </w:tc>
      </w:tr>
      <w:tr w14:paraId="17815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FE36B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R2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5E076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SEMI E37 HSMS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5A5F9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Host/EAP 与设备之间的会话承载与链路管理</w:t>
            </w:r>
          </w:p>
        </w:tc>
      </w:tr>
      <w:tr w14:paraId="31E4E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88E15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R3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52E87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SEMI E39 Object Services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2C50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对象属性访问与对象式服务建模参考</w:t>
            </w:r>
          </w:p>
        </w:tc>
      </w:tr>
      <w:tr w14:paraId="10C27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3D179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R4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943CD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SEMI E40 Processing Management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FC655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ProcessJob 模型、状态、命令与事件</w:t>
            </w:r>
          </w:p>
        </w:tc>
      </w:tr>
      <w:tr w14:paraId="2239C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820C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R5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27E8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SEMI E42 Recipe Management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AC667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Recipe 主数据、下载/上传、执行边界</w:t>
            </w:r>
          </w:p>
        </w:tc>
      </w:tr>
      <w:tr w14:paraId="47E11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10DD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R6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2A23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SEMI E87 Carrier Management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2566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Carrier/Load Port 边界与 MoveIn/MoveOut 语义</w:t>
            </w:r>
          </w:p>
        </w:tc>
      </w:tr>
      <w:tr w14:paraId="591F6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0D865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R7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84A2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SEMI E90 Substrate Tracking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CAC4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Substrate 位置、状态与跟踪关系</w:t>
            </w:r>
          </w:p>
        </w:tc>
      </w:tr>
      <w:tr w14:paraId="0C21A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5458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R8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7314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SEMI E94 Control Job Management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A589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ControlJob、MtrlOutSpec、物料到作业的链接</w:t>
            </w:r>
          </w:p>
        </w:tc>
      </w:tr>
      <w:tr w14:paraId="6ADDA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3DF6A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R9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9080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SEMI E98 OBEM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FF23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功能域划分与多模块设备的对象组成视角</w:t>
            </w:r>
          </w:p>
        </w:tc>
      </w:tr>
      <w:tr w14:paraId="6CF98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7674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R10</w:t>
            </w:r>
          </w:p>
        </w:tc>
        <w:tc>
          <w:tcPr>
            <w:tcW w:w="46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1EAB8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SEMI E125 Equipment Self Description（预留）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12E2D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后续 EDA / 元数据开放能力的扩展预留</w:t>
            </w:r>
          </w:p>
        </w:tc>
      </w:tr>
    </w:tbl>
    <w:p w14:paraId="14062E01"/>
    <w:p w14:paraId="0FC33835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同时参考《300mm Operational Flowcharts and Scenarios》中的初始化、MoveIn/MoveOut、Queue Management 和 Product Processing 流程，用于约束 FusionFA 与 FusionScheduler 的协同边界。</w:t>
      </w:r>
    </w:p>
    <w:p w14:paraId="16C95731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3. 目的、范围与非目标</w:t>
      </w:r>
    </w:p>
    <w:p w14:paraId="5FE5F772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3.1 设计目的</w:t>
      </w:r>
    </w:p>
    <w:p w14:paraId="5128B49E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定义 FusionFA 在 FusionCore 中的体系结构位置，使其成为设备对工厂系统暴露自动化能力的标准出口。</w:t>
      </w:r>
    </w:p>
    <w:p w14:paraId="4C0D4059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明确 FusionFA 与 FusionDomain、FusionScheduler、FusionEquipment、FusionCom 之间的边界，避免把“协议收发”“设备调度”“工艺执行”混写在一个模块中。</w:t>
      </w:r>
    </w:p>
    <w:p w14:paraId="1F962049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为后续 SECS/GEM、GEM300、EAP 联调、对象字典、报警/事件表、远程命令表和测试用例提供统一设计基线。</w:t>
      </w:r>
    </w:p>
    <w:p w14:paraId="00B67731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3.2 范围</w:t>
      </w:r>
    </w:p>
    <w:p w14:paraId="7D76AB29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本版本覆盖 FusionFA 的总体分层、内部模块、标准对象映射、状态模型、接口契约、异常与恢复原则。</w:t>
      </w:r>
    </w:p>
    <w:p w14:paraId="481BD687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本版本以单机设备及多模块设备为主要对象，支持 PM/TM/CM/BM 架构下的工厂自动化集成。</w:t>
      </w:r>
    </w:p>
    <w:p w14:paraId="6B48D271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本版本覆盖 Host/EAP 视角下的 SECS/GEM 与 GEM300 基础能力，EDA/元数据开放作为预留扩展。</w:t>
      </w:r>
    </w:p>
    <w:p w14:paraId="51365BE1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3.3 非目标</w:t>
      </w:r>
    </w:p>
    <w:p w14:paraId="7D36A6E4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不在本文件中定义完整的 SxFy 报文清单、数据项编码、CEID/VID/ECID/ALID 编号分配。</w:t>
      </w:r>
    </w:p>
    <w:p w14:paraId="0E84E1F3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不在本文件中给出具体客户定制消息、机台专有命令和所有配方字段格式。</w:t>
      </w:r>
    </w:p>
    <w:p w14:paraId="5FA92534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不把工厂 MES 业务逻辑、排产逻辑或厂内跨设备协调逻辑放入 FusionFA。</w:t>
      </w:r>
    </w:p>
    <w:p w14:paraId="591E8651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4. FusionFA 的架构定位</w:t>
      </w:r>
    </w:p>
    <w:p w14:paraId="1D11220B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 不是“普通通信驱动”，而是设备自动化语义层。它向上面对 Host/EAP，以 SEMI 标准对象、状态与服务为语言；向下连接 FusionDomain、FusionScheduler 与 FusionEquipment，把设备内部真实对象投影为对外可见的自动化视图。</w:t>
      </w:r>
    </w:p>
    <w:p w14:paraId="0C25B02F">
      <w:r>
        <w:drawing>
          <wp:inline distT="0" distB="0" distL="114300" distR="114300">
            <wp:extent cx="5759450" cy="3455670"/>
            <wp:effectExtent l="0" t="0" r="1270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FEEF">
      <w:pPr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5A5A5A"/>
          <w:sz w:val="18"/>
        </w:rPr>
        <w:t>图 1  FusionFA 工厂自动化上下文边界</w:t>
      </w:r>
    </w:p>
    <w:p w14:paraId="14043CB2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在此边界内，FusionFA 负责会话、标准对象与可追溯接口，不负责设备内部工艺路径决策。即：FusionScheduler 决定“物料下一步去哪”；FusionFA 决定“如何把这一事实准确、受控地表达给 Host/EAP”。</w:t>
      </w:r>
    </w:p>
    <w:p w14:paraId="64ACB385">
      <w:r>
        <w:drawing>
          <wp:inline distT="0" distB="0" distL="114300" distR="114300">
            <wp:extent cx="5759450" cy="4525645"/>
            <wp:effectExtent l="0" t="0" r="1270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9F42">
      <w:pPr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5A5A5A"/>
          <w:sz w:val="18"/>
        </w:rPr>
        <w:t>图 2  FusionFA 内部模块分层与数据流</w:t>
      </w:r>
    </w:p>
    <w:p w14:paraId="213CDF0B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4.1 设计原则</w:t>
      </w:r>
    </w:p>
    <w:p w14:paraId="19FE73AF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标准优先：所有对外对象与服务应优先映射到 SEMI 语义，再承载客户特定扩展。</w:t>
      </w:r>
    </w:p>
    <w:p w14:paraId="51FDE7CF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真相单一：领域主数据归 FusionDomain/ FusionScheduler/ FusionEquipment 所有；FusionFA 仅维护对外投影与发布状态。</w:t>
      </w:r>
    </w:p>
    <w:p w14:paraId="1A25D6B4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命令受控：所有远程命令必须经过权限校验、状态校验和安全校验，不能直接穿透到底层模块。</w:t>
      </w:r>
    </w:p>
    <w:p w14:paraId="742D949D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可追溯：每个外部命令、事件、报警、状态变化都应带有时间戳、对象标识和审计上下文。</w:t>
      </w:r>
    </w:p>
    <w:p w14:paraId="45BD486E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可扩展：协议栈、对象映射和客户特定扩展点相互隔离，支持后续引入 EDA、自描述或厂级特定适配。</w:t>
      </w:r>
    </w:p>
    <w:p w14:paraId="208C17B3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5. 职责边界</w:t>
      </w:r>
    </w:p>
    <w:p w14:paraId="3291D747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5.1 FusionFA 的核心职责</w:t>
      </w:r>
    </w:p>
    <w:p w14:paraId="5C94C4B1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维护 HSMS/SECS 会话与消息处理链路，提供 Host/EAP 的标准访问入口。</w:t>
      </w:r>
    </w:p>
    <w:p w14:paraId="3B233FB9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维护 GEM / GEM300 所需的通信状态、控制状态、设备状态投影、对象状态投影与消息服务。</w:t>
      </w:r>
    </w:p>
    <w:p w14:paraId="6901EC6A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把内部 Alarm、Event、StatusVariable、EquipmentConstant、Recipe、Carrier、Substrate、ProcessJob、ControlJob 映射为对外标准对象。</w:t>
      </w:r>
    </w:p>
    <w:p w14:paraId="57AC95C3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接收远程命令、对象操作和配置请求，并将其转换为应用层可执行的受控请求。</w:t>
      </w:r>
    </w:p>
    <w:p w14:paraId="35DA2904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负责对外事件报告、报警发布、变量读取、报表组织、命令结果反馈、Spooling/审计等自动化接口能力。</w:t>
      </w:r>
    </w:p>
    <w:p w14:paraId="797F0449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5.2 FusionFA 的非职责</w:t>
      </w:r>
    </w:p>
    <w:p w14:paraId="71BFAAFE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不负责设备内部加工路径规划、物料调度优先级和异常退料路线决策；这些职责属于 FusionScheduler。</w:t>
      </w:r>
    </w:p>
    <w:p w14:paraId="32739918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不直接驱动 PM/TM/CM/BM、运动轴、I/O 或视觉设备；这些职责属于 FusionEquipment 与能力层。</w:t>
      </w:r>
    </w:p>
    <w:p w14:paraId="732B3A18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不作为领域主数据的拥有者，不保存 Recipe/Carrier/Substrate/Job 的唯一真相源。</w:t>
      </w:r>
    </w:p>
    <w:p w14:paraId="648D652A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不把面向客户的非标准业务逻辑无约束地混入 GEM/GEM300 主路径。</w:t>
      </w:r>
    </w:p>
    <w:p w14:paraId="5E2E7F4B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5.3 模块边界矩阵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11862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EC705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模块</w:t>
            </w:r>
          </w:p>
        </w:tc>
        <w:tc>
          <w:tcPr>
            <w:tcW w:w="2551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CE7F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负责</w:t>
            </w:r>
          </w:p>
        </w:tc>
        <w:tc>
          <w:tcPr>
            <w:tcW w:w="2551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4F89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不负责</w:t>
            </w:r>
          </w:p>
        </w:tc>
        <w:tc>
          <w:tcPr>
            <w:tcW w:w="2381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FF91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与 FusionFA 的关系</w:t>
            </w:r>
          </w:p>
        </w:tc>
      </w:tr>
      <w:tr w14:paraId="0DC01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37BB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FusionDomain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34A3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统一设备/作业/物料/报警/配方对象模型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3E6F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协议实现、会话管理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37BCB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为 FusionFA 提供对象语义和标识规范</w:t>
            </w:r>
          </w:p>
        </w:tc>
      </w:tr>
      <w:tr w14:paraId="5E4A3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5E3D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FusionScheduler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4452F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作业编排、路径规划、物料状态、异常退料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F4945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SECS/GEM 对外发布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88A05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FusionFA 读取其快照并发布为 PJ/CJ/STS 语义</w:t>
            </w:r>
          </w:p>
        </w:tc>
      </w:tr>
      <w:tr w14:paraId="62154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01BB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FusionEquipment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5E067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模块执行、状态反馈、硬件联动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27E08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Host 协议事务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605B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FusionFA 不直接控制其设备动作，只接收可发布结果</w:t>
            </w:r>
          </w:p>
        </w:tc>
      </w:tr>
      <w:tr w14:paraId="0C8DA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69EE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FusionCom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7E42A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HSMS/TCP 等承载与连接基础设施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22906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标准对象语义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BC01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FusionFA.SECS 建立在其承载能力之上</w:t>
            </w:r>
          </w:p>
        </w:tc>
      </w:tr>
      <w:tr w14:paraId="36E92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FF79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FusionUI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0D76D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人机界面、工程交互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DB7E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Host 自动化接口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7C80A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通过应用层查看与配置 FusionFA，而非直接参与协议流</w:t>
            </w:r>
          </w:p>
        </w:tc>
      </w:tr>
    </w:tbl>
    <w:p w14:paraId="4493CD73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6. 内部模块分解</w:t>
      </w:r>
    </w:p>
    <w:p w14:paraId="4B791204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6.1 FusionFA.Core</w:t>
      </w:r>
    </w:p>
    <w:p w14:paraId="59F62073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承载模块生命周期、接口契约、会话目录、对象缓存、审计标识、错误模型和跨子模块协同。Core 是 FusionFA 的运行骨架，不包含具体 SECS-II 编解码与 GEM300 业务细节。</w:t>
      </w:r>
    </w:p>
    <w:p w14:paraId="16A1559C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6.2 FusionFA.SECS</w:t>
      </w:r>
    </w:p>
    <w:p w14:paraId="43E07EE2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负责 SECS-II 消息编解码、流/功能分发、事务关联、超时与错误处理。其输出应为标准化的请求/响应对象，而不是散落的设备业务回调。</w:t>
      </w:r>
    </w:p>
    <w:p w14:paraId="507C3DED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6.3 FusionFA.GEM</w:t>
      </w:r>
    </w:p>
    <w:p w14:paraId="74E9E5F5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负责通信状态、控制状态、远程控制、动态事件报告、变量读取、设备常量、报警管理、时钟、终端服务、Spooling 等 GEM 基线能力。</w:t>
      </w:r>
    </w:p>
    <w:p w14:paraId="06577E78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6.4 FusionFA.GEM300</w:t>
      </w:r>
    </w:p>
    <w:p w14:paraId="4E77CE6B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负责 Carrier、Substrate、ProcessJob、ControlJob 相关对象与服务的标准投影。它不拥有这些对象，而是对内部真相进行映射与发布。</w:t>
      </w:r>
    </w:p>
    <w:p w14:paraId="40236CC2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6.5 FusionFA.EAP</w:t>
      </w:r>
    </w:p>
    <w:p w14:paraId="48F6C8E3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作为面向客户/EAP/Host 的业务入口层，负责命令入口治理、客户扩展能力隔离、协议外业务协调、兼容层适配与统一错误返回。</w:t>
      </w:r>
    </w:p>
    <w:p w14:paraId="42960D0E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6.6 FusionFA.Mapping</w:t>
      </w:r>
    </w:p>
    <w:p w14:paraId="532C83D1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负责对象标识规则、值域转换、状态裁剪、内部模型到外部对象的投影、客户扩展字段挂载以及 CEID/VID/ALID 等编码表的装配。</w:t>
      </w:r>
    </w:p>
    <w:p w14:paraId="40C5535B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6.7 FusionFA.EDA（预留）</w:t>
      </w:r>
    </w:p>
    <w:p w14:paraId="41B8D42D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为后续 E125 / EDA/元数据开放能力预留。该层不应污染现有 GEM/GEM300 路径，建议以独立适配器方式存在。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4810A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67769"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模块拆分原则</w:t>
            </w:r>
          </w:p>
        </w:tc>
      </w:tr>
      <w:tr w14:paraId="6A126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E0FC5"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SECS 解决“报文与事务”；GEM/GEM300 解决“语义与对象”；EAP 解决“受控入口与客户扩展”；Mapping 解决“内部真相到外部投影”。</w:t>
            </w:r>
          </w:p>
        </w:tc>
      </w:tr>
      <w:tr w14:paraId="52A15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8CB71"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当某项实现同时涉及“消息解析”和“业务语义”时，应优先把语义放到 GEM/GEM300 或 Mapping，SECS 层只保留协议层逻辑。</w:t>
            </w:r>
          </w:p>
        </w:tc>
      </w:tr>
    </w:tbl>
    <w:p w14:paraId="1504C5A2"/>
    <w:p w14:paraId="6F16799F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7. 对外自动化对象模型</w:t>
      </w:r>
    </w:p>
    <w:p w14:paraId="60F0B5B6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 面向 Host/EAP 暴露的是“标准对象视图”，而不是内部模块类。以下对象构成一期设计的主干。</w:t>
      </w:r>
    </w:p>
    <w:p w14:paraId="6F825EDB">
      <w:r>
        <w:drawing>
          <wp:inline distT="0" distB="0" distL="114300" distR="114300">
            <wp:extent cx="5759450" cy="3496945"/>
            <wp:effectExtent l="0" t="0" r="1270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74F3">
      <w:pPr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5A5A5A"/>
          <w:sz w:val="18"/>
        </w:rPr>
        <w:t>图 3  领域对象到标准对象的映射关系</w:t>
      </w:r>
    </w:p>
    <w:p w14:paraId="341243CF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7.1 状态与会话类对象</w:t>
      </w:r>
    </w:p>
    <w:p w14:paraId="067478FC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CommunicationState：链路建立、选择、分离、掉线、重连与事务可用性。</w:t>
      </w:r>
    </w:p>
    <w:p w14:paraId="6698063A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ControlState：Offline / Local / Remote 等控制授权视图，以及受控切换路径。</w:t>
      </w:r>
    </w:p>
    <w:p w14:paraId="306379A0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EquipmentState Projection：设备运行状态、AR/AM 可用性、关键可加工性投影。</w:t>
      </w:r>
    </w:p>
    <w:p w14:paraId="7932D320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Access / Session Context：当前连接方、认证上下文、事务上下文与审计标签。</w:t>
      </w:r>
    </w:p>
    <w:p w14:paraId="4D5DB1BD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7.2 生产与物料类对象</w:t>
      </w:r>
    </w:p>
    <w:p w14:paraId="0681EB7B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Carrier：承载 CarrierId、Load Port、绑定关系、状态与进入/退出设备的边界语义。</w:t>
      </w:r>
    </w:p>
    <w:p w14:paraId="441F4068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Substrate：承载 SubstrateId、当前位置、状态、所在 Carrier/Slot、目标位置和历史关系。</w:t>
      </w:r>
    </w:p>
    <w:p w14:paraId="22B1BDD9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ProcessJob：面向处理资源的作业对象，表达 Setup、Processing、Complete、Abort 等处理语义。</w:t>
      </w:r>
    </w:p>
    <w:p w14:paraId="50F01330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ControlJob：面向整机/批次/物料组合的监督对象，用于承载 CarrierInputSpec、MtrlOutSpec 以及对 ProcessJob 的管理。</w:t>
      </w:r>
    </w:p>
    <w:p w14:paraId="0587E74D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Recipe：面向工厂接口的配方对象，不等同于内部工艺脚本；其执行结果仍由 Scheduler/Equipment 产生。</w:t>
      </w:r>
    </w:p>
    <w:p w14:paraId="68DE4ED5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7.3 报告与控制类对象</w:t>
      </w:r>
    </w:p>
    <w:p w14:paraId="14FCC66E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CollectionEvent / Report：用于向 Host 报告状态变化、作业进度、报警与业务事件。</w:t>
      </w:r>
    </w:p>
    <w:p w14:paraId="65818E3A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StatusVariable / EquipmentConstant：面向查询与订阅的数据访问对象。</w:t>
      </w:r>
    </w:p>
    <w:p w14:paraId="5DDBBBEA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Alarm / Exception：描述严重异常、警告、清除与关联对象。</w:t>
      </w:r>
    </w:p>
    <w:p w14:paraId="5D1F630D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RemoteCommand：Host 发起的控制操作，进入系统后必须转为受控的应用请求。</w:t>
      </w:r>
    </w:p>
    <w:p w14:paraId="5D1BFE1D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7.4 命名与标识原则</w:t>
      </w:r>
    </w:p>
    <w:p w14:paraId="161204D8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对象标识必须稳定、可追溯、可映射。建议使用“逻辑对象 ID + 设备作用域 + 生命周期约束”的规则，避免直接暴露运行时临时句柄。对于 Carrier/Substrate/Job/Recipe 等对象，FusionFA 只引用内部真相 ID，不单独创造第二套主键。</w:t>
      </w:r>
    </w:p>
    <w:p w14:paraId="25FD0001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8. 状态模型与行为基线</w:t>
      </w:r>
    </w:p>
    <w:p w14:paraId="0E137CCB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8.1 通信状态</w:t>
      </w:r>
    </w:p>
    <w:p w14:paraId="0907CDED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 应完整维护通信建立、选择、断开和重连等会话状态，并确保任何 GEM/GEM300 服务都工作在已定义的通信上下文中。通信异常不能直接修改内部领域真相，但必须生成审计和恢复信号。</w:t>
      </w:r>
    </w:p>
    <w:p w14:paraId="2C952D86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8.2 控制状态</w:t>
      </w:r>
    </w:p>
    <w:p w14:paraId="44577DFA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控制状态用于表达 Host 是否可以对设备发出远程操作。控制状态切换应采用受控路径：例如 Offline→Local→Remote，而不是任意跳转。任何远程命令在执行前都必须同时通过控制状态校验、设备运行状态校验和安全互锁校验。</w:t>
      </w:r>
    </w:p>
    <w:p w14:paraId="6F57AF70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8.3 作业与物料状态映射</w:t>
      </w:r>
    </w:p>
    <w:p w14:paraId="56FC211E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ProcessJob 的外部状态以 E40 语义表达；FusionScheduler 的内部步骤状态不应直接暴露给 Host。</w:t>
      </w:r>
    </w:p>
    <w:p w14:paraId="4FEBC64A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ControlJob 是对 ProcessJob、Carrier 与 Material 组合的监督视图；其异常停止/中止需要与内部调度策略保持一致。</w:t>
      </w:r>
    </w:p>
    <w:p w14:paraId="6797B3FD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Substrate 的位置状态以 E90 语义表达，FusionEquipment 的底层位置编码需要先经过 Mapping 层转换。</w:t>
      </w:r>
    </w:p>
    <w:p w14:paraId="41221EDB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8.4 报警与异常</w:t>
      </w:r>
    </w:p>
    <w:p w14:paraId="06423F16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异常处理采用“双层视图”：内部层负责异常检测、隔离和恢复；FusionFA 负责把异常以 Alarm/Exception/事件的形式对外发布，并保证清除、确认、恢复通知的顺序与可追溯性。FusionFA 不应自行创造未被内部系统确认的虚假恢复状态。</w:t>
      </w:r>
    </w:p>
    <w:p w14:paraId="5E3655E6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9. 接口与交互模型</w:t>
      </w:r>
    </w:p>
    <w:p w14:paraId="515A63B1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9.1 外部接口基线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23440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723D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接口类别</w:t>
            </w:r>
          </w:p>
        </w:tc>
        <w:tc>
          <w:tcPr>
            <w:tcW w:w="2268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241B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典型标准</w:t>
            </w:r>
          </w:p>
        </w:tc>
        <w:tc>
          <w:tcPr>
            <w:tcW w:w="2268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F3BB7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FusionFA 所在层</w:t>
            </w:r>
          </w:p>
        </w:tc>
        <w:tc>
          <w:tcPr>
            <w:tcW w:w="2665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5319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说明</w:t>
            </w:r>
          </w:p>
        </w:tc>
      </w:tr>
      <w:tr w14:paraId="501C0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762C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链路与会话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C36E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E37 / HSMS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4C2F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SECS + Core</w:t>
            </w:r>
          </w:p>
        </w:tc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ED19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负责连接、选择、分离、超时、事务相关性</w:t>
            </w:r>
          </w:p>
        </w:tc>
      </w:tr>
      <w:tr w14:paraId="08A17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8DBE9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基础对象服务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F7E6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E39 / Object Services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AD276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Mapping + GEM300</w:t>
            </w:r>
          </w:p>
        </w:tc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0092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对象查询、属性读取、状态一致性</w:t>
            </w:r>
          </w:p>
        </w:tc>
      </w:tr>
      <w:tr w14:paraId="45BFA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2E8C8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GEM 基础能力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38BDB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E30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DD509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GEM</w:t>
            </w:r>
          </w:p>
        </w:tc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0B85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事件、报警、变量、设备常量、远程控制等</w:t>
            </w:r>
          </w:p>
        </w:tc>
      </w:tr>
      <w:tr w14:paraId="0DEEA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F2C4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处理与作业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84EB7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E40 / E94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2BF5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GEM300</w:t>
            </w:r>
          </w:p>
        </w:tc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7E269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ProcessJob / ControlJob 操作与状态报告</w:t>
            </w:r>
          </w:p>
        </w:tc>
      </w:tr>
      <w:tr w14:paraId="18F39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CD1EB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物料与载具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6EFF6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E87 / E90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8C08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GEM300</w:t>
            </w:r>
          </w:p>
        </w:tc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24B4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Carrier / Substrate 的对象映射与追踪</w:t>
            </w:r>
          </w:p>
        </w:tc>
      </w:tr>
    </w:tbl>
    <w:p w14:paraId="5A5072F2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9.2 内部接口基线</w:t>
      </w:r>
    </w:p>
    <w:p w14:paraId="13A30365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IEquipmentAutomationSnapshotProvider：向 FusionFA 提供设备、模块、作业、物料、报警的只读快照。</w:t>
      </w:r>
    </w:p>
    <w:p w14:paraId="70AD701B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IRemoteCommandGateway：FusionFA 向应用层提交远程命令请求，并获取受控执行结果。</w:t>
      </w:r>
    </w:p>
    <w:p w14:paraId="353E1AC9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IEventPublicationPolicy：决定哪些内部事件对外可见、如何映射为 CEID/报告。</w:t>
      </w:r>
    </w:p>
    <w:p w14:paraId="49DA4CAD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IObjectProjectionMapper：负责内部对象到标准对象的字段映射与校验。</w:t>
      </w:r>
    </w:p>
    <w:p w14:paraId="518FBD9D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9.3 典型交互场景</w:t>
      </w:r>
    </w:p>
    <w:p w14:paraId="0E867343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场景 A：Host 建链并完成 Online/Remote 切换。FusionFA 首先建立 HSMS 上下文，随后在 GEM 层完成通信状态与控制状态切换，并通过应用层校验设备当前是否允许进入远程控制。</w:t>
      </w:r>
    </w:p>
    <w:p w14:paraId="647AA30A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场景 B：Host 创建 ControlJob / ProcessJob。FusionFA 接收对象请求，调用 Mapping 进行标识与参数校验，再由应用层提交给 Scheduler；最终由 FusionFA 把被接受或拒绝的结果反馈给 Host。</w:t>
      </w:r>
    </w:p>
    <w:p w14:paraId="081884DF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场景 C：设备加工过程中发生异常。内部异常先由 Scheduler/Equipment 处理并生成统一异常事实，FusionFA 再根据策略发出 Alarm、事件和作业状态变化，并在需要时保持 Spooling 与重发能力。</w:t>
      </w:r>
    </w:p>
    <w:p w14:paraId="6B2B45E0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10. 事件、变量、报警与远程命令设计</w:t>
      </w:r>
    </w:p>
    <w:p w14:paraId="2D80A257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10.1 事件与报表</w:t>
      </w:r>
    </w:p>
    <w:p w14:paraId="457A76B9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建议采用“事件源-投影-报表模板”三段式设计：内部事件首先被分类，再映射为标准可报告事件，最后装配为具体报表。该设计能避免把客户特定报表逻辑硬编码到设备执行路径中。</w:t>
      </w:r>
    </w:p>
    <w:p w14:paraId="7BA9DB40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事件分层：系统级、设备级、模块级、作业级、物料级。</w:t>
      </w:r>
    </w:p>
    <w:p w14:paraId="6E28922E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报表策略：优先使用稳定字段；项目字段通过扩展块挂载，不污染基础报表。</w:t>
      </w:r>
    </w:p>
    <w:p w14:paraId="76F231D3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事件发布条件：对象状态变化应采用幂等与去抖策略，避免短时间重复抖动。</w:t>
      </w:r>
    </w:p>
    <w:p w14:paraId="0233C3AE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10.2 变量与设备常量</w:t>
      </w:r>
    </w:p>
    <w:p w14:paraId="2C7F9FFC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Status Variable 用于运行时状态读取；Equipment Constant 用于较稳定的设备配置或行为参数。两者都不应直接绑定到底层原始地址，而应通过 Mapping 层转换为语义化对象。</w:t>
      </w:r>
    </w:p>
    <w:p w14:paraId="3C1CFA40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10.3 报警与异常</w:t>
      </w:r>
    </w:p>
    <w:p w14:paraId="0BEA0117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报警模型建议至少包含 AlarmId、Severity、SourceObject、RaisedAt、ClearedAt、AckState、LinkedJob、LinkedMaterial 等字段，并支持对异常恢复过程中的中间状态进行审计。</w:t>
      </w:r>
    </w:p>
    <w:p w14:paraId="65FDBBF7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10.4 远程命令</w:t>
      </w:r>
    </w:p>
    <w:p w14:paraId="4BC8570B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远程命令必须经过“命令受理—权限校验—控制状态校验—安全互锁校验—应用层执行—结果回写”完整链路。FusionFA 不允许存在“协议线程直接调用底层模块”的实现路径。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5"/>
      </w:tblGrid>
      <w:tr w14:paraId="046F5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EAF2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E10FE"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远程命令治理建议</w:t>
            </w:r>
          </w:p>
        </w:tc>
      </w:tr>
      <w:tr w14:paraId="137C7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B28F8"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命令分级：状态切换类、作业类、物料类、配方类、维护类。</w:t>
            </w:r>
          </w:p>
        </w:tc>
      </w:tr>
      <w:tr w14:paraId="42DD3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922BC"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结果模型：Accepted / Rejected / Deferred / Completed / Failed，并记录标准错误码与内部错误上下文。</w:t>
            </w:r>
          </w:p>
        </w:tc>
      </w:tr>
      <w:tr w14:paraId="69FD3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7304D"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所有远程命令都应具备审计项：请求方、请求时间、目标对象、前置状态、执行结果。</w:t>
            </w:r>
          </w:p>
        </w:tc>
      </w:tr>
    </w:tbl>
    <w:p w14:paraId="5967DCF9"/>
    <w:p w14:paraId="3B4035F5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11. Recipe / Job / Material 映射边界</w:t>
      </w:r>
    </w:p>
    <w:p w14:paraId="17156BF6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11.1 Recipe 管理边界</w:t>
      </w:r>
    </w:p>
    <w:p w14:paraId="39D323D5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 负责 Recipe 的对外可见接口、下载/上传/选择/查询等自动化语义；FusionDomain 与具体设备模块负责 Recipe 的内部结构和执行含义。也就是说，FusionFA 可以传递与查询 Recipe，但不定义工艺脚本解释器。</w:t>
      </w:r>
    </w:p>
    <w:p w14:paraId="42F840B2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11.2 ProcessJob / ControlJob 边界</w:t>
      </w:r>
    </w:p>
    <w:p w14:paraId="32A540A7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ProcessJob 反映“处理资源视角”的执行任务，ControlJob 反映“整机或批处理视角”的监督任务。FusionScheduler 管理其真实执行与依赖；FusionFA 则负责将其转换为标准对象状态、消息服务和异常报告。</w:t>
      </w:r>
    </w:p>
    <w:p w14:paraId="4BB6768C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11.3 Carrier / Substrate 跟踪边界</w:t>
      </w:r>
    </w:p>
    <w:p w14:paraId="5416C71E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Carrier 与 Substrate 的主数据和位置真相来自内部跟踪系统。FusionFA 只能引用内部已确认的位置与状态，不可在通信层凭推断改写物料位置。对于异常退料、回 Carrier、转 Buffer、Hold 或 Scrap 场景，FusionFA 的职责是准确报告，不是自主决策。</w:t>
      </w:r>
    </w:p>
    <w:p w14:paraId="612B782F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11.4 MtrlOutSpec 与异常传出</w:t>
      </w:r>
    </w:p>
    <w:p w14:paraId="0D92B0B7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对于 ControlJob 所涉及的输出物料去向，FusionFA 应以受控方式发布 MtrlOutSpec 及相关结果。当内部调度因异常需要将物料安全传出或回退时，FusionFA 需要把这一过程映射为 Host 可理解的作业、物料与事件变化。</w:t>
      </w:r>
    </w:p>
    <w:p w14:paraId="5AC5EA84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12. 初始化、恢复与异常场景</w:t>
      </w:r>
    </w:p>
    <w:p w14:paraId="729D9D60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12.1 初始化</w:t>
      </w:r>
    </w:p>
    <w:p w14:paraId="541CF87D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 的初始化不应只看通信模块，而应与 E40/E87/E90/E94 等对象初始化保持一致。建议在 Clean Initialization 和 Abnormal Restart 两类场景下分别定义会话恢复、对象重建、告警恢复和待处理作业处理策略。</w:t>
      </w:r>
    </w:p>
    <w:p w14:paraId="68365AE7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12.2 通信中断与重连</w:t>
      </w:r>
    </w:p>
    <w:p w14:paraId="319667AB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通信中断期间，内部生产过程可以继续或被受控暂停，但 FusionFA 必须持续记录本地审计和 Spooling 信息。重连后需要按照策略同步关键状态、报警与未确认事件，而不是简单清空历史。</w:t>
      </w:r>
    </w:p>
    <w:p w14:paraId="62B3E182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12.3 Host/Equipment 职责分离</w:t>
      </w:r>
    </w:p>
    <w:p w14:paraId="7E3331C8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Host 负责提出对象操作、命令和策略性请求；设备负责依据当前状态、安全条件和内部规则进行受理、执行与反馈。对于不能立即执行的命令，FusionFA 应明确返回被拒绝、延后或等待条件，而不是静默丢弃。</w:t>
      </w:r>
    </w:p>
    <w:p w14:paraId="5B844CCB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12.4 异常传出与人工接管</w:t>
      </w:r>
    </w:p>
    <w:p w14:paraId="2D85B17D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当内部系统进入异常恢复流程、待人工干预或受限模式时，FusionFA 需要对外清晰表达设备控制状态、作业状态和物料状态，同时避免暴露未经确认的中间细节。</w:t>
      </w:r>
    </w:p>
    <w:p w14:paraId="57867607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13. 数据持久化、审计与可追溯</w:t>
      </w:r>
    </w:p>
    <w:p w14:paraId="1A74AE29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所有外部命令、关键对象状态变化、报警发布和配置变更应持久化审计。</w:t>
      </w:r>
    </w:p>
    <w:p w14:paraId="675CACC3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建议为每条对外事务生成统一 CorrelationId，以便串联 HSMS 事务、内部执行与日志。</w:t>
      </w:r>
    </w:p>
    <w:p w14:paraId="372451F2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 的本地缓存仅用于会话恢复、重复抑制、Spooling 和审计，不应替代领域主存储。</w:t>
      </w:r>
    </w:p>
    <w:p w14:paraId="6CB21714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对客户扩展字段的保存与回放应采用版本化字典，避免不同项目相互污染。</w:t>
      </w:r>
    </w:p>
    <w:p w14:paraId="567DED26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14. 实施分期建议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0C8AB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6D666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阶段</w:t>
            </w:r>
          </w:p>
        </w:tc>
        <w:tc>
          <w:tcPr>
            <w:tcW w:w="2268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F7BA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目标</w:t>
            </w:r>
          </w:p>
        </w:tc>
        <w:tc>
          <w:tcPr>
            <w:tcW w:w="2835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60246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主要范围</w:t>
            </w:r>
          </w:p>
        </w:tc>
        <w:tc>
          <w:tcPr>
            <w:tcW w:w="2778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7A21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交付物</w:t>
            </w:r>
          </w:p>
        </w:tc>
      </w:tr>
      <w:tr w14:paraId="2A6C1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7E66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Phase 1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3037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建立 GEM 基线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F7556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HSMS、SECS、通信/控制状态、报警、事件、变量、远程命令骨架</w:t>
            </w:r>
          </w:p>
        </w:tc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94015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FusionFA.Core/SECS/GEM、接口契约、基础联调工具</w:t>
            </w:r>
          </w:p>
        </w:tc>
      </w:tr>
      <w:tr w14:paraId="75B06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C36EB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Phase 2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A6AFA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建立 GEM300 主路径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CFF55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Carrier/Substrate/ProcessJob/ControlJob、Recipe 接口、对象映射</w:t>
            </w:r>
          </w:p>
        </w:tc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1C497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FusionFA.GEM300、对象编码表、作业与物料联调</w:t>
            </w:r>
          </w:p>
        </w:tc>
      </w:tr>
      <w:tr w14:paraId="0AB8A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C582F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Phase 3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198C5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增强客户与工厂适配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43458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EAP 适配层、Spooling 完善、客户扩展命令、元数据预留</w:t>
            </w:r>
          </w:p>
        </w:tc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7F90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FusionFA.EAP、扩展点约束、兼容适配清单</w:t>
            </w:r>
          </w:p>
        </w:tc>
      </w:tr>
    </w:tbl>
    <w:p w14:paraId="4F2D3959"/>
    <w:p w14:paraId="35249B0C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建议在 Phase 1 即完成统一事务日志和自动化模拟器，避免后续每接一个客户都在真实机台上“边调边补”。</w:t>
      </w:r>
    </w:p>
    <w:p w14:paraId="474DE634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15. 风险、约束与未决问题</w:t>
      </w:r>
    </w:p>
    <w:p w14:paraId="24991544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如果内部对象命名和状态模型未先统一，FusionFA 会被迫承载过多项目适配代码，导致标准接口不可复用。</w:t>
      </w:r>
    </w:p>
    <w:p w14:paraId="14E3FC72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如果把客户特定消息直接写入 SECS 层，后续将很难维护统一对象模型和测试边界。</w:t>
      </w:r>
    </w:p>
    <w:p w14:paraId="7C990F25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如果 FusionFA 直接控制底层设备动作，会破坏 Scheduler/Equipment 的权责分离，并显著增加异常风险。</w:t>
      </w:r>
    </w:p>
    <w:p w14:paraId="165B2F61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EDA / 元数据开放能力是否纳入一期，需要结合客户需求、性能预算与团队实施能力再做决策。</w:t>
      </w:r>
    </w:p>
    <w:p w14:paraId="1FDCDA73">
      <w:pPr>
        <w:pStyle w:val="4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5"/>
        </w:rPr>
        <w:t>15.1 未决问题清单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20C6C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4872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ID</w:t>
            </w:r>
          </w:p>
        </w:tc>
        <w:tc>
          <w:tcPr>
            <w:tcW w:w="5443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B831B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问题</w:t>
            </w:r>
          </w:p>
        </w:tc>
        <w:tc>
          <w:tcPr>
            <w:tcW w:w="2835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F93B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建议</w:t>
            </w:r>
          </w:p>
        </w:tc>
      </w:tr>
      <w:tr w14:paraId="47540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0768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O1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5F8F8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一期是否纳入 E39 对象服务的完整外部接口，还是先以内聚的业务接口替代。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6ECA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建议先保留对象式抽象，协议字典逐步展开。</w:t>
            </w:r>
          </w:p>
        </w:tc>
      </w:tr>
      <w:tr w14:paraId="441DC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2CE2D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O2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62EE5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Recipe 下载/上传是否采用统一主数据仓库，还是由机型插件各自承载。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2D9D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建议统一仓库 + 机型扩展字段。</w:t>
            </w:r>
          </w:p>
        </w:tc>
      </w:tr>
      <w:tr w14:paraId="3B9F0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20CD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O3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184C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客户特定远程命令是否允许直接进入标准命名空间。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2B1F5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建议隔离到 EAP 扩展层，不进入 GEM 主命名空间。</w:t>
            </w:r>
          </w:p>
        </w:tc>
      </w:tr>
      <w:tr w14:paraId="2EAD4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0C28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O4</w:t>
            </w:r>
          </w:p>
        </w:tc>
        <w:tc>
          <w:tcPr>
            <w:tcW w:w="54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C75E9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是否在一期支持设备自描述/元数据查询。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06A0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建议预留接口，二期视客户需求启用。</w:t>
            </w:r>
          </w:p>
        </w:tc>
      </w:tr>
    </w:tbl>
    <w:p w14:paraId="12ECD80F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附录 A. SEMI 标准映射矩阵（基线版）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4BCF0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9E8B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标准</w:t>
            </w:r>
          </w:p>
        </w:tc>
        <w:tc>
          <w:tcPr>
            <w:tcW w:w="2608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564E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关注对象</w:t>
            </w:r>
          </w:p>
        </w:tc>
        <w:tc>
          <w:tcPr>
            <w:tcW w:w="2721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A8DE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FusionFA 承接模块</w:t>
            </w:r>
          </w:p>
        </w:tc>
        <w:tc>
          <w:tcPr>
            <w:tcW w:w="2551" w:type="dxa"/>
            <w:shd w:val="clear" w:color="auto" w:fill="D9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E1B4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说明</w:t>
            </w:r>
          </w:p>
        </w:tc>
      </w:tr>
      <w:tr w14:paraId="17F4A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E70C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E30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C4039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GEM 基线能力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4D56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GEM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8811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通信/控制状态、事件、报警、远程控制、变量、设备常量</w:t>
            </w:r>
          </w:p>
        </w:tc>
      </w:tr>
      <w:tr w14:paraId="402B4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2D15A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E37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298CE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HSMS 会话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FA11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SECS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40E29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会话承载与事务链路</w:t>
            </w:r>
          </w:p>
        </w:tc>
      </w:tr>
      <w:tr w14:paraId="5CB32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9A92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E39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A7BD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对象服务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47E1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Mapping/GEM300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8EB6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对象属性与服务接口建模参考</w:t>
            </w:r>
          </w:p>
        </w:tc>
      </w:tr>
      <w:tr w14:paraId="7D34A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9004F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E40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69794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ProcessJob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43C9D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GEM300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271A6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处理作业状态、命令和事件</w:t>
            </w:r>
          </w:p>
        </w:tc>
      </w:tr>
      <w:tr w14:paraId="7ACD8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A7CB9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E42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D9CC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Recipe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1BCDD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GEM300/EAP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8D7C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对外 Recipe 语义与传输接口</w:t>
            </w:r>
          </w:p>
        </w:tc>
      </w:tr>
      <w:tr w14:paraId="58912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B7EDC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E87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25BDB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Carrier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4182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GEM300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C572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Carrier、Load Port、MoveIn/MoveOut 语义</w:t>
            </w:r>
          </w:p>
        </w:tc>
      </w:tr>
      <w:tr w14:paraId="6D1F1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3E117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E90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ED6D0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Substrate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6F2AA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GEM300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47823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Substrate 位置与状态投影</w:t>
            </w:r>
          </w:p>
        </w:tc>
      </w:tr>
      <w:tr w14:paraId="5EF1E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BDA2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E94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D7975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ControlJob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F119F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GEM300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4CE7D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ControlJob、MtrlOutSpec 与监督关系</w:t>
            </w:r>
          </w:p>
        </w:tc>
      </w:tr>
      <w:tr w14:paraId="7990E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3CB21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E98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3DB4A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功能域与设备对象视角</w:t>
            </w:r>
          </w:p>
        </w:tc>
        <w:tc>
          <w:tcPr>
            <w:tcW w:w="272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3E892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Core/Mapping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1FD0F">
            <w:pPr>
              <w:spacing w:before="0" w:after="0" w:line="28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用于指导功能拆分与多模块设备可见性</w:t>
            </w:r>
          </w:p>
        </w:tc>
      </w:tr>
    </w:tbl>
    <w:p w14:paraId="421E9C3F">
      <w:pPr>
        <w:pStyle w:val="3"/>
        <w:spacing w:before="80" w:after="160" w:line="288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附录 B. 代码包与接口命名建议</w:t>
      </w:r>
    </w:p>
    <w:p w14:paraId="35B05F64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FusionFA.Core</w:t>
      </w:r>
    </w:p>
    <w:p w14:paraId="2DF29967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FusionFA.SECS</w:t>
      </w:r>
    </w:p>
    <w:p w14:paraId="4507BE6B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FusionFA.GEM</w:t>
      </w:r>
    </w:p>
    <w:p w14:paraId="2737D4E2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FusionFA.GEM300</w:t>
      </w:r>
    </w:p>
    <w:p w14:paraId="763EF0F6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FusionFA.EAP</w:t>
      </w:r>
    </w:p>
    <w:p w14:paraId="0159204C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FusionFA.Mapping</w:t>
      </w:r>
    </w:p>
    <w:p w14:paraId="057B18A9">
      <w:pPr>
        <w:spacing w:before="0" w:after="80" w:line="288" w:lineRule="auto"/>
        <w:ind w:left="255" w:hanging="198"/>
      </w:pPr>
      <w:r>
        <w:rPr>
          <w:rFonts w:ascii="Noto Sans CJK SC" w:hAnsi="Noto Sans CJK SC" w:eastAsia="Noto Sans CJK SC" w:cs="Noto Sans CJK SC"/>
          <w:b/>
          <w:i w:val="0"/>
          <w:color w:val="346191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FusionFA.TestHost / FusionFA.Simulator</w:t>
      </w:r>
    </w:p>
    <w:p w14:paraId="650D2E25">
      <w:pPr>
        <w:spacing w:before="0" w:after="100" w:line="288" w:lineRule="auto"/>
        <w:jc w:val="both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建议的关键接口包括：IAutomationSessionService、IGemStateService、IGemEventPublisher、IGemVariableProvider、IRemoteCommandGateway、IGem300ObjectProjector、IRecipeAutomationService。</w:t>
      </w:r>
    </w:p>
    <w:sectPr>
      <w:headerReference r:id="rId5" w:type="default"/>
      <w:footerReference r:id="rId6" w:type="default"/>
      <w:pgSz w:w="11906" w:h="16838"/>
      <w:pgMar w:top="1247" w:right="1134" w:bottom="1020" w:left="124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82FF" w:usb1="400078FF" w:usb2="00000021" w:usb3="00000000" w:csb0="2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0931C">
    <w:pPr>
      <w:pStyle w:val="24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3118"/>
      <w:gridCol w:w="3118"/>
    </w:tblGrid>
    <w:tr w14:paraId="7CAEE2D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2268" w:type="dxa"/>
          <w:tcMar>
            <w:top w:w="40" w:type="dxa"/>
            <w:left w:w="70" w:type="dxa"/>
            <w:bottom w:w="20" w:type="dxa"/>
            <w:right w:w="70" w:type="dxa"/>
          </w:tcMar>
        </w:tcPr>
        <w:p w14:paraId="21D860D6">
          <w:r>
            <w:rPr>
              <w:rFonts w:ascii="Noto Sans CJK SC" w:hAnsi="Noto Sans CJK SC" w:eastAsia="Noto Sans CJK SC" w:cs="Noto Sans CJK SC"/>
              <w:b w:val="0"/>
              <w:i w:val="0"/>
              <w:color w:val="5A5A5A"/>
              <w:sz w:val="17"/>
            </w:rPr>
            <w:t>FC-FA-001</w:t>
          </w:r>
        </w:p>
      </w:tc>
      <w:tc>
        <w:tcPr>
          <w:tcW w:w="4252" w:type="dxa"/>
          <w:tcMar>
            <w:top w:w="40" w:type="dxa"/>
            <w:left w:w="70" w:type="dxa"/>
            <w:bottom w:w="20" w:type="dxa"/>
            <w:right w:w="70" w:type="dxa"/>
          </w:tcMar>
        </w:tcPr>
        <w:p w14:paraId="5B145D5E">
          <w:pPr>
            <w:jc w:val="center"/>
          </w:pPr>
          <w:r>
            <w:rPr>
              <w:rFonts w:ascii="Noto Sans CJK SC" w:hAnsi="Noto Sans CJK SC" w:eastAsia="Noto Sans CJK SC" w:cs="Noto Sans CJK SC"/>
              <w:b w:val="0"/>
              <w:i w:val="0"/>
              <w:color w:val="5A5A5A"/>
              <w:sz w:val="17"/>
            </w:rPr>
            <w:t>FusionFA 工厂自动化接口设计说明书 v1.0</w:t>
          </w:r>
        </w:p>
      </w:tc>
      <w:tc>
        <w:tcPr>
          <w:tcW w:w="2835" w:type="dxa"/>
          <w:tcMar>
            <w:top w:w="40" w:type="dxa"/>
            <w:left w:w="70" w:type="dxa"/>
            <w:bottom w:w="20" w:type="dxa"/>
            <w:right w:w="70" w:type="dxa"/>
          </w:tcMar>
        </w:tcPr>
        <w:p w14:paraId="6125D6CE">
          <w:pPr>
            <w:jc w:val="right"/>
          </w:pPr>
          <w:r>
            <w:rPr>
              <w:rFonts w:ascii="Noto Sans CJK SC" w:hAnsi="Noto Sans CJK SC" w:eastAsia="Noto Sans CJK SC" w:cs="Noto Sans CJK SC"/>
              <w:b w:val="0"/>
              <w:i w:val="0"/>
              <w:color w:val="5A5A5A"/>
              <w:sz w:val="18"/>
            </w:rPr>
            <w:t xml:space="preserve">第 </w:t>
          </w:r>
          <w:r>
            <w:rPr>
              <w:rFonts w:ascii="Noto Sans CJK SC" w:hAnsi="Noto Sans CJK SC" w:eastAsia="Noto Sans CJK SC" w:cs="Noto Sans CJK SC"/>
              <w:b w:val="0"/>
              <w:i w:val="0"/>
              <w:color w:val="5A5A5A"/>
              <w:sz w:val="18"/>
            </w:rPr>
            <w:fldChar w:fldCharType="begin"/>
          </w:r>
          <w:r>
            <w:rPr>
              <w:rFonts w:ascii="Noto Sans CJK SC" w:hAnsi="Noto Sans CJK SC" w:eastAsia="Noto Sans CJK SC" w:cs="Noto Sans CJK SC"/>
              <w:b w:val="0"/>
              <w:i w:val="0"/>
              <w:color w:val="5A5A5A"/>
              <w:sz w:val="18"/>
            </w:rPr>
            <w:instrText xml:space="preserve">PAGE</w:instrText>
          </w:r>
          <w:r>
            <w:rPr>
              <w:rFonts w:ascii="Noto Sans CJK SC" w:hAnsi="Noto Sans CJK SC" w:eastAsia="Noto Sans CJK SC" w:cs="Noto Sans CJK SC"/>
              <w:b w:val="0"/>
              <w:i w:val="0"/>
              <w:color w:val="5A5A5A"/>
              <w:sz w:val="18"/>
            </w:rPr>
            <w:fldChar w:fldCharType="end"/>
          </w:r>
          <w:r>
            <w:rPr>
              <w:rFonts w:ascii="Noto Sans CJK SC" w:hAnsi="Noto Sans CJK SC" w:eastAsia="Noto Sans CJK SC" w:cs="Noto Sans CJK SC"/>
              <w:b w:val="0"/>
              <w:i w:val="0"/>
              <w:color w:val="5A5A5A"/>
              <w:sz w:val="18"/>
            </w:rPr>
            <w:t xml:space="preserve"> 页</w:t>
          </w:r>
        </w:p>
      </w:tc>
    </w:tr>
  </w:tbl>
  <w:p w14:paraId="14D6CD9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D255C">
    <w:pPr>
      <w:pStyle w:val="25"/>
      <w:spacing w:before="0" w:after="0" w:line="288" w:lineRule="auto"/>
      <w:jc w:val="left"/>
    </w:pPr>
    <w:r>
      <w:rPr>
        <w:rFonts w:ascii="Noto Sans CJK SC" w:hAnsi="Noto Sans CJK SC" w:eastAsia="Noto Sans CJK SC" w:cs="Noto Sans CJK SC"/>
        <w:b w:val="0"/>
        <w:i w:val="0"/>
        <w:color w:val="5A5A5A"/>
        <w:sz w:val="18"/>
      </w:rPr>
      <w:t>FusionFA 工厂自动化接口设计说明书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10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="Noto Sans CJK SC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46191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22222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1313</Words>
  <Characters>2198</Characters>
  <Lines>0</Lines>
  <Paragraphs>0</Paragraphs>
  <TotalTime>2</TotalTime>
  <ScaleCrop>false</ScaleCrop>
  <LinksUpToDate>false</LinksUpToDate>
  <CharactersWithSpaces>2346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张明</cp:lastModifiedBy>
  <dcterms:modified xsi:type="dcterms:W3CDTF">2026-03-23T06:50:41Z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1ED81EB1D4B640F3A7761DABAACE8540_13</vt:lpwstr>
  </property>
</Properties>
</file>