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74CFD">
      <w:pPr>
        <w:spacing w:before="200"/>
        <w:jc w:val="left"/>
      </w:pPr>
      <w:r>
        <w:rPr>
          <w:rFonts w:ascii="Noto Sans CJK SC" w:hAnsi="Noto Sans CJK SC" w:eastAsia="Noto Sans CJK SC"/>
          <w:b/>
          <w:color w:val="465C7A"/>
          <w:sz w:val="24"/>
        </w:rPr>
        <w:t>FusionCore</w:t>
      </w:r>
    </w:p>
    <w:p w14:paraId="3FCB83F5">
      <w:pPr>
        <w:spacing w:before="320" w:after="80"/>
        <w:jc w:val="left"/>
      </w:pPr>
      <w:r>
        <w:rPr>
          <w:rFonts w:hint="eastAsia" w:ascii="Noto Sans CJK SC" w:hAnsi="Noto Sans CJK SC" w:eastAsia="Noto Sans CJK SC"/>
          <w:b/>
          <w:color w:val="25456E"/>
          <w:sz w:val="48"/>
        </w:rPr>
        <w:t>构建、发布与运行脚本规范说明书</w:t>
      </w:r>
    </w:p>
    <w:p w14:paraId="796FC7AD">
      <w:pPr>
        <w:jc w:val="left"/>
      </w:pPr>
      <w:r>
        <w:rPr>
          <w:rFonts w:ascii="Noto Sans CJK SC" w:hAnsi="Noto Sans CJK SC" w:eastAsia="Noto Sans CJK SC"/>
          <w:b w:val="0"/>
          <w:color w:val="666666"/>
          <w:sz w:val="21"/>
        </w:rPr>
        <w:t>v1.</w:t>
      </w:r>
      <w:r>
        <w:rPr>
          <w:rFonts w:hint="eastAsia" w:ascii="Noto Sans CJK SC" w:hAnsi="Noto Sans CJK SC" w:eastAsia="宋体"/>
          <w:b w:val="0"/>
          <w:color w:val="666666"/>
          <w:sz w:val="21"/>
          <w:lang w:val="en-US" w:eastAsia="zh-CN"/>
        </w:rPr>
        <w:t>1</w:t>
      </w:r>
      <w:r>
        <w:rPr>
          <w:rFonts w:ascii="Noto Sans CJK SC" w:hAnsi="Noto Sans CJK SC" w:eastAsia="Noto Sans CJK SC"/>
          <w:b w:val="0"/>
          <w:color w:val="666666"/>
          <w:sz w:val="21"/>
        </w:rPr>
        <w:t xml:space="preserve">  |  </w:t>
      </w:r>
      <w:bookmarkStart w:id="0" w:name="_GoBack"/>
      <w:r>
        <w:rPr>
          <w:rFonts w:hint="eastAsia" w:ascii="Noto Sans CJK SC" w:hAnsi="Noto Sans CJK SC" w:eastAsia="Noto Sans CJK SC"/>
          <w:b w:val="0"/>
          <w:color w:val="666666"/>
          <w:sz w:val="21"/>
        </w:rPr>
        <w:t>Build, Publish and Runtime Script Specification</w:t>
      </w:r>
      <w:bookmarkEnd w:id="0"/>
    </w:p>
    <w:p w14:paraId="5DC7D574">
      <w:pPr>
        <w:pBdr>
          <w:bottom w:val="single" w:color="5B7FA8" w:sz="18" w:space="1"/>
        </w:pBdr>
        <w:spacing w:before="200"/>
      </w:pPr>
    </w:p>
    <w:tbl>
      <w:tblPr>
        <w:tblStyle w:val="32"/>
        <w:tblW w:w="0" w:type="auto"/>
        <w:jc w:val="center"/>
        <w:tblBorders>
          <w:top w:val="single" w:color="CCD7E3" w:sz="6" w:space="0"/>
          <w:left w:val="single" w:color="CCD7E3" w:sz="6" w:space="0"/>
          <w:bottom w:val="single" w:color="CCD7E3" w:sz="6" w:space="0"/>
          <w:right w:val="single" w:color="CCD7E3" w:sz="6" w:space="0"/>
          <w:insideH w:val="single" w:color="CCD7E3" w:sz="6" w:space="0"/>
          <w:insideV w:val="single" w:color="CCD7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1E70C953">
        <w:tblPrEx>
          <w:tblBorders>
            <w:top w:val="single" w:color="CCD7E3" w:sz="6" w:space="0"/>
            <w:left w:val="single" w:color="CCD7E3" w:sz="6" w:space="0"/>
            <w:bottom w:val="single" w:color="CCD7E3" w:sz="6" w:space="0"/>
            <w:right w:val="single" w:color="CCD7E3" w:sz="6" w:space="0"/>
            <w:insideH w:val="single" w:color="CCD7E3" w:sz="6" w:space="0"/>
            <w:insideV w:val="single" w:color="CCD7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511B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文档编号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46706">
            <w:pPr>
              <w:jc w:val="left"/>
            </w:pPr>
            <w:r>
              <w:rPr>
                <w:rFonts w:hint="eastAsia" w:ascii="Noto Sans CJK SC" w:hAnsi="Noto Sans CJK SC" w:eastAsia="Noto Sans CJK SC"/>
                <w:b w:val="0"/>
                <w:color w:val="2D2D2D"/>
                <w:sz w:val="19"/>
              </w:rPr>
              <w:t>FC-BLD-007</w:t>
            </w:r>
          </w:p>
        </w:tc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0344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版本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65AC1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v1.</w:t>
            </w:r>
            <w:r>
              <w:rPr>
                <w:rFonts w:hint="eastAsia" w:ascii="Noto Sans CJK SC" w:hAnsi="Noto Sans CJK SC" w:eastAsia="宋体"/>
                <w:b w:val="0"/>
                <w:color w:val="2D2D2D"/>
                <w:sz w:val="19"/>
                <w:lang w:val="en-US" w:eastAsia="zh-CN"/>
              </w:rPr>
              <w:t>1</w:t>
            </w:r>
          </w:p>
        </w:tc>
      </w:tr>
      <w:tr w14:paraId="1DCAC809">
        <w:tblPrEx>
          <w:tblBorders>
            <w:top w:val="single" w:color="CCD7E3" w:sz="6" w:space="0"/>
            <w:left w:val="single" w:color="CCD7E3" w:sz="6" w:space="0"/>
            <w:bottom w:val="single" w:color="CCD7E3" w:sz="6" w:space="0"/>
            <w:right w:val="single" w:color="CCD7E3" w:sz="6" w:space="0"/>
            <w:insideH w:val="single" w:color="CCD7E3" w:sz="6" w:space="0"/>
            <w:insideV w:val="single" w:color="CCD7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119F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文档状态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E4BBE">
            <w:pPr>
              <w:jc w:val="left"/>
            </w:pPr>
            <w:r>
              <w:rPr>
                <w:rFonts w:hint="eastAsia" w:ascii="Noto Sans CJK SC" w:hAnsi="Noto Sans CJK SC" w:eastAsia="Noto Sans CJK SC"/>
                <w:b w:val="0"/>
                <w:color w:val="2D2D2D"/>
                <w:sz w:val="19"/>
              </w:rPr>
              <w:t>Draft for Review</w:t>
            </w:r>
          </w:p>
        </w:tc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6F77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文档类型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1ADB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平台级技术说明书</w:t>
            </w:r>
          </w:p>
        </w:tc>
      </w:tr>
      <w:tr w14:paraId="35EA6B23">
        <w:tblPrEx>
          <w:tblBorders>
            <w:top w:val="single" w:color="CCD7E3" w:sz="6" w:space="0"/>
            <w:left w:val="single" w:color="CCD7E3" w:sz="6" w:space="0"/>
            <w:bottom w:val="single" w:color="CCD7E3" w:sz="6" w:space="0"/>
            <w:right w:val="single" w:color="CCD7E3" w:sz="6" w:space="0"/>
            <w:insideH w:val="single" w:color="CCD7E3" w:sz="6" w:space="0"/>
            <w:insideV w:val="single" w:color="CCD7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C810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适用阶段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D3C5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Phase 1 至后续演进</w:t>
            </w:r>
          </w:p>
        </w:tc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EADE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默认运行根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D681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R:\</w:t>
            </w:r>
          </w:p>
        </w:tc>
      </w:tr>
      <w:tr w14:paraId="72683DB3">
        <w:tblPrEx>
          <w:tblBorders>
            <w:top w:val="single" w:color="CCD7E3" w:sz="6" w:space="0"/>
            <w:left w:val="single" w:color="CCD7E3" w:sz="6" w:space="0"/>
            <w:bottom w:val="single" w:color="CCD7E3" w:sz="6" w:space="0"/>
            <w:right w:val="single" w:color="CCD7E3" w:sz="6" w:space="0"/>
            <w:insideH w:val="single" w:color="CCD7E3" w:sz="6" w:space="0"/>
            <w:insideV w:val="single" w:color="CCD7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1EC3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编制日期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37EF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2026-03-24</w:t>
            </w:r>
          </w:p>
        </w:tc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D746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适用对象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62AA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开发、测试、部署、运维</w:t>
            </w:r>
          </w:p>
        </w:tc>
      </w:tr>
      <w:tr w14:paraId="60EE6F01">
        <w:tblPrEx>
          <w:tblBorders>
            <w:top w:val="single" w:color="CCD7E3" w:sz="6" w:space="0"/>
            <w:left w:val="single" w:color="CCD7E3" w:sz="6" w:space="0"/>
            <w:bottom w:val="single" w:color="CCD7E3" w:sz="6" w:space="0"/>
            <w:right w:val="single" w:color="CCD7E3" w:sz="6" w:space="0"/>
            <w:insideH w:val="single" w:color="CCD7E3" w:sz="6" w:space="0"/>
            <w:insideV w:val="single" w:color="CCD7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2F2E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关联文档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1978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系统分层、进程拓扑、</w:t>
            </w:r>
          </w:p>
        </w:tc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5659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保密级别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F907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项目内控</w:t>
            </w:r>
          </w:p>
        </w:tc>
      </w:tr>
    </w:tbl>
    <w:p w14:paraId="0AED8C43">
      <w:pPr>
        <w:jc w:val="center"/>
        <w:rPr>
          <w:rFonts w:ascii="微软雅黑" w:hAnsi="微软雅黑" w:eastAsia="微软雅黑"/>
          <w:b/>
          <w:sz w:val="22"/>
        </w:rPr>
      </w:pPr>
    </w:p>
    <w:p w14:paraId="6BA08D25">
      <w:pPr>
        <w:spacing w:before="0" w:after="160" w:line="300" w:lineRule="auto"/>
        <w:jc w:val="left"/>
      </w:pPr>
      <w:r>
        <w:rPr>
          <w:rFonts w:ascii="微软雅黑" w:hAnsi="微软雅黑" w:eastAsia="微软雅黑"/>
          <w:sz w:val="21"/>
        </w:rPr>
        <w:t>面向 FusionCore 多进程平台的构建、打包、运行根初始化、环境启动与发布落位规则说明。</w:t>
      </w:r>
    </w:p>
    <w:p w14:paraId="5D27358C">
      <w:pPr>
        <w:spacing w:before="0" w:after="40" w:line="300" w:lineRule="auto"/>
      </w:pPr>
      <w:r>
        <w:rPr>
          <w:rFonts w:ascii="微软雅黑" w:hAnsi="微软雅黑" w:eastAsia="微软雅黑"/>
          <w:sz w:val="21"/>
        </w:rPr>
        <w:t>编写说明</w:t>
      </w:r>
    </w:p>
    <w:p w14:paraId="313B4928">
      <w:pPr>
        <w:spacing w:before="0" w:after="120" w:line="300" w:lineRule="auto"/>
      </w:pPr>
      <w:r>
        <w:rPr>
          <w:rFonts w:ascii="微软雅黑" w:hAnsi="微软雅黑" w:eastAsia="微软雅黑"/>
          <w:sz w:val="21"/>
        </w:rPr>
        <w:t>本文件用于统一 FusionCore 的脚本体系与交付规则，明确“谁负责初始化运行根、谁负责构建、谁负责发布、谁负责打包、谁负责启动不同环境”，避免多进程平台在开发、仿真、测试与现场部署中出现脚本分散、目录混乱、版本落位不一致等问题。本文档强调平台级规范，不替代具体项目的 CI/CD 流水线脚本或客户现场安装说明。</w:t>
      </w:r>
    </w:p>
    <w:p w14:paraId="04E8DE89">
      <w:pPr>
        <w:spacing w:before="0" w:after="200" w:line="300" w:lineRule="auto"/>
      </w:pPr>
      <w:r>
        <w:rPr>
          <w:rFonts w:ascii="微软雅黑" w:hAnsi="微软雅黑" w:eastAsia="微软雅黑"/>
          <w:sz w:val="21"/>
        </w:rPr>
        <w:t>建议审阅角色：总体架构负责人、平台负责人、构建发布负责人、Scheduler 负责人、FA/EAP 负责人、测试负责人、现场实施负责人。</w:t>
      </w:r>
    </w:p>
    <w:p w14:paraId="32347AE5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目录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ED7B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D9EAD3"/>
            <w:vAlign w:val="center"/>
          </w:tcPr>
          <w:p w14:paraId="21E5E15A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章节</w:t>
            </w:r>
          </w:p>
        </w:tc>
        <w:tc>
          <w:tcPr>
            <w:tcW w:w="4759" w:type="dxa"/>
            <w:shd w:val="clear" w:color="auto" w:fill="D9EAD3"/>
            <w:vAlign w:val="center"/>
          </w:tcPr>
          <w:p w14:paraId="100A237A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19642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005D35C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759" w:type="dxa"/>
            <w:vAlign w:val="center"/>
          </w:tcPr>
          <w:p w14:paraId="1BB4CC2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文档控制</w:t>
            </w:r>
          </w:p>
        </w:tc>
      </w:tr>
      <w:tr w14:paraId="39872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19552997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4759" w:type="dxa"/>
            <w:vAlign w:val="center"/>
          </w:tcPr>
          <w:p w14:paraId="3F05D5F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参考资料与输入约束</w:t>
            </w:r>
          </w:p>
        </w:tc>
      </w:tr>
      <w:tr w14:paraId="48694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2AD9CCE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4759" w:type="dxa"/>
            <w:vAlign w:val="center"/>
          </w:tcPr>
          <w:p w14:paraId="5A0C40C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目的、范围与非目标</w:t>
            </w:r>
          </w:p>
        </w:tc>
      </w:tr>
      <w:tr w14:paraId="5BDD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2BDCE11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4759" w:type="dxa"/>
            <w:vAlign w:val="center"/>
          </w:tcPr>
          <w:p w14:paraId="24F7E969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设计驱动与总体定位</w:t>
            </w:r>
          </w:p>
        </w:tc>
      </w:tr>
      <w:tr w14:paraId="19A2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1E71A72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4759" w:type="dxa"/>
            <w:vAlign w:val="center"/>
          </w:tcPr>
          <w:p w14:paraId="451196D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脚本体系的架构位置与上下文</w:t>
            </w:r>
          </w:p>
        </w:tc>
      </w:tr>
      <w:tr w14:paraId="728B0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4816A5A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4759" w:type="dxa"/>
            <w:vAlign w:val="center"/>
          </w:tcPr>
          <w:p w14:paraId="0FC0718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职责边界与协作原则</w:t>
            </w:r>
          </w:p>
        </w:tc>
      </w:tr>
      <w:tr w14:paraId="5C10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229D174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4759" w:type="dxa"/>
            <w:vAlign w:val="center"/>
          </w:tcPr>
          <w:p w14:paraId="6B27419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脚本分层、命名与目录规范</w:t>
            </w:r>
          </w:p>
        </w:tc>
      </w:tr>
      <w:tr w14:paraId="18F19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77B955B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w="4759" w:type="dxa"/>
            <w:vAlign w:val="center"/>
          </w:tcPr>
          <w:p w14:paraId="646D867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输入输出、参数与环境变量规范</w:t>
            </w:r>
          </w:p>
        </w:tc>
      </w:tr>
      <w:tr w14:paraId="0D36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3C1B2C7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w="4759" w:type="dxa"/>
            <w:vAlign w:val="center"/>
          </w:tcPr>
          <w:p w14:paraId="13922FF4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主流程：初始化、构建、发布、打包、启动</w:t>
            </w:r>
          </w:p>
        </w:tc>
      </w:tr>
      <w:tr w14:paraId="1ABDD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2EA4B0A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w="4759" w:type="dxa"/>
            <w:vAlign w:val="center"/>
          </w:tcPr>
          <w:p w14:paraId="2AA6DB2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与运行根、运行时目录及多进程协同的关系</w:t>
            </w:r>
          </w:p>
        </w:tc>
      </w:tr>
      <w:tr w14:paraId="106B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1CE70F8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w="4759" w:type="dxa"/>
            <w:vAlign w:val="center"/>
          </w:tcPr>
          <w:p w14:paraId="0D7633A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安全性、幂等性与失败处理</w:t>
            </w:r>
          </w:p>
        </w:tc>
      </w:tr>
      <w:tr w14:paraId="250C0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25F0554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w="4759" w:type="dxa"/>
            <w:vAlign w:val="center"/>
          </w:tcPr>
          <w:p w14:paraId="3045A3F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实施分期与脚本演进路线</w:t>
            </w:r>
          </w:p>
        </w:tc>
      </w:tr>
      <w:tr w14:paraId="24F9D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533FC5F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w="4759" w:type="dxa"/>
            <w:vAlign w:val="center"/>
          </w:tcPr>
          <w:p w14:paraId="5A07DF0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未决问题与风险</w:t>
            </w:r>
          </w:p>
        </w:tc>
      </w:tr>
      <w:tr w14:paraId="161F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3789775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附录 A</w:t>
            </w:r>
          </w:p>
        </w:tc>
        <w:tc>
          <w:tcPr>
            <w:tcW w:w="4759" w:type="dxa"/>
            <w:vAlign w:val="center"/>
          </w:tcPr>
          <w:p w14:paraId="7B7F982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术语与脚本命名建议</w:t>
            </w:r>
          </w:p>
        </w:tc>
      </w:tr>
    </w:tbl>
    <w:p w14:paraId="71A376AB">
      <w:r>
        <w:br w:type="page"/>
      </w:r>
    </w:p>
    <w:p w14:paraId="6DDB7052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1 文档控制</w:t>
      </w:r>
    </w:p>
    <w:p w14:paraId="3F2B3D64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1.1 文档属性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C59B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AF2F8"/>
            <w:vAlign w:val="center"/>
          </w:tcPr>
          <w:p w14:paraId="4EC6B65A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文档名称</w:t>
            </w:r>
          </w:p>
        </w:tc>
        <w:tc>
          <w:tcPr>
            <w:tcW w:w="4759" w:type="dxa"/>
            <w:vAlign w:val="center"/>
          </w:tcPr>
          <w:p w14:paraId="51360D6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FusionCore 构建、发布与运行脚本规范说明书</w:t>
            </w:r>
          </w:p>
        </w:tc>
      </w:tr>
      <w:tr w14:paraId="311C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AF2F8"/>
            <w:vAlign w:val="center"/>
          </w:tcPr>
          <w:p w14:paraId="53324561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文档编号</w:t>
            </w:r>
          </w:p>
        </w:tc>
        <w:tc>
          <w:tcPr>
            <w:tcW w:w="4759" w:type="dxa"/>
            <w:vAlign w:val="center"/>
          </w:tcPr>
          <w:p w14:paraId="36BD2FF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FC-BLD-007</w:t>
            </w:r>
          </w:p>
        </w:tc>
      </w:tr>
      <w:tr w14:paraId="71AAF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AF2F8"/>
            <w:vAlign w:val="center"/>
          </w:tcPr>
          <w:p w14:paraId="0A5C6AC7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所属基线</w:t>
            </w:r>
          </w:p>
        </w:tc>
        <w:tc>
          <w:tcPr>
            <w:tcW w:w="4759" w:type="dxa"/>
            <w:vAlign w:val="center"/>
          </w:tcPr>
          <w:p w14:paraId="65B25E5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FusionCore 设计基线</w:t>
            </w:r>
          </w:p>
        </w:tc>
      </w:tr>
      <w:tr w14:paraId="757A9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AF2F8"/>
            <w:vAlign w:val="center"/>
          </w:tcPr>
          <w:p w14:paraId="09FE18EA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当前版本</w:t>
            </w:r>
          </w:p>
        </w:tc>
        <w:tc>
          <w:tcPr>
            <w:tcW w:w="4759" w:type="dxa"/>
            <w:vAlign w:val="center"/>
          </w:tcPr>
          <w:p w14:paraId="377D945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v1.1</w:t>
            </w:r>
          </w:p>
        </w:tc>
      </w:tr>
      <w:tr w14:paraId="2527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AF2F8"/>
            <w:vAlign w:val="center"/>
          </w:tcPr>
          <w:p w14:paraId="3702F9A4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  <w:tc>
          <w:tcPr>
            <w:tcW w:w="4759" w:type="dxa"/>
            <w:vAlign w:val="center"/>
          </w:tcPr>
          <w:p w14:paraId="0AA85F6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Draft for Review</w:t>
            </w:r>
          </w:p>
        </w:tc>
      </w:tr>
    </w:tbl>
    <w:p w14:paraId="510BBABD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1.2 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2380"/>
        <w:gridCol w:w="2380"/>
        <w:gridCol w:w="2380"/>
      </w:tblGrid>
      <w:tr w14:paraId="4C40F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shd w:val="clear" w:color="auto" w:fill="D9EAD3"/>
            <w:vAlign w:val="center"/>
          </w:tcPr>
          <w:p w14:paraId="60EC9EE3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2380" w:type="dxa"/>
            <w:shd w:val="clear" w:color="auto" w:fill="D9EAD3"/>
            <w:vAlign w:val="center"/>
          </w:tcPr>
          <w:p w14:paraId="0EB50ACC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w="2380" w:type="dxa"/>
            <w:shd w:val="clear" w:color="auto" w:fill="D9EAD3"/>
            <w:vAlign w:val="center"/>
          </w:tcPr>
          <w:p w14:paraId="756DC5DA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作者</w:t>
            </w:r>
          </w:p>
        </w:tc>
        <w:tc>
          <w:tcPr>
            <w:tcW w:w="2380" w:type="dxa"/>
            <w:shd w:val="clear" w:color="auto" w:fill="D9EAD3"/>
            <w:vAlign w:val="center"/>
          </w:tcPr>
          <w:p w14:paraId="753216BC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69D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vAlign w:val="center"/>
          </w:tcPr>
          <w:p w14:paraId="5E4B37E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w="2380" w:type="dxa"/>
            <w:vAlign w:val="center"/>
          </w:tcPr>
          <w:p w14:paraId="0FFFBAB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2026-03-24</w:t>
            </w:r>
          </w:p>
        </w:tc>
        <w:tc>
          <w:tcPr>
            <w:tcW w:w="2380" w:type="dxa"/>
            <w:vAlign w:val="center"/>
          </w:tcPr>
          <w:p w14:paraId="0F36304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OpenAI</w:t>
            </w:r>
          </w:p>
        </w:tc>
        <w:tc>
          <w:tcPr>
            <w:tcW w:w="2380" w:type="dxa"/>
            <w:vAlign w:val="center"/>
          </w:tcPr>
          <w:p w14:paraId="155EA29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首版发布，建立脚本体系、构建发布与运行根初始化的规范基线。</w:t>
            </w:r>
          </w:p>
        </w:tc>
      </w:tr>
      <w:tr w14:paraId="4FAD2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vAlign w:val="center"/>
          </w:tcPr>
          <w:p w14:paraId="2C01B8D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v1.1</w:t>
            </w:r>
          </w:p>
        </w:tc>
        <w:tc>
          <w:tcPr>
            <w:tcW w:w="2380" w:type="dxa"/>
            <w:vAlign w:val="center"/>
          </w:tcPr>
          <w:p w14:paraId="40E2388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2026-03-24</w:t>
            </w:r>
          </w:p>
        </w:tc>
        <w:tc>
          <w:tcPr>
            <w:tcW w:w="2380" w:type="dxa"/>
            <w:vAlign w:val="center"/>
          </w:tcPr>
          <w:p w14:paraId="1B55ECE7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OpenAI</w:t>
            </w:r>
          </w:p>
        </w:tc>
        <w:tc>
          <w:tcPr>
            <w:tcW w:w="2380" w:type="dxa"/>
            <w:vAlign w:val="center"/>
          </w:tcPr>
          <w:p w14:paraId="1D1E982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按平台设计文档格式重排结构，统一文档编号、上下文边界、实施分期和术语表达。</w:t>
            </w:r>
          </w:p>
        </w:tc>
      </w:tr>
    </w:tbl>
    <w:p w14:paraId="614B142A">
      <w:pPr>
        <w:spacing w:before="0" w:after="40" w:line="300" w:lineRule="auto"/>
      </w:pPr>
      <w:r>
        <w:rPr>
          <w:rFonts w:ascii="微软雅黑" w:hAnsi="微软雅黑" w:eastAsia="微软雅黑"/>
          <w:sz w:val="21"/>
        </w:rPr>
        <w:t>发布原则</w:t>
      </w:r>
    </w:p>
    <w:p w14:paraId="72CBA45A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脚本规范文档属于平台级治理文档。具体机台、仿真环境或客户现场如存在特殊脚本需求，应通过参数扩展、环境 profile 或增补脚本实现，不应直接破坏本文中关于职责边界、目录约定和输入输出接口的统一规则。</w:t>
      </w:r>
    </w:p>
    <w:p w14:paraId="4C99DBC7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2 参考资料与输入约束</w:t>
      </w:r>
    </w:p>
    <w:p w14:paraId="37C05D2F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2.1 外部与内部参考资料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87A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D9EAD3"/>
            <w:vAlign w:val="center"/>
          </w:tcPr>
          <w:p w14:paraId="505C5E7D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w="3173" w:type="dxa"/>
            <w:shd w:val="clear" w:color="auto" w:fill="D9EAD3"/>
            <w:vAlign w:val="center"/>
          </w:tcPr>
          <w:p w14:paraId="2BA4E5E5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资料</w:t>
            </w:r>
          </w:p>
        </w:tc>
        <w:tc>
          <w:tcPr>
            <w:tcW w:w="3173" w:type="dxa"/>
            <w:shd w:val="clear" w:color="auto" w:fill="D9EAD3"/>
            <w:vAlign w:val="center"/>
          </w:tcPr>
          <w:p w14:paraId="7697BE3A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 w14:paraId="7D30B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4A6D9BC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R1</w:t>
            </w:r>
          </w:p>
        </w:tc>
        <w:tc>
          <w:tcPr>
            <w:tcW w:w="3173" w:type="dxa"/>
            <w:vAlign w:val="center"/>
          </w:tcPr>
          <w:p w14:paraId="5C4EE11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FC-ARCH-001《FusionCore 系统分层与模块职责设计说明书》</w:t>
            </w:r>
          </w:p>
        </w:tc>
        <w:tc>
          <w:tcPr>
            <w:tcW w:w="3173" w:type="dxa"/>
            <w:vAlign w:val="center"/>
          </w:tcPr>
          <w:p w14:paraId="7C1FBAC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确定构建、运行脚本不越过模块边界，不承载业务真相。</w:t>
            </w:r>
          </w:p>
        </w:tc>
      </w:tr>
      <w:tr w14:paraId="52D7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2477E13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R2</w:t>
            </w:r>
          </w:p>
        </w:tc>
        <w:tc>
          <w:tcPr>
            <w:tcW w:w="3173" w:type="dxa"/>
            <w:vAlign w:val="center"/>
          </w:tcPr>
          <w:p w14:paraId="4C6F2C0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《FusionCore 进程拓扑与进程间协作设计说明书》</w:t>
            </w:r>
          </w:p>
        </w:tc>
        <w:tc>
          <w:tcPr>
            <w:tcW w:w="3173" w:type="dxa"/>
            <w:vAlign w:val="center"/>
          </w:tcPr>
          <w:p w14:paraId="623349C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明确多进程部署形态与脚本初始化的进程隔离要求。</w:t>
            </w:r>
          </w:p>
        </w:tc>
      </w:tr>
      <w:tr w14:paraId="5AE0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54E6B9C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R3</w:t>
            </w:r>
          </w:p>
        </w:tc>
        <w:tc>
          <w:tcPr>
            <w:tcW w:w="3173" w:type="dxa"/>
            <w:vAlign w:val="center"/>
          </w:tcPr>
          <w:p w14:paraId="3C143A5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《FusionCore 运行时目录与文件布局设计说明书》</w:t>
            </w:r>
          </w:p>
        </w:tc>
        <w:tc>
          <w:tcPr>
            <w:tcW w:w="3173" w:type="dxa"/>
            <w:vAlign w:val="center"/>
          </w:tcPr>
          <w:p w14:paraId="423C51A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定义 R:\ 运行根、config/data/logs/runtime 等目录职责与落位。</w:t>
            </w:r>
          </w:p>
        </w:tc>
      </w:tr>
      <w:tr w14:paraId="64F0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47C315E4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R4</w:t>
            </w:r>
          </w:p>
        </w:tc>
        <w:tc>
          <w:tcPr>
            <w:tcW w:w="3173" w:type="dxa"/>
            <w:vAlign w:val="center"/>
          </w:tcPr>
          <w:p w14:paraId="10BE45D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implementation-rules.md / AGENTS.md</w:t>
            </w:r>
          </w:p>
        </w:tc>
        <w:tc>
          <w:tcPr>
            <w:tcW w:w="3173" w:type="dxa"/>
            <w:vAlign w:val="center"/>
          </w:tcPr>
          <w:p w14:paraId="4F4FF6B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约束脚本与工程结构、标准资料和多进程友好规则。</w:t>
            </w:r>
          </w:p>
        </w:tc>
      </w:tr>
      <w:tr w14:paraId="3FCC1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17BAB83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R5</w:t>
            </w:r>
          </w:p>
        </w:tc>
        <w:tc>
          <w:tcPr>
            <w:tcW w:w="3173" w:type="dxa"/>
            <w:vAlign w:val="center"/>
          </w:tcPr>
          <w:p w14:paraId="569A742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project-structure.md</w:t>
            </w:r>
          </w:p>
        </w:tc>
        <w:tc>
          <w:tcPr>
            <w:tcW w:w="3173" w:type="dxa"/>
            <w:vAlign w:val="center"/>
          </w:tcPr>
          <w:p w14:paraId="597D1A8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约束仓库内 build/、deploy/、samples/ 等目录位置与命名方式。</w:t>
            </w:r>
          </w:p>
        </w:tc>
      </w:tr>
    </w:tbl>
    <w:p w14:paraId="731FE1BD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2.2 输入约束</w:t>
      </w:r>
    </w:p>
    <w:p w14:paraId="397D664D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本设计默认 FusionCore 采用多进程架构演进路线，脚本体系应支持按进程独立发布、独立启动、独立日志与独立健康检查。</w:t>
      </w:r>
    </w:p>
    <w:p w14:paraId="0887C703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本设计默认运行时逻辑根目录为 R:\，但实际物理路径可由脚本映射或由环境变量/启动参数替代。</w:t>
      </w:r>
    </w:p>
    <w:p w14:paraId="34FF2971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本设计默认仓库目录与运行时目录分离，脚本不得将真实数据库、日志和运行态文件长期落在源码仓库中。</w:t>
      </w:r>
    </w:p>
    <w:p w14:paraId="5A1FDD0C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3 目的、范围与非目标</w:t>
      </w:r>
    </w:p>
    <w:p w14:paraId="4640699E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3.1 文档目的</w:t>
      </w:r>
    </w:p>
    <w:p w14:paraId="06702391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定义 FusionCore 平台的脚本体系与发布规则，回答“哪些脚本必须存在、各脚本负责什么、如何传参、如何组织输出、如何初始化运行根、如何启动多进程、失败时如何处理”等问题。</w:t>
      </w:r>
    </w:p>
    <w:p w14:paraId="3C711024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3.2 范围</w:t>
      </w:r>
    </w:p>
    <w:p w14:paraId="0A54F95D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构建脚本、发布脚本、打包脚本、运行根初始化脚本和环境启动脚本的职责边界。</w:t>
      </w:r>
    </w:p>
    <w:p w14:paraId="479C8BF6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构建产物、发布产物、版本目录、脚本目录与运行根之间的落位关系。</w:t>
      </w:r>
    </w:p>
    <w:p w14:paraId="02F2EC92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脚本的输入参数、环境变量、退出码、日志、幂等性与安全处理原则。</w:t>
      </w:r>
    </w:p>
    <w:p w14:paraId="7E778EE0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开发、仿真、测试与生产环境的脚本差异与统一命名方式。</w:t>
      </w:r>
    </w:p>
    <w:p w14:paraId="6847E449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3.3 非目标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3928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CE5CD"/>
            <w:vAlign w:val="center"/>
          </w:tcPr>
          <w:p w14:paraId="0129EAC5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不在本文范围内的内容</w:t>
            </w:r>
          </w:p>
        </w:tc>
        <w:tc>
          <w:tcPr>
            <w:tcW w:w="4759" w:type="dxa"/>
            <w:shd w:val="clear" w:color="auto" w:fill="FCE5CD"/>
            <w:vAlign w:val="center"/>
          </w:tcPr>
          <w:p w14:paraId="5ACA2086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9EE5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2B9358B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具体 CI/CD 平台实现</w:t>
            </w:r>
          </w:p>
        </w:tc>
        <w:tc>
          <w:tcPr>
            <w:tcW w:w="4759" w:type="dxa"/>
            <w:vAlign w:val="center"/>
          </w:tcPr>
          <w:p w14:paraId="262091A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例如 GitHub Actions、Azure DevOps、Jenkins 等平台的流水线 YAML 或任务定义。</w:t>
            </w:r>
          </w:p>
        </w:tc>
      </w:tr>
      <w:tr w14:paraId="2D318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444BB1D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具体安装包制作实现</w:t>
            </w:r>
          </w:p>
        </w:tc>
        <w:tc>
          <w:tcPr>
            <w:tcW w:w="4759" w:type="dxa"/>
            <w:vAlign w:val="center"/>
          </w:tcPr>
          <w:p w14:paraId="5C44C6E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MSI / NSIS / Inno Setup 等安装器的细节制作不在本文范围。</w:t>
            </w:r>
          </w:p>
        </w:tc>
      </w:tr>
      <w:tr w14:paraId="6E2FD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425EF6F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业务配置内容设计</w:t>
            </w:r>
          </w:p>
        </w:tc>
        <w:tc>
          <w:tcPr>
            <w:tcW w:w="4759" w:type="dxa"/>
            <w:vAlign w:val="center"/>
          </w:tcPr>
          <w:p w14:paraId="224CBDB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业务配置由各模块文档负责，本文只管文件落位和脚本处理边界。</w:t>
            </w:r>
          </w:p>
        </w:tc>
      </w:tr>
      <w:tr w14:paraId="71613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vAlign w:val="center"/>
          </w:tcPr>
          <w:p w14:paraId="10AD5E74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协议与业务逻辑实现</w:t>
            </w:r>
          </w:p>
        </w:tc>
        <w:tc>
          <w:tcPr>
            <w:tcW w:w="4759" w:type="dxa"/>
            <w:vAlign w:val="center"/>
          </w:tcPr>
          <w:p w14:paraId="113F38E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脚本不负责 SECS/GEM、调度算法、设备控制逻辑的实现。</w:t>
            </w:r>
          </w:p>
        </w:tc>
      </w:tr>
    </w:tbl>
    <w:p w14:paraId="74DC75E6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4 设计驱动与总体定位</w:t>
      </w:r>
    </w:p>
    <w:p w14:paraId="3BD77C9A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4.1 问题背景</w:t>
      </w:r>
    </w:p>
    <w:p w14:paraId="552E551B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FusionCore 作为多进程设备软件平台，如果没有统一脚本体系，很容易出现目录不一致、发布产物散落、运行根初始化不统一、不同环境行为分裂等问题。脚本规范不是辅助内容，而是平台落地能力的一部分。</w:t>
      </w:r>
    </w:p>
    <w:p w14:paraId="6DD7F359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4.2 设计驱动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621A2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D9EAD3"/>
            <w:vAlign w:val="center"/>
          </w:tcPr>
          <w:p w14:paraId="71ED6674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w="3173" w:type="dxa"/>
            <w:shd w:val="clear" w:color="auto" w:fill="D9EAD3"/>
            <w:vAlign w:val="center"/>
          </w:tcPr>
          <w:p w14:paraId="51EFAE8A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驱动项</w:t>
            </w:r>
          </w:p>
        </w:tc>
        <w:tc>
          <w:tcPr>
            <w:tcW w:w="3173" w:type="dxa"/>
            <w:shd w:val="clear" w:color="auto" w:fill="D9EAD3"/>
            <w:vAlign w:val="center"/>
          </w:tcPr>
          <w:p w14:paraId="2D1C5E41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设计含义</w:t>
            </w:r>
          </w:p>
        </w:tc>
      </w:tr>
      <w:tr w14:paraId="36ECA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5F5AD35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D1</w:t>
            </w:r>
          </w:p>
        </w:tc>
        <w:tc>
          <w:tcPr>
            <w:tcW w:w="3173" w:type="dxa"/>
            <w:vAlign w:val="center"/>
          </w:tcPr>
          <w:p w14:paraId="4DEBFCB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多进程部署</w:t>
            </w:r>
          </w:p>
        </w:tc>
        <w:tc>
          <w:tcPr>
            <w:tcW w:w="3173" w:type="dxa"/>
            <w:vAlign w:val="center"/>
          </w:tcPr>
          <w:p w14:paraId="4B9556F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需要支持按进程独立发布和启动，不假设所有模块同进程运行。</w:t>
            </w:r>
          </w:p>
        </w:tc>
      </w:tr>
      <w:tr w14:paraId="1DDDB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51819FC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D2</w:t>
            </w:r>
          </w:p>
        </w:tc>
        <w:tc>
          <w:tcPr>
            <w:tcW w:w="3173" w:type="dxa"/>
            <w:vAlign w:val="center"/>
          </w:tcPr>
          <w:p w14:paraId="5CD5779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运行根统一</w:t>
            </w:r>
          </w:p>
        </w:tc>
        <w:tc>
          <w:tcPr>
            <w:tcW w:w="3173" w:type="dxa"/>
            <w:vAlign w:val="center"/>
          </w:tcPr>
          <w:p w14:paraId="226A1CD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需要把运行目录统一映射到逻辑根，降低开发、部署、现场维护成本。</w:t>
            </w:r>
          </w:p>
        </w:tc>
      </w:tr>
      <w:tr w14:paraId="50E3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2C2A7F9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D3</w:t>
            </w:r>
          </w:p>
        </w:tc>
        <w:tc>
          <w:tcPr>
            <w:tcW w:w="3173" w:type="dxa"/>
            <w:vAlign w:val="center"/>
          </w:tcPr>
          <w:p w14:paraId="2C2D0FF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环境可切换</w:t>
            </w:r>
          </w:p>
        </w:tc>
        <w:tc>
          <w:tcPr>
            <w:tcW w:w="3173" w:type="dxa"/>
            <w:vAlign w:val="center"/>
          </w:tcPr>
          <w:p w14:paraId="2C5AF3E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需要明确 dev / sim / prod 的参数与 profile 约定。</w:t>
            </w:r>
          </w:p>
        </w:tc>
      </w:tr>
      <w:tr w14:paraId="48A9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1C54C7C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D4</w:t>
            </w:r>
          </w:p>
        </w:tc>
        <w:tc>
          <w:tcPr>
            <w:tcW w:w="3173" w:type="dxa"/>
            <w:vAlign w:val="center"/>
          </w:tcPr>
          <w:p w14:paraId="2E7A23E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可重复执行</w:t>
            </w:r>
          </w:p>
        </w:tc>
        <w:tc>
          <w:tcPr>
            <w:tcW w:w="3173" w:type="dxa"/>
            <w:vAlign w:val="center"/>
          </w:tcPr>
          <w:p w14:paraId="67548B0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脚本必须尽量幂等，可重跑、可校验、可诊断。</w:t>
            </w:r>
          </w:p>
        </w:tc>
      </w:tr>
      <w:tr w14:paraId="28362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0DF9101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D5</w:t>
            </w:r>
          </w:p>
        </w:tc>
        <w:tc>
          <w:tcPr>
            <w:tcW w:w="3173" w:type="dxa"/>
            <w:vAlign w:val="center"/>
          </w:tcPr>
          <w:p w14:paraId="1EA6901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交付可审计</w:t>
            </w:r>
          </w:p>
        </w:tc>
        <w:tc>
          <w:tcPr>
            <w:tcW w:w="3173" w:type="dxa"/>
            <w:vAlign w:val="center"/>
          </w:tcPr>
          <w:p w14:paraId="64D1D547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发布目录、版本目录、打包产物和日志应有明确规则。</w:t>
            </w:r>
          </w:p>
        </w:tc>
      </w:tr>
    </w:tbl>
    <w:p w14:paraId="73A75B1F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4.3 总体定位</w:t>
      </w:r>
    </w:p>
    <w:p w14:paraId="25BD0114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本文件所定义的脚本体系，是 FusionCore 平台的交付治理层。它位于源码仓库与运行环境之间，向上承接 build/、deploy/ 目录中的工程产物，向下初始化运行根、复制配置模板、发布进程、启动环境，并为测试、仿真、现场部署提供统一入口。</w:t>
      </w:r>
    </w:p>
    <w:p w14:paraId="2ED2A62D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5 脚本体系的架构位置与上下文</w:t>
      </w:r>
    </w:p>
    <w:p w14:paraId="2B8AB974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5.1 上下文说明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7"/>
        <w:gridCol w:w="2365"/>
        <w:gridCol w:w="2650"/>
        <w:gridCol w:w="2363"/>
      </w:tblGrid>
      <w:tr w14:paraId="678E4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shd w:val="clear" w:color="auto" w:fill="D9EAD3"/>
            <w:vAlign w:val="center"/>
          </w:tcPr>
          <w:p w14:paraId="41C0057F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相邻上下文</w:t>
            </w:r>
          </w:p>
        </w:tc>
        <w:tc>
          <w:tcPr>
            <w:tcW w:w="2380" w:type="dxa"/>
            <w:shd w:val="clear" w:color="auto" w:fill="D9EAD3"/>
            <w:vAlign w:val="center"/>
          </w:tcPr>
          <w:p w14:paraId="7F371826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脚本体系从该上下文获取</w:t>
            </w:r>
          </w:p>
        </w:tc>
        <w:tc>
          <w:tcPr>
            <w:tcW w:w="2380" w:type="dxa"/>
            <w:shd w:val="clear" w:color="auto" w:fill="D9EAD3"/>
            <w:vAlign w:val="center"/>
          </w:tcPr>
          <w:p w14:paraId="6EC816BB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脚本体系向该上下文输出</w:t>
            </w:r>
          </w:p>
        </w:tc>
        <w:tc>
          <w:tcPr>
            <w:tcW w:w="2380" w:type="dxa"/>
            <w:shd w:val="clear" w:color="auto" w:fill="D9EAD3"/>
            <w:vAlign w:val="center"/>
          </w:tcPr>
          <w:p w14:paraId="6496DC1E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边界说明</w:t>
            </w:r>
          </w:p>
        </w:tc>
      </w:tr>
      <w:tr w14:paraId="7FCE8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vAlign w:val="center"/>
          </w:tcPr>
          <w:p w14:paraId="17D08D0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源码仓库</w:t>
            </w:r>
          </w:p>
        </w:tc>
        <w:tc>
          <w:tcPr>
            <w:tcW w:w="2380" w:type="dxa"/>
            <w:vAlign w:val="center"/>
          </w:tcPr>
          <w:p w14:paraId="14BB80B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解决方案、项目、模板配置、schema、脚本源文件</w:t>
            </w:r>
          </w:p>
        </w:tc>
        <w:tc>
          <w:tcPr>
            <w:tcW w:w="2380" w:type="dxa"/>
            <w:vAlign w:val="center"/>
          </w:tcPr>
          <w:p w14:paraId="620E5FF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构建产物、发布目录、包文件</w:t>
            </w:r>
          </w:p>
        </w:tc>
        <w:tc>
          <w:tcPr>
            <w:tcW w:w="2380" w:type="dxa"/>
            <w:vAlign w:val="center"/>
          </w:tcPr>
          <w:p w14:paraId="6A9DADC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脚本不修改领域语义，只消费仓库结构。</w:t>
            </w:r>
          </w:p>
        </w:tc>
      </w:tr>
      <w:tr w14:paraId="5A15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vAlign w:val="center"/>
          </w:tcPr>
          <w:p w14:paraId="7B9AA924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运行根</w:t>
            </w:r>
          </w:p>
        </w:tc>
        <w:tc>
          <w:tcPr>
            <w:tcW w:w="2380" w:type="dxa"/>
            <w:vAlign w:val="center"/>
          </w:tcPr>
          <w:p w14:paraId="4D1FD1F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逻辑路径、运行目录约定</w:t>
            </w:r>
          </w:p>
        </w:tc>
        <w:tc>
          <w:tcPr>
            <w:tcW w:w="2380" w:type="dxa"/>
            <w:vAlign w:val="center"/>
          </w:tcPr>
          <w:p w14:paraId="55CA6AF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config/data/logs/runtime 等目录与初始化结果</w:t>
            </w:r>
          </w:p>
        </w:tc>
        <w:tc>
          <w:tcPr>
            <w:tcW w:w="2380" w:type="dxa"/>
            <w:vAlign w:val="center"/>
          </w:tcPr>
          <w:p w14:paraId="33AADEA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由 init-runtime 脚本准备。</w:t>
            </w:r>
          </w:p>
        </w:tc>
      </w:tr>
      <w:tr w14:paraId="673B2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vAlign w:val="center"/>
          </w:tcPr>
          <w:p w14:paraId="5A70EF2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多进程宿主</w:t>
            </w:r>
          </w:p>
        </w:tc>
        <w:tc>
          <w:tcPr>
            <w:tcW w:w="2380" w:type="dxa"/>
            <w:vAlign w:val="center"/>
          </w:tcPr>
          <w:p w14:paraId="79DF537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各进程可执行文件、参数、profile</w:t>
            </w:r>
          </w:p>
        </w:tc>
        <w:tc>
          <w:tcPr>
            <w:tcW w:w="2380" w:type="dxa"/>
            <w:vAlign w:val="center"/>
          </w:tcPr>
          <w:p w14:paraId="59BF47E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启动结果、pid、health 文件</w:t>
            </w:r>
          </w:p>
        </w:tc>
        <w:tc>
          <w:tcPr>
            <w:tcW w:w="2380" w:type="dxa"/>
            <w:vAlign w:val="center"/>
          </w:tcPr>
          <w:p w14:paraId="105CC35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脚本负责启动顺序与环境装配，不承载业务流程。</w:t>
            </w:r>
          </w:p>
        </w:tc>
      </w:tr>
      <w:tr w14:paraId="2317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vAlign w:val="center"/>
          </w:tcPr>
          <w:p w14:paraId="02A7316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测试与实施</w:t>
            </w:r>
          </w:p>
        </w:tc>
        <w:tc>
          <w:tcPr>
            <w:tcW w:w="2380" w:type="dxa"/>
            <w:vAlign w:val="center"/>
          </w:tcPr>
          <w:p w14:paraId="78F5A11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环境变量、目标 profile、版本要求</w:t>
            </w:r>
          </w:p>
        </w:tc>
        <w:tc>
          <w:tcPr>
            <w:tcW w:w="2380" w:type="dxa"/>
            <w:vAlign w:val="center"/>
          </w:tcPr>
          <w:p w14:paraId="6C48696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构建结果、发布包、诊断日志</w:t>
            </w:r>
          </w:p>
        </w:tc>
        <w:tc>
          <w:tcPr>
            <w:tcW w:w="2380" w:type="dxa"/>
            <w:vAlign w:val="center"/>
          </w:tcPr>
          <w:p w14:paraId="32FE0D1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脚本应便于自动化和人工执行。</w:t>
            </w:r>
          </w:p>
        </w:tc>
      </w:tr>
    </w:tbl>
    <w:p w14:paraId="2FCA0A0C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5.2 关键原则</w:t>
      </w:r>
    </w:p>
    <w:p w14:paraId="14D06440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脚本体系首先表达职责边界，其次才是某种 PowerShell 或批处理实现。</w:t>
      </w:r>
    </w:p>
    <w:p w14:paraId="42F798DB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脚本应默认多进程友好，不得把 UI、Scheduler、FA、DeviceHost 的发布与运行混成一个不可分割的大脚本。</w:t>
      </w:r>
    </w:p>
    <w:p w14:paraId="5A2CDCD7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脚本读写的主要对象是文件、目录、环境变量、启动参数和进程状态，而不是业务领域对象。</w:t>
      </w:r>
    </w:p>
    <w:p w14:paraId="177456A1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6 职责边界与协作原则</w:t>
      </w:r>
    </w:p>
    <w:p w14:paraId="382A7490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6.1 推荐脚本集合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368D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D9EAD3"/>
            <w:vAlign w:val="center"/>
          </w:tcPr>
          <w:p w14:paraId="2C10F0C4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脚本</w:t>
            </w:r>
          </w:p>
        </w:tc>
        <w:tc>
          <w:tcPr>
            <w:tcW w:w="3173" w:type="dxa"/>
            <w:shd w:val="clear" w:color="auto" w:fill="D9EAD3"/>
            <w:vAlign w:val="center"/>
          </w:tcPr>
          <w:p w14:paraId="381FF0B6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w="3173" w:type="dxa"/>
            <w:shd w:val="clear" w:color="auto" w:fill="D9EAD3"/>
            <w:vAlign w:val="center"/>
          </w:tcPr>
          <w:p w14:paraId="2B97CD6A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不负责</w:t>
            </w:r>
          </w:p>
        </w:tc>
      </w:tr>
      <w:tr w14:paraId="2C68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2752AC0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init-runtime.ps1</w:t>
            </w:r>
          </w:p>
        </w:tc>
        <w:tc>
          <w:tcPr>
            <w:tcW w:w="3173" w:type="dxa"/>
            <w:vAlign w:val="center"/>
          </w:tcPr>
          <w:p w14:paraId="5D8403A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创建或映射运行根、创建目录、拷贝模板配置、准备运行环境</w:t>
            </w:r>
          </w:p>
        </w:tc>
        <w:tc>
          <w:tcPr>
            <w:tcW w:w="3173" w:type="dxa"/>
            <w:vAlign w:val="center"/>
          </w:tcPr>
          <w:p w14:paraId="391E018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不构建源码、不发布业务逻辑</w:t>
            </w:r>
          </w:p>
        </w:tc>
      </w:tr>
      <w:tr w14:paraId="7BD20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6E0DFA2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build.ps1</w:t>
            </w:r>
          </w:p>
        </w:tc>
        <w:tc>
          <w:tcPr>
            <w:tcW w:w="3173" w:type="dxa"/>
            <w:vAlign w:val="center"/>
          </w:tcPr>
          <w:p w14:paraId="34DC874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restore、build、test、基础校验</w:t>
            </w:r>
          </w:p>
        </w:tc>
        <w:tc>
          <w:tcPr>
            <w:tcW w:w="3173" w:type="dxa"/>
            <w:vAlign w:val="center"/>
          </w:tcPr>
          <w:p w14:paraId="396CB6A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不修改现场运行目录</w:t>
            </w:r>
          </w:p>
        </w:tc>
      </w:tr>
      <w:tr w14:paraId="0499A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7727A674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publish.ps1</w:t>
            </w:r>
          </w:p>
        </w:tc>
        <w:tc>
          <w:tcPr>
            <w:tcW w:w="3173" w:type="dxa"/>
            <w:vAlign w:val="center"/>
          </w:tcPr>
          <w:p w14:paraId="70D54C6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发布各进程到统一发布目录或版本目录</w:t>
            </w:r>
          </w:p>
        </w:tc>
        <w:tc>
          <w:tcPr>
            <w:tcW w:w="3173" w:type="dxa"/>
            <w:vAlign w:val="center"/>
          </w:tcPr>
          <w:p w14:paraId="666EBAD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不直接启动所有进程</w:t>
            </w:r>
          </w:p>
        </w:tc>
      </w:tr>
      <w:tr w14:paraId="2A2A4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1F6BFD6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package.ps1</w:t>
            </w:r>
          </w:p>
        </w:tc>
        <w:tc>
          <w:tcPr>
            <w:tcW w:w="3173" w:type="dxa"/>
            <w:vAlign w:val="center"/>
          </w:tcPr>
          <w:p w14:paraId="76F1902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打包发布产物、生成交付包</w:t>
            </w:r>
          </w:p>
        </w:tc>
        <w:tc>
          <w:tcPr>
            <w:tcW w:w="3173" w:type="dxa"/>
            <w:vAlign w:val="center"/>
          </w:tcPr>
          <w:p w14:paraId="6C1C5F2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不实现安装器逻辑</w:t>
            </w:r>
          </w:p>
        </w:tc>
      </w:tr>
      <w:tr w14:paraId="3751A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341DC2B9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run-dev.ps1</w:t>
            </w:r>
          </w:p>
        </w:tc>
        <w:tc>
          <w:tcPr>
            <w:tcW w:w="3173" w:type="dxa"/>
            <w:vAlign w:val="center"/>
          </w:tcPr>
          <w:p w14:paraId="2D5F6C6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基于开发 profile 初始化并启动开发环境</w:t>
            </w:r>
          </w:p>
        </w:tc>
        <w:tc>
          <w:tcPr>
            <w:tcW w:w="3173" w:type="dxa"/>
            <w:vAlign w:val="center"/>
          </w:tcPr>
          <w:p w14:paraId="35452D2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不替代 publish</w:t>
            </w:r>
          </w:p>
        </w:tc>
      </w:tr>
      <w:tr w14:paraId="42338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4F3638E4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run-sim.ps1</w:t>
            </w:r>
          </w:p>
        </w:tc>
        <w:tc>
          <w:tcPr>
            <w:tcW w:w="3173" w:type="dxa"/>
            <w:vAlign w:val="center"/>
          </w:tcPr>
          <w:p w14:paraId="7626D80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基于仿真 profile 启动仿真环境</w:t>
            </w:r>
          </w:p>
        </w:tc>
        <w:tc>
          <w:tcPr>
            <w:tcW w:w="3173" w:type="dxa"/>
            <w:vAlign w:val="center"/>
          </w:tcPr>
          <w:p w14:paraId="3030413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不承担业务仿真逻辑</w:t>
            </w:r>
          </w:p>
        </w:tc>
      </w:tr>
      <w:tr w14:paraId="41AB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3688946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run-prod.ps1</w:t>
            </w:r>
          </w:p>
        </w:tc>
        <w:tc>
          <w:tcPr>
            <w:tcW w:w="3173" w:type="dxa"/>
            <w:vAlign w:val="center"/>
          </w:tcPr>
          <w:p w14:paraId="04AA02E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按生产 profile 启动正式运行环境</w:t>
            </w:r>
          </w:p>
        </w:tc>
        <w:tc>
          <w:tcPr>
            <w:tcW w:w="3173" w:type="dxa"/>
            <w:vAlign w:val="center"/>
          </w:tcPr>
          <w:p w14:paraId="06BA8E1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不负责构建源码</w:t>
            </w:r>
          </w:p>
        </w:tc>
      </w:tr>
    </w:tbl>
    <w:p w14:paraId="0BCF42B9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6.2 协作原则</w:t>
      </w:r>
    </w:p>
    <w:p w14:paraId="0D52B431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脚本之间通过明确的输入输出协作，不通过隐式共享全局状态协作。</w:t>
      </w:r>
    </w:p>
    <w:p w14:paraId="27FDCC54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同一职责只应有一个主脚本入口，避免多个名字相近脚本做同一件事。</w:t>
      </w:r>
    </w:p>
    <w:p w14:paraId="72D36FC5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init-runtime 与 build / publish / run 系列脚本应解耦，允许单独执行和顺序串联。</w:t>
      </w:r>
    </w:p>
    <w:p w14:paraId="256BBB77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7 脚本分层、命名与目录规范</w:t>
      </w:r>
    </w:p>
    <w:p w14:paraId="406B60F3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7.1 仓库内推荐目录</w:t>
      </w:r>
    </w:p>
    <w:p w14:paraId="6E3ED299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建议在仓库中建立如下结构：</w:t>
      </w:r>
    </w:p>
    <w:p w14:paraId="53BF9589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build/：脚本源文件与共享函数</w:t>
      </w:r>
    </w:p>
    <w:p w14:paraId="23A7CCBE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deploy/config/：配置模板</w:t>
      </w:r>
    </w:p>
    <w:p w14:paraId="1924BC1F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deploy/database/schema/：数据库 schema 与初始化脚本</w:t>
      </w:r>
    </w:p>
    <w:p w14:paraId="6C61664B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deploy/packages/：可选的打包输出目录</w:t>
      </w:r>
    </w:p>
    <w:p w14:paraId="752AA171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docs/：规则说明和使用文档</w:t>
      </w:r>
    </w:p>
    <w:p w14:paraId="15B63573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7.2 命名规则</w:t>
      </w:r>
    </w:p>
    <w:p w14:paraId="49DB4F66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脚本使用明确动词前缀：init-、build-、publish-、package-、run-。</w:t>
      </w:r>
    </w:p>
    <w:p w14:paraId="1A145159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环境脚本使用后缀或子目录区分：run-dev.ps1、run-sim.ps1、run-prod.ps1。</w:t>
      </w:r>
    </w:p>
    <w:p w14:paraId="3EEEB78E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公共函数建议放在 build/common/ 或 build/lib/ 中，由主脚本引用。</w:t>
      </w:r>
    </w:p>
    <w:p w14:paraId="7F0F6F11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8 输入输出、参数与环境变量规范</w:t>
      </w:r>
    </w:p>
    <w:p w14:paraId="57792F0C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8.1 参数原则</w:t>
      </w:r>
    </w:p>
    <w:p w14:paraId="6A899AF6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所有主脚本应支持显式参数而非依赖交互式输入。</w:t>
      </w:r>
    </w:p>
    <w:p w14:paraId="20E4A602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参数名应稳定、可读、适合自动化调用。</w:t>
      </w:r>
    </w:p>
    <w:p w14:paraId="48EDC2BA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同一语义在不同脚本中的参数名应保持一致，例如 RuntimeRoot、Profile、Configuration、OutputRoot。</w:t>
      </w:r>
    </w:p>
    <w:p w14:paraId="53169C07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8.2 推荐环境变量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1"/>
        <w:gridCol w:w="3173"/>
        <w:gridCol w:w="3173"/>
      </w:tblGrid>
      <w:tr w14:paraId="75160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D9EAD3"/>
            <w:vAlign w:val="center"/>
          </w:tcPr>
          <w:p w14:paraId="5D52B7CB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环境变量</w:t>
            </w:r>
          </w:p>
        </w:tc>
        <w:tc>
          <w:tcPr>
            <w:tcW w:w="3173" w:type="dxa"/>
            <w:shd w:val="clear" w:color="auto" w:fill="D9EAD3"/>
            <w:vAlign w:val="center"/>
          </w:tcPr>
          <w:p w14:paraId="6CE9879C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建议含义</w:t>
            </w:r>
          </w:p>
        </w:tc>
        <w:tc>
          <w:tcPr>
            <w:tcW w:w="3173" w:type="dxa"/>
            <w:shd w:val="clear" w:color="auto" w:fill="D9EAD3"/>
            <w:vAlign w:val="center"/>
          </w:tcPr>
          <w:p w14:paraId="24C75A34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70FC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547D087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FUSIONCORE_RUNTIME_ROOT</w:t>
            </w:r>
          </w:p>
        </w:tc>
        <w:tc>
          <w:tcPr>
            <w:tcW w:w="3173" w:type="dxa"/>
            <w:vAlign w:val="center"/>
          </w:tcPr>
          <w:p w14:paraId="0D1C8C5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逻辑运行根目录</w:t>
            </w:r>
          </w:p>
        </w:tc>
        <w:tc>
          <w:tcPr>
            <w:tcW w:w="3173" w:type="dxa"/>
            <w:vAlign w:val="center"/>
          </w:tcPr>
          <w:p w14:paraId="48B36ED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默认可映射为 R:\，特殊环境可覆盖。</w:t>
            </w:r>
          </w:p>
        </w:tc>
      </w:tr>
      <w:tr w14:paraId="73E4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07195F6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FUSIONCORE_PROFILE</w:t>
            </w:r>
          </w:p>
        </w:tc>
        <w:tc>
          <w:tcPr>
            <w:tcW w:w="3173" w:type="dxa"/>
            <w:vAlign w:val="center"/>
          </w:tcPr>
          <w:p w14:paraId="31B5347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当前环境 profile</w:t>
            </w:r>
          </w:p>
        </w:tc>
        <w:tc>
          <w:tcPr>
            <w:tcW w:w="3173" w:type="dxa"/>
            <w:vAlign w:val="center"/>
          </w:tcPr>
          <w:p w14:paraId="7A9645A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例如 dev / sim / prod。</w:t>
            </w:r>
          </w:p>
        </w:tc>
      </w:tr>
      <w:tr w14:paraId="2BBA3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1B42A8A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FUSIONCORE_PUBLISH_ROOT</w:t>
            </w:r>
          </w:p>
        </w:tc>
        <w:tc>
          <w:tcPr>
            <w:tcW w:w="3173" w:type="dxa"/>
            <w:vAlign w:val="center"/>
          </w:tcPr>
          <w:p w14:paraId="7221840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发布输出根目录</w:t>
            </w:r>
          </w:p>
        </w:tc>
        <w:tc>
          <w:tcPr>
            <w:tcW w:w="3173" w:type="dxa"/>
            <w:vAlign w:val="center"/>
          </w:tcPr>
          <w:p w14:paraId="2ABE466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供 publish/package 使用。</w:t>
            </w:r>
          </w:p>
        </w:tc>
      </w:tr>
      <w:tr w14:paraId="12803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7A0E5D5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FUSIONCORE_VERSION</w:t>
            </w:r>
          </w:p>
        </w:tc>
        <w:tc>
          <w:tcPr>
            <w:tcW w:w="3173" w:type="dxa"/>
            <w:vAlign w:val="center"/>
          </w:tcPr>
          <w:p w14:paraId="5A88AFA7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当前发布版本号</w:t>
            </w:r>
          </w:p>
        </w:tc>
        <w:tc>
          <w:tcPr>
            <w:tcW w:w="3173" w:type="dxa"/>
            <w:vAlign w:val="center"/>
          </w:tcPr>
          <w:p w14:paraId="6701B88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用于版本目录、包命名和诊断输出。</w:t>
            </w:r>
          </w:p>
        </w:tc>
      </w:tr>
    </w:tbl>
    <w:p w14:paraId="276DB377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8.3 退出码原则</w:t>
      </w:r>
    </w:p>
    <w:p w14:paraId="14409EFB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脚本应使用明确退出码。0 表示成功；非 0 表示失败。建议区分“参数错误”“环境初始化失败”“构建失败”“发布失败”“运行启动失败”等大类错误，以便自动化系统判断。</w:t>
      </w:r>
    </w:p>
    <w:p w14:paraId="70E5E573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9 主流程：初始化、构建、发布、打包、启动</w:t>
      </w:r>
    </w:p>
    <w:p w14:paraId="425E9BB5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9.1 初始化流程</w:t>
      </w:r>
    </w:p>
    <w:p w14:paraId="772BB159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解析 RuntimeRoot、Profile、ForceCreate 等参数。</w:t>
      </w:r>
    </w:p>
    <w:p w14:paraId="50E88EDC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创建或映射运行根（默认 R:\）。</w:t>
      </w:r>
    </w:p>
    <w:p w14:paraId="7954C18F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建立 config / data / logs / runtime / temp / backups / deploy / scripts 目录。</w:t>
      </w:r>
    </w:p>
    <w:p w14:paraId="76DABEDE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拷贝缺失的模板配置，不覆盖已存在实例配置。</w:t>
      </w:r>
    </w:p>
    <w:p w14:paraId="7B0F5CE8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9.2 构建流程</w:t>
      </w:r>
    </w:p>
    <w:p w14:paraId="02456375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执行 dotnet restore。</w:t>
      </w:r>
    </w:p>
    <w:p w14:paraId="4C87BB47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执行 dotnet build。</w:t>
      </w:r>
    </w:p>
    <w:p w14:paraId="0F73049F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按策略执行 dotnet test。</w:t>
      </w:r>
    </w:p>
    <w:p w14:paraId="463CBAB7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输出构建日志与摘要结果。</w:t>
      </w:r>
    </w:p>
    <w:p w14:paraId="5D2ABBCE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9.3 发布与打包流程</w:t>
      </w:r>
    </w:p>
    <w:p w14:paraId="20EAFC9C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按进程分别 publish 到版本目录，例如 publish/&lt;version&gt;/&lt;ProcessName&gt;/。</w:t>
      </w:r>
    </w:p>
    <w:p w14:paraId="2D57E208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写入版本标识、构建时间和 profile 说明。</w:t>
      </w:r>
    </w:p>
    <w:p w14:paraId="6BC761A9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根据需要生成压缩包或交付包。</w:t>
      </w:r>
    </w:p>
    <w:p w14:paraId="1AF5EED9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9.4 启动流程</w:t>
      </w:r>
    </w:p>
    <w:p w14:paraId="661DD63B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启动前检查运行根和配置完整性。</w:t>
      </w:r>
    </w:p>
    <w:p w14:paraId="15E6FA29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按推荐顺序启动关键进程，例如 DeviceHost / Scheduler / FA / UI。</w:t>
      </w:r>
    </w:p>
    <w:p w14:paraId="4BAEA03C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为每个进程写入独立日志与 pid/health 信息。</w:t>
      </w:r>
    </w:p>
    <w:p w14:paraId="09EEB8AE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10 与运行根、运行时目录及多进程协同的关系</w:t>
      </w:r>
    </w:p>
    <w:p w14:paraId="4556CB5A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脚本体系必须与运行时目录规则共同工作：</w:t>
      </w:r>
    </w:p>
    <w:p w14:paraId="639B19AA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配置实例写入 config/；数据库和快照写入 data/；日志写入 logs/&lt;ProcessName&gt;/；协作文件写入 runtime/。</w:t>
      </w:r>
    </w:p>
    <w:p w14:paraId="013F3EA9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不同进程不得共同写入同一个日志文件。</w:t>
      </w:r>
    </w:p>
    <w:p w14:paraId="76F1B5EF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若多个进程共享数据库或文件，应在脚本层体现权限与拥有者边界，而不是默认所有进程随意读写。</w:t>
      </w:r>
    </w:p>
    <w:p w14:paraId="795348A6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脚本应支持在开发、仿真和现场环境下把不同物理目录映射为统一的逻辑运行根。</w:t>
      </w:r>
    </w:p>
    <w:p w14:paraId="1BC33A94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11 安全性、幂等性与失败处理</w:t>
      </w:r>
    </w:p>
    <w:p w14:paraId="5338E9B2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11.1 幂等性要求</w:t>
      </w:r>
    </w:p>
    <w:p w14:paraId="789D0F99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init-runtime.ps1 重复执行时，不应无故覆盖用户配置。</w:t>
      </w:r>
    </w:p>
    <w:p w14:paraId="60A18B20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publish.ps1 重复执行时，应能覆盖同版本发布目录或输出明确冲突提示。</w:t>
      </w:r>
    </w:p>
    <w:p w14:paraId="4B36D10E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run-*.ps1 重复执行时，应检查既有 pid/health 状态，避免无控制地重复拉起实例。</w:t>
      </w:r>
    </w:p>
    <w:p w14:paraId="25BE7972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11.2 安全性要求</w:t>
      </w:r>
    </w:p>
    <w:p w14:paraId="7F75EF48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脚本不得默认删除 data/ 和 backups/ 中的业务数据。</w:t>
      </w:r>
    </w:p>
    <w:p w14:paraId="0C5DB4B6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清理动作必须限制在 temp/、publish 缓存目录或明确的构建输出目录中。</w:t>
      </w:r>
    </w:p>
    <w:p w14:paraId="06DF6B68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• 涉及现场运行目录时，应优先备份配置和数据库。</w:t>
      </w:r>
    </w:p>
    <w:p w14:paraId="12F1376B">
      <w:pPr>
        <w:spacing w:before="120" w:after="120"/>
        <w:jc w:val="left"/>
      </w:pPr>
      <w:r>
        <w:rPr>
          <w:rFonts w:ascii="微软雅黑" w:hAnsi="微软雅黑" w:eastAsia="微软雅黑"/>
          <w:b/>
          <w:sz w:val="26"/>
        </w:rPr>
        <w:t>11.3 失败处理</w:t>
      </w:r>
    </w:p>
    <w:p w14:paraId="10D1A761">
      <w:pPr>
        <w:spacing w:before="0" w:after="80" w:line="300" w:lineRule="auto"/>
      </w:pPr>
      <w:r>
        <w:rPr>
          <w:rFonts w:ascii="微软雅黑" w:hAnsi="微软雅黑" w:eastAsia="微软雅黑"/>
          <w:sz w:val="21"/>
        </w:rPr>
        <w:t>当脚本失败时，应至少输出：失败步骤、关键参数、目标目录、命令返回码、建议的人工处置路径。复杂自动回滚不作为一期强制要求，但脚本应为后续回滚机制预留清晰的步骤边界。</w:t>
      </w:r>
    </w:p>
    <w:p w14:paraId="3C0D79C2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12 实施分期与脚本演进路线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1263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D9EAD3"/>
            <w:vAlign w:val="center"/>
          </w:tcPr>
          <w:p w14:paraId="72CD5B76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w="3173" w:type="dxa"/>
            <w:shd w:val="clear" w:color="auto" w:fill="D9EAD3"/>
            <w:vAlign w:val="center"/>
          </w:tcPr>
          <w:p w14:paraId="4856E0AE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建议实现内容</w:t>
            </w:r>
          </w:p>
        </w:tc>
        <w:tc>
          <w:tcPr>
            <w:tcW w:w="3173" w:type="dxa"/>
            <w:shd w:val="clear" w:color="auto" w:fill="D9EAD3"/>
            <w:vAlign w:val="center"/>
          </w:tcPr>
          <w:p w14:paraId="2CD31B8D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CEB3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0BFCA4C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Phase 1</w:t>
            </w:r>
          </w:p>
        </w:tc>
        <w:tc>
          <w:tcPr>
            <w:tcW w:w="3173" w:type="dxa"/>
            <w:vAlign w:val="center"/>
          </w:tcPr>
          <w:p w14:paraId="6A759B8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init-runtime.ps1、build.ps1、publish.ps1、run-dev.ps1、run-sim.ps1</w:t>
            </w:r>
          </w:p>
        </w:tc>
        <w:tc>
          <w:tcPr>
            <w:tcW w:w="3173" w:type="dxa"/>
            <w:vAlign w:val="center"/>
          </w:tcPr>
          <w:p w14:paraId="450A706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先建立最小可用脚本闭环。</w:t>
            </w:r>
          </w:p>
        </w:tc>
      </w:tr>
      <w:tr w14:paraId="7686A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59C829C4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Phase 2</w:t>
            </w:r>
          </w:p>
        </w:tc>
        <w:tc>
          <w:tcPr>
            <w:tcW w:w="3173" w:type="dxa"/>
            <w:vAlign w:val="center"/>
          </w:tcPr>
          <w:p w14:paraId="2C5F723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package.ps1、run-prod.ps1、共享函数库、版本清理脚本</w:t>
            </w:r>
          </w:p>
        </w:tc>
        <w:tc>
          <w:tcPr>
            <w:tcW w:w="3173" w:type="dxa"/>
            <w:vAlign w:val="center"/>
          </w:tcPr>
          <w:p w14:paraId="0AC07C6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补齐交付与正式运行场景。</w:t>
            </w:r>
          </w:p>
        </w:tc>
      </w:tr>
      <w:tr w14:paraId="3057B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33580917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Phase 3</w:t>
            </w:r>
          </w:p>
        </w:tc>
        <w:tc>
          <w:tcPr>
            <w:tcW w:w="3173" w:type="dxa"/>
            <w:vAlign w:val="center"/>
          </w:tcPr>
          <w:p w14:paraId="6279C97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诊断脚本、升级脚本、回滚脚本、现场健康检查脚本</w:t>
            </w:r>
          </w:p>
        </w:tc>
        <w:tc>
          <w:tcPr>
            <w:tcW w:w="3173" w:type="dxa"/>
            <w:vAlign w:val="center"/>
          </w:tcPr>
          <w:p w14:paraId="34F5671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面向长期运维演进。</w:t>
            </w:r>
          </w:p>
        </w:tc>
      </w:tr>
    </w:tbl>
    <w:p w14:paraId="22D4901A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13 未决问题与风险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0140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FCE5CD"/>
            <w:vAlign w:val="center"/>
          </w:tcPr>
          <w:p w14:paraId="7CADAEFA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问题或风险</w:t>
            </w:r>
          </w:p>
        </w:tc>
        <w:tc>
          <w:tcPr>
            <w:tcW w:w="3173" w:type="dxa"/>
            <w:shd w:val="clear" w:color="auto" w:fill="FCE5CD"/>
            <w:vAlign w:val="center"/>
          </w:tcPr>
          <w:p w14:paraId="51ECBE37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w="3173" w:type="dxa"/>
            <w:shd w:val="clear" w:color="auto" w:fill="FCE5CD"/>
            <w:vAlign w:val="center"/>
          </w:tcPr>
          <w:p w14:paraId="748975EA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建议</w:t>
            </w:r>
          </w:p>
        </w:tc>
      </w:tr>
      <w:tr w14:paraId="5E6AD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41468CF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运行根映射方式未统一</w:t>
            </w:r>
          </w:p>
        </w:tc>
        <w:tc>
          <w:tcPr>
            <w:tcW w:w="3173" w:type="dxa"/>
            <w:vAlign w:val="center"/>
          </w:tcPr>
          <w:p w14:paraId="6C7BA9E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开发机与现场机器脚本行为可能不一致</w:t>
            </w:r>
          </w:p>
        </w:tc>
        <w:tc>
          <w:tcPr>
            <w:tcW w:w="3173" w:type="dxa"/>
            <w:vAlign w:val="center"/>
          </w:tcPr>
          <w:p w14:paraId="6ADB5A67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在后续脚本实现中固定 subst / 目录映射策略并形成单独实施说明。</w:t>
            </w:r>
          </w:p>
        </w:tc>
      </w:tr>
      <w:tr w14:paraId="5801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292AFF0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版本目录清理策略未细化</w:t>
            </w:r>
          </w:p>
        </w:tc>
        <w:tc>
          <w:tcPr>
            <w:tcW w:w="3173" w:type="dxa"/>
            <w:vAlign w:val="center"/>
          </w:tcPr>
          <w:p w14:paraId="2674CB04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发布目录可能膨胀或误删版本</w:t>
            </w:r>
          </w:p>
        </w:tc>
        <w:tc>
          <w:tcPr>
            <w:tcW w:w="3173" w:type="dxa"/>
            <w:vAlign w:val="center"/>
          </w:tcPr>
          <w:p w14:paraId="446D3A6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后续补充版本保留与清理规则。</w:t>
            </w:r>
          </w:p>
        </w:tc>
      </w:tr>
      <w:tr w14:paraId="5F6C9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55DCEAF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多进程启动顺序仍需验证</w:t>
            </w:r>
          </w:p>
        </w:tc>
        <w:tc>
          <w:tcPr>
            <w:tcW w:w="3173" w:type="dxa"/>
            <w:vAlign w:val="center"/>
          </w:tcPr>
          <w:p w14:paraId="76C731B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可能影响依赖进程就绪判断</w:t>
            </w:r>
          </w:p>
        </w:tc>
        <w:tc>
          <w:tcPr>
            <w:tcW w:w="3173" w:type="dxa"/>
            <w:vAlign w:val="center"/>
          </w:tcPr>
          <w:p w14:paraId="6D0EC4A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 run-* 脚本中补充 health 检查与超时策略。</w:t>
            </w:r>
          </w:p>
        </w:tc>
      </w:tr>
      <w:tr w14:paraId="11E6A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5FFA9C59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配置模板与实例的同步策略未细化</w:t>
            </w:r>
          </w:p>
        </w:tc>
        <w:tc>
          <w:tcPr>
            <w:tcW w:w="3173" w:type="dxa"/>
            <w:vAlign w:val="center"/>
          </w:tcPr>
          <w:p w14:paraId="649ED87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升级时可能出现配置漂移</w:t>
            </w:r>
          </w:p>
        </w:tc>
        <w:tc>
          <w:tcPr>
            <w:tcW w:w="3173" w:type="dxa"/>
            <w:vAlign w:val="center"/>
          </w:tcPr>
          <w:p w14:paraId="0C8B260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后续补充模板合并与升级说明。</w:t>
            </w:r>
          </w:p>
        </w:tc>
      </w:tr>
    </w:tbl>
    <w:p w14:paraId="6FB6E5E8">
      <w:pPr>
        <w:spacing w:before="200" w:after="120"/>
        <w:jc w:val="left"/>
      </w:pPr>
      <w:r>
        <w:rPr>
          <w:rFonts w:ascii="微软雅黑" w:hAnsi="微软雅黑" w:eastAsia="微软雅黑"/>
          <w:b/>
          <w:sz w:val="32"/>
        </w:rPr>
        <w:t>附录 A 术语与脚本命名建议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9EAD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D9EAD3"/>
            <w:vAlign w:val="center"/>
          </w:tcPr>
          <w:p w14:paraId="5B5C49F9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中文术语</w:t>
            </w:r>
          </w:p>
        </w:tc>
        <w:tc>
          <w:tcPr>
            <w:tcW w:w="3173" w:type="dxa"/>
            <w:shd w:val="clear" w:color="auto" w:fill="D9EAD3"/>
            <w:vAlign w:val="center"/>
          </w:tcPr>
          <w:p w14:paraId="12C3B2D1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推荐对象名</w:t>
            </w:r>
          </w:p>
        </w:tc>
        <w:tc>
          <w:tcPr>
            <w:tcW w:w="3173" w:type="dxa"/>
            <w:shd w:val="clear" w:color="auto" w:fill="D9EAD3"/>
            <w:vAlign w:val="center"/>
          </w:tcPr>
          <w:p w14:paraId="71949332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2D39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478FC13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运行根初始化脚本</w:t>
            </w:r>
          </w:p>
        </w:tc>
        <w:tc>
          <w:tcPr>
            <w:tcW w:w="3173" w:type="dxa"/>
            <w:vAlign w:val="center"/>
          </w:tcPr>
          <w:p w14:paraId="4308692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init-runtime.ps1</w:t>
            </w:r>
          </w:p>
        </w:tc>
        <w:tc>
          <w:tcPr>
            <w:tcW w:w="3173" w:type="dxa"/>
            <w:vAlign w:val="center"/>
          </w:tcPr>
          <w:p w14:paraId="6642F437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负责准备逻辑运行根及目录。</w:t>
            </w:r>
          </w:p>
        </w:tc>
      </w:tr>
      <w:tr w14:paraId="2AED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4F5F09D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构建脚本</w:t>
            </w:r>
          </w:p>
        </w:tc>
        <w:tc>
          <w:tcPr>
            <w:tcW w:w="3173" w:type="dxa"/>
            <w:vAlign w:val="center"/>
          </w:tcPr>
          <w:p w14:paraId="2139A69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build.ps1</w:t>
            </w:r>
          </w:p>
        </w:tc>
        <w:tc>
          <w:tcPr>
            <w:tcW w:w="3173" w:type="dxa"/>
            <w:vAlign w:val="center"/>
          </w:tcPr>
          <w:p w14:paraId="583F14C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 restore/build/test。</w:t>
            </w:r>
          </w:p>
        </w:tc>
      </w:tr>
      <w:tr w14:paraId="502D7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42EB9DE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发布脚本</w:t>
            </w:r>
          </w:p>
        </w:tc>
        <w:tc>
          <w:tcPr>
            <w:tcW w:w="3173" w:type="dxa"/>
            <w:vAlign w:val="center"/>
          </w:tcPr>
          <w:p w14:paraId="2C4CB5D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publish.ps1</w:t>
            </w:r>
          </w:p>
        </w:tc>
        <w:tc>
          <w:tcPr>
            <w:tcW w:w="3173" w:type="dxa"/>
            <w:vAlign w:val="center"/>
          </w:tcPr>
          <w:p w14:paraId="475D525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负责按进程输出发布目录。</w:t>
            </w:r>
          </w:p>
        </w:tc>
      </w:tr>
      <w:tr w14:paraId="616B2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4921A49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打包脚本</w:t>
            </w:r>
          </w:p>
        </w:tc>
        <w:tc>
          <w:tcPr>
            <w:tcW w:w="3173" w:type="dxa"/>
            <w:vAlign w:val="center"/>
          </w:tcPr>
          <w:p w14:paraId="0D560B6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package.ps1</w:t>
            </w:r>
          </w:p>
        </w:tc>
        <w:tc>
          <w:tcPr>
            <w:tcW w:w="3173" w:type="dxa"/>
            <w:vAlign w:val="center"/>
          </w:tcPr>
          <w:p w14:paraId="572358E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负责交付包生成。</w:t>
            </w:r>
          </w:p>
        </w:tc>
      </w:tr>
      <w:tr w14:paraId="735F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3AB293C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开发启动脚本</w:t>
            </w:r>
          </w:p>
        </w:tc>
        <w:tc>
          <w:tcPr>
            <w:tcW w:w="3173" w:type="dxa"/>
            <w:vAlign w:val="center"/>
          </w:tcPr>
          <w:p w14:paraId="7361B40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run-dev.ps1</w:t>
            </w:r>
          </w:p>
        </w:tc>
        <w:tc>
          <w:tcPr>
            <w:tcW w:w="3173" w:type="dxa"/>
            <w:vAlign w:val="center"/>
          </w:tcPr>
          <w:p w14:paraId="7D167C9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面向开发 profile 启动。</w:t>
            </w:r>
          </w:p>
        </w:tc>
      </w:tr>
      <w:tr w14:paraId="72958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28ED2229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仿真启动脚本</w:t>
            </w:r>
          </w:p>
        </w:tc>
        <w:tc>
          <w:tcPr>
            <w:tcW w:w="3173" w:type="dxa"/>
            <w:vAlign w:val="center"/>
          </w:tcPr>
          <w:p w14:paraId="784EFC4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run-sim.ps1</w:t>
            </w:r>
          </w:p>
        </w:tc>
        <w:tc>
          <w:tcPr>
            <w:tcW w:w="3173" w:type="dxa"/>
            <w:vAlign w:val="center"/>
          </w:tcPr>
          <w:p w14:paraId="51F23F6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面向仿真 profile 启动。</w:t>
            </w:r>
          </w:p>
        </w:tc>
      </w:tr>
      <w:tr w14:paraId="188DF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71BC723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生产启动脚本</w:t>
            </w:r>
          </w:p>
        </w:tc>
        <w:tc>
          <w:tcPr>
            <w:tcW w:w="3173" w:type="dxa"/>
            <w:vAlign w:val="center"/>
          </w:tcPr>
          <w:p w14:paraId="25478A5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run-prod.ps1</w:t>
            </w:r>
          </w:p>
        </w:tc>
        <w:tc>
          <w:tcPr>
            <w:tcW w:w="3173" w:type="dxa"/>
            <w:vAlign w:val="center"/>
          </w:tcPr>
          <w:p w14:paraId="7D4B8C9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面向生产 profile 启动。</w:t>
            </w:r>
          </w:p>
        </w:tc>
      </w:tr>
    </w:tbl>
    <w:p w14:paraId="2CB7D14D">
      <w:pPr>
        <w:spacing w:before="0" w:after="80" w:line="300" w:lineRule="auto"/>
      </w:pPr>
    </w:p>
    <w:p w14:paraId="5412A381">
      <w:pPr>
        <w:spacing w:before="0" w:after="40" w:line="300" w:lineRule="auto"/>
      </w:pPr>
      <w:r>
        <w:rPr>
          <w:rFonts w:ascii="微软雅黑" w:hAnsi="微软雅黑" w:eastAsia="微软雅黑"/>
          <w:sz w:val="21"/>
        </w:rPr>
        <w:t>审阅签核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2380"/>
        <w:gridCol w:w="2380"/>
        <w:gridCol w:w="2380"/>
      </w:tblGrid>
      <w:tr w14:paraId="7DD1F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shd w:val="clear" w:color="auto" w:fill="D9EAD3"/>
            <w:vAlign w:val="center"/>
          </w:tcPr>
          <w:p w14:paraId="325EC0D0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w="2380" w:type="dxa"/>
            <w:shd w:val="clear" w:color="auto" w:fill="D9EAD3"/>
            <w:vAlign w:val="center"/>
          </w:tcPr>
          <w:p w14:paraId="2E37E3F3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姓名</w:t>
            </w:r>
          </w:p>
        </w:tc>
        <w:tc>
          <w:tcPr>
            <w:tcW w:w="2380" w:type="dxa"/>
            <w:shd w:val="clear" w:color="auto" w:fill="D9EAD3"/>
            <w:vAlign w:val="center"/>
          </w:tcPr>
          <w:p w14:paraId="604E16C6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意见</w:t>
            </w:r>
          </w:p>
        </w:tc>
        <w:tc>
          <w:tcPr>
            <w:tcW w:w="2380" w:type="dxa"/>
            <w:shd w:val="clear" w:color="auto" w:fill="D9EAD3"/>
            <w:vAlign w:val="center"/>
          </w:tcPr>
          <w:p w14:paraId="5CDFF5FE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</w:tr>
      <w:tr w14:paraId="0C720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vAlign w:val="center"/>
          </w:tcPr>
          <w:p w14:paraId="18B3845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总体架构负责人</w:t>
            </w:r>
          </w:p>
        </w:tc>
        <w:tc>
          <w:tcPr>
            <w:tcW w:w="2380" w:type="dxa"/>
            <w:vAlign w:val="center"/>
          </w:tcPr>
          <w:p w14:paraId="1BCC6A3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w="2380" w:type="dxa"/>
            <w:vAlign w:val="center"/>
          </w:tcPr>
          <w:p w14:paraId="63D4A6E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待评审</w:t>
            </w:r>
          </w:p>
        </w:tc>
        <w:tc>
          <w:tcPr>
            <w:tcW w:w="2380" w:type="dxa"/>
            <w:vAlign w:val="center"/>
          </w:tcPr>
          <w:p w14:paraId="69329FF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____-__-__</w:t>
            </w:r>
          </w:p>
        </w:tc>
      </w:tr>
      <w:tr w14:paraId="6DFF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vAlign w:val="center"/>
          </w:tcPr>
          <w:p w14:paraId="5C434FC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平台负责人</w:t>
            </w:r>
          </w:p>
        </w:tc>
        <w:tc>
          <w:tcPr>
            <w:tcW w:w="2380" w:type="dxa"/>
            <w:vAlign w:val="center"/>
          </w:tcPr>
          <w:p w14:paraId="260041C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w="2380" w:type="dxa"/>
            <w:vAlign w:val="center"/>
          </w:tcPr>
          <w:p w14:paraId="5B8CB99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待评审</w:t>
            </w:r>
          </w:p>
        </w:tc>
        <w:tc>
          <w:tcPr>
            <w:tcW w:w="2380" w:type="dxa"/>
            <w:vAlign w:val="center"/>
          </w:tcPr>
          <w:p w14:paraId="0EEA3CE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____-__-__</w:t>
            </w:r>
          </w:p>
        </w:tc>
      </w:tr>
      <w:tr w14:paraId="4AF6A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vAlign w:val="center"/>
          </w:tcPr>
          <w:p w14:paraId="155B972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构建发布负责人</w:t>
            </w:r>
          </w:p>
        </w:tc>
        <w:tc>
          <w:tcPr>
            <w:tcW w:w="2380" w:type="dxa"/>
            <w:vAlign w:val="center"/>
          </w:tcPr>
          <w:p w14:paraId="6F330594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w="2380" w:type="dxa"/>
            <w:vAlign w:val="center"/>
          </w:tcPr>
          <w:p w14:paraId="4992ECF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待评审</w:t>
            </w:r>
          </w:p>
        </w:tc>
        <w:tc>
          <w:tcPr>
            <w:tcW w:w="2380" w:type="dxa"/>
            <w:vAlign w:val="center"/>
          </w:tcPr>
          <w:p w14:paraId="21320FA9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____-__-__</w:t>
            </w:r>
          </w:p>
        </w:tc>
      </w:tr>
      <w:tr w14:paraId="2D57A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vAlign w:val="center"/>
          </w:tcPr>
          <w:p w14:paraId="6915CB2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测试/实施负责人</w:t>
            </w:r>
          </w:p>
        </w:tc>
        <w:tc>
          <w:tcPr>
            <w:tcW w:w="2380" w:type="dxa"/>
            <w:vAlign w:val="center"/>
          </w:tcPr>
          <w:p w14:paraId="75E2EDE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w="2380" w:type="dxa"/>
            <w:vAlign w:val="center"/>
          </w:tcPr>
          <w:p w14:paraId="41CA73E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待评审</w:t>
            </w:r>
          </w:p>
        </w:tc>
        <w:tc>
          <w:tcPr>
            <w:tcW w:w="2380" w:type="dxa"/>
            <w:vAlign w:val="center"/>
          </w:tcPr>
          <w:p w14:paraId="4BEC3D4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____-__-__</w:t>
            </w:r>
          </w:p>
        </w:tc>
      </w:tr>
    </w:tbl>
    <w:p w14:paraId="27FF53B3"/>
    <w:sectPr>
      <w:pgSz w:w="12240" w:h="15840"/>
      <w:pgMar w:top="1247" w:right="1304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02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微软雅黑" w:hAnsi="微软雅黑" w:eastAsia="微软雅黑"/>
    </w:rPr>
  </w:style>
  <w:style w:type="table" w:default="1" w:styleId="32">
    <w:name w:val="Normal Table"/>
    <w:semiHidden/>
    <w:unhideWhenUsed/>
    <w:qFormat/>
    <w:uiPriority w:val="99"/>
    <w:rPr>
      <w:rFonts w:ascii="微软雅黑" w:hAnsi="微软雅黑" w:eastAsia="微软雅黑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 w:eastAsia="微软雅黑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微软雅黑" w:hAnsi="微软雅黑" w:eastAsia="微软雅黑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微软雅黑" w:hAnsi="微软雅黑" w:eastAsia="微软雅黑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微软雅黑" w:hAnsi="微软雅黑" w:eastAsia="微软雅黑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微软雅黑" w:hAnsi="微软雅黑" w:eastAsia="微软雅黑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微软雅黑" w:hAnsi="微软雅黑" w:eastAsia="微软雅黑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微软雅黑" w:hAnsi="微软雅黑" w:eastAsia="微软雅黑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微软雅黑" w:hAnsi="微软雅黑" w:eastAsia="微软雅黑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微软雅黑" w:hAnsi="微软雅黑" w:eastAsia="微软雅黑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微软雅黑" w:hAnsi="微软雅黑" w:eastAsia="微软雅黑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微软雅黑" w:hAnsi="微软雅黑" w:eastAsia="微软雅黑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微软雅黑" w:hAnsi="微软雅黑" w:eastAsia="微软雅黑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微软雅黑" w:hAnsi="微软雅黑" w:eastAsia="微软雅黑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微软雅黑" w:hAnsi="微软雅黑" w:eastAsia="微软雅黑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微软雅黑" w:hAnsi="微软雅黑" w:eastAsia="微软雅黑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微软雅黑" w:hAnsi="微软雅黑" w:eastAsia="微软雅黑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微软雅黑" w:hAnsi="微软雅黑" w:eastAsia="微软雅黑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微软雅黑" w:hAnsi="微软雅黑" w:eastAsia="微软雅黑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微软雅黑" w:hAnsi="微软雅黑" w:eastAsia="微软雅黑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微软雅黑" w:hAnsi="微软雅黑" w:eastAsia="微软雅黑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微软雅黑" w:hAnsi="微软雅黑" w:eastAsia="微软雅黑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微软雅黑" w:hAnsi="微软雅黑" w:eastAsia="微软雅黑"/>
      <w:b/>
      <w:bCs/>
    </w:rPr>
  </w:style>
  <w:style w:type="character" w:styleId="134">
    <w:name w:val="Emphasis"/>
    <w:basedOn w:val="132"/>
    <w:qFormat/>
    <w:uiPriority w:val="20"/>
    <w:rPr>
      <w:rFonts w:ascii="微软雅黑" w:hAnsi="微软雅黑" w:eastAsia="微软雅黑"/>
      <w:i/>
      <w:iCs/>
    </w:rPr>
  </w:style>
  <w:style w:type="character" w:customStyle="1" w:styleId="135">
    <w:name w:val="Header Char"/>
    <w:basedOn w:val="132"/>
    <w:link w:val="25"/>
    <w:uiPriority w:val="99"/>
    <w:rPr>
      <w:rFonts w:ascii="微软雅黑" w:hAnsi="微软雅黑" w:eastAsia="微软雅黑"/>
    </w:rPr>
  </w:style>
  <w:style w:type="character" w:customStyle="1" w:styleId="136">
    <w:name w:val="Footer Char"/>
    <w:basedOn w:val="132"/>
    <w:link w:val="24"/>
    <w:uiPriority w:val="99"/>
    <w:rPr>
      <w:rFonts w:ascii="微软雅黑" w:hAnsi="微软雅黑" w:eastAsia="微软雅黑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微软雅黑" w:hAnsi="微软雅黑" w:eastAsia="微软雅黑"/>
    </w:rPr>
  </w:style>
  <w:style w:type="character" w:customStyle="1" w:styleId="144">
    <w:name w:val="Body Text Char"/>
    <w:basedOn w:val="132"/>
    <w:link w:val="19"/>
    <w:qFormat/>
    <w:uiPriority w:val="99"/>
    <w:rPr>
      <w:rFonts w:ascii="微软雅黑" w:hAnsi="微软雅黑" w:eastAsia="微软雅黑"/>
    </w:rPr>
  </w:style>
  <w:style w:type="character" w:customStyle="1" w:styleId="145">
    <w:name w:val="Body Text 2 Char"/>
    <w:basedOn w:val="132"/>
    <w:link w:val="28"/>
    <w:qFormat/>
    <w:uiPriority w:val="99"/>
    <w:rPr>
      <w:rFonts w:ascii="微软雅黑" w:hAnsi="微软雅黑" w:eastAsia="微软雅黑"/>
    </w:rPr>
  </w:style>
  <w:style w:type="character" w:customStyle="1" w:styleId="146">
    <w:name w:val="Body Text 3 Char"/>
    <w:basedOn w:val="132"/>
    <w:link w:val="17"/>
    <w:qFormat/>
    <w:uiPriority w:val="99"/>
    <w:rPr>
      <w:rFonts w:ascii="微软雅黑" w:hAnsi="微软雅黑" w:eastAsia="微软雅黑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微软雅黑" w:hAnsi="微软雅黑" w:eastAsia="微软雅黑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微软雅黑" w:hAnsi="微软雅黑" w:eastAsia="微软雅黑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微软雅黑" w:hAnsi="微软雅黑" w:eastAsia="微软雅黑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微软雅黑" w:hAnsi="微软雅黑" w:eastAsia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微软雅黑" w:hAnsi="微软雅黑" w:eastAsia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微软雅黑" w:hAnsi="微软雅黑" w:eastAsia="微软雅黑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微软雅黑" w:hAnsi="微软雅黑" w:eastAsia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微软雅黑" w:hAnsi="微软雅黑" w:eastAsia="微软雅黑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微软雅黑" w:hAnsi="微软雅黑" w:eastAsia="微软雅黑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微软雅黑" w:hAnsi="微软雅黑" w:eastAsia="微软雅黑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微软雅黑" w:hAnsi="微软雅黑" w:eastAsia="微软雅黑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1367</Words>
  <Characters>1889</Characters>
  <Lines>0</Lines>
  <Paragraphs>0</Paragraphs>
  <TotalTime>1</TotalTime>
  <ScaleCrop>false</ScaleCrop>
  <LinksUpToDate>false</LinksUpToDate>
  <CharactersWithSpaces>1963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张明</cp:lastModifiedBy>
  <dcterms:modified xsi:type="dcterms:W3CDTF">2026-03-24T03:15:37Z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eyJoZGlkIjoiYTU3MjAzOGI1ZWM1NjI3YTE0MjIzZDIwNTMwM2NhZjEiLCJ1c2VySWQiOiI2MzQzNTk1MjMifQ==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B26603D3638C423B84AE64373FEA91F3_13</vt:lpwstr>
  </property>
</Properties>
</file>