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17BE8">
      <w:pPr>
        <w:spacing w:before="520"/>
        <w:jc w:val="left"/>
      </w:pPr>
      <w:bookmarkStart w:id="0" w:name="_GoBack"/>
      <w:bookmarkEnd w:id="0"/>
      <w:r>
        <w:rPr>
          <w:rFonts w:ascii="Noto Serif CJK SC" w:hAnsi="Noto Serif CJK SC" w:eastAsia="Noto Serif CJK SC"/>
          <w:b/>
          <w:color w:val="1E4E79"/>
          <w:sz w:val="56"/>
        </w:rPr>
        <w:t>FusionCore</w:t>
      </w:r>
    </w:p>
    <w:p w14:paraId="1CA980A0">
      <w:pPr>
        <w:spacing w:before="40" w:after="120"/>
        <w:jc w:val="left"/>
      </w:pPr>
      <w:r>
        <w:rPr>
          <w:rFonts w:ascii="Noto Serif CJK SC" w:hAnsi="Noto Serif CJK SC" w:eastAsia="Noto Serif CJK SC"/>
          <w:b/>
          <w:color w:val="222222"/>
          <w:sz w:val="44"/>
        </w:rPr>
        <w:t>系统分层与模块职责设计说明书</w:t>
      </w:r>
    </w:p>
    <w:p w14:paraId="7F257E47">
      <w:pPr>
        <w:spacing w:after="320"/>
        <w:jc w:val="left"/>
      </w:pPr>
      <w:r>
        <w:rPr>
          <w:rFonts w:ascii="Noto Sans CJK SC" w:hAnsi="Noto Sans CJK SC" w:eastAsia="Noto Sans CJK SC"/>
          <w:color w:val="5F5F5F"/>
          <w:sz w:val="21"/>
        </w:rPr>
        <w:t>Architecture Design Specification — Baseline Version 1.0</w:t>
      </w:r>
    </w:p>
    <w:tbl>
      <w:tblPr>
        <w:tblStyle w:val="32"/>
        <w:tblW w:w="0" w:type="auto"/>
        <w:tblInd w:w="0" w:type="dxa"/>
        <w:tblBorders>
          <w:top w:val="single" w:color="EAF2F8" w:sz="4" w:space="0"/>
          <w:left w:val="single" w:color="EAF2F8" w:sz="4" w:space="0"/>
          <w:bottom w:val="single" w:color="EAF2F8" w:sz="4" w:space="0"/>
          <w:right w:val="single" w:color="EAF2F8" w:sz="4" w:space="0"/>
          <w:insideH w:val="single" w:color="EAF2F8" w:sz="4" w:space="0"/>
          <w:insideV w:val="single" w:color="EAF2F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"/>
        <w:gridCol w:w="4706"/>
        <w:gridCol w:w="4694"/>
        <w:gridCol w:w="12"/>
      </w:tblGrid>
      <w:tr w14:paraId="7897DF95">
        <w:tblPrEx>
          <w:tblBorders>
            <w:top w:val="single" w:color="EAF2F8" w:sz="4" w:space="0"/>
            <w:left w:val="single" w:color="EAF2F8" w:sz="4" w:space="0"/>
            <w:bottom w:val="single" w:color="EAF2F8" w:sz="4" w:space="0"/>
            <w:right w:val="single" w:color="EAF2F8" w:sz="4" w:space="0"/>
            <w:insideH w:val="single" w:color="EAF2F8" w:sz="4" w:space="0"/>
            <w:insideV w:val="single" w:color="EAF2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8901" w:type="dxa"/>
            <w:gridSpan w:val="3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7775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23"/>
              </w:rPr>
              <w:t>面向半导体设备控制系统、自动化设备控制系统与 WPF 上位机平台的总体架构基线文档。</w:t>
            </w:r>
            <w:r>
              <w:rPr>
                <w:rFonts w:ascii="Noto Sans CJK SC" w:hAnsi="Noto Sans CJK SC" w:eastAsia="Noto Sans CJK SC"/>
                <w:b/>
                <w:color w:val="222222"/>
                <w:sz w:val="23"/>
              </w:rP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本文档定义首版系统分层、模块职责边界、标准映射和设计原则，为后续领域建模、调度设计、FA 接口设计与框架搭建提供统一依据。</w:t>
            </w:r>
          </w:p>
        </w:tc>
      </w:tr>
      <w:tr w14:paraId="11B2C948">
        <w:tblPrEx>
          <w:tblBorders>
            <w:top w:val="single" w:color="DCE6F1" w:sz="8" w:space="0"/>
            <w:left w:val="single" w:color="DCE6F1" w:sz="8" w:space="0"/>
            <w:bottom w:val="single" w:color="DCE6F1" w:sz="8" w:space="0"/>
            <w:right w:val="single" w:color="DCE6F1" w:sz="8" w:space="0"/>
            <w:insideH w:val="single" w:color="DCE6F1" w:sz="8" w:space="0"/>
            <w:insideV w:val="single" w:color="DCE6F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</w:trPr>
        <w:tc>
          <w:tcPr>
            <w:tcW w:w="1928" w:type="dxa"/>
            <w:shd w:val="clear" w:color="auto" w:fill="F2F6FA"/>
          </w:tcPr>
          <w:p w14:paraId="291A58CB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文档编号</w:t>
            </w:r>
          </w:p>
        </w:tc>
        <w:tc>
          <w:tcPr>
            <w:tcW w:w="5443" w:type="dxa"/>
            <w:gridSpan w:val="2"/>
          </w:tcPr>
          <w:p w14:paraId="6DA79CFF">
            <w:r>
              <w:rPr>
                <w:rFonts w:ascii="Noto Sans CJK SC" w:hAnsi="Noto Sans CJK SC" w:eastAsia="Noto Sans CJK SC"/>
                <w:sz w:val="19"/>
              </w:rPr>
              <w:t>FC-ARCH-001</w:t>
            </w:r>
          </w:p>
        </w:tc>
      </w:tr>
      <w:tr w14:paraId="21678814">
        <w:tblPrEx>
          <w:tblBorders>
            <w:top w:val="single" w:color="DCE6F1" w:sz="8" w:space="0"/>
            <w:left w:val="single" w:color="DCE6F1" w:sz="8" w:space="0"/>
            <w:bottom w:val="single" w:color="DCE6F1" w:sz="8" w:space="0"/>
            <w:right w:val="single" w:color="DCE6F1" w:sz="8" w:space="0"/>
            <w:insideH w:val="single" w:color="DCE6F1" w:sz="8" w:space="0"/>
            <w:insideV w:val="single" w:color="DCE6F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</w:trPr>
        <w:tc>
          <w:tcPr>
            <w:tcW w:w="1928" w:type="dxa"/>
            <w:shd w:val="clear" w:color="auto" w:fill="F2F6FA"/>
          </w:tcPr>
          <w:p w14:paraId="12C1E5A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 / 状态</w:t>
            </w:r>
          </w:p>
        </w:tc>
        <w:tc>
          <w:tcPr>
            <w:tcW w:w="5443" w:type="dxa"/>
            <w:gridSpan w:val="2"/>
          </w:tcPr>
          <w:p w14:paraId="17176F8B">
            <w:r>
              <w:rPr>
                <w:rFonts w:ascii="Noto Sans CJK SC" w:hAnsi="Noto Sans CJK SC" w:eastAsia="Noto Sans CJK SC"/>
                <w:sz w:val="19"/>
              </w:rPr>
              <w:t>v1.0 / Draft</w:t>
            </w:r>
          </w:p>
        </w:tc>
      </w:tr>
      <w:tr w14:paraId="325C2332">
        <w:tblPrEx>
          <w:tblBorders>
            <w:top w:val="single" w:color="DCE6F1" w:sz="8" w:space="0"/>
            <w:left w:val="single" w:color="DCE6F1" w:sz="8" w:space="0"/>
            <w:bottom w:val="single" w:color="DCE6F1" w:sz="8" w:space="0"/>
            <w:right w:val="single" w:color="DCE6F1" w:sz="8" w:space="0"/>
            <w:insideH w:val="single" w:color="DCE6F1" w:sz="8" w:space="0"/>
            <w:insideV w:val="single" w:color="DCE6F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</w:trPr>
        <w:tc>
          <w:tcPr>
            <w:tcW w:w="1928" w:type="dxa"/>
            <w:shd w:val="clear" w:color="auto" w:fill="F2F6FA"/>
          </w:tcPr>
          <w:p w14:paraId="59E46A1D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编制日期</w:t>
            </w:r>
          </w:p>
        </w:tc>
        <w:tc>
          <w:tcPr>
            <w:tcW w:w="5443" w:type="dxa"/>
            <w:gridSpan w:val="2"/>
          </w:tcPr>
          <w:p w14:paraId="4A8D4DDE">
            <w:r>
              <w:rPr>
                <w:rFonts w:ascii="Noto Sans CJK SC" w:hAnsi="Noto Sans CJK SC" w:eastAsia="Noto Sans CJK SC"/>
                <w:sz w:val="19"/>
              </w:rPr>
              <w:t>2026-03-20</w:t>
            </w:r>
          </w:p>
        </w:tc>
      </w:tr>
      <w:tr w14:paraId="7C889B16">
        <w:tblPrEx>
          <w:tblBorders>
            <w:top w:val="single" w:color="DCE6F1" w:sz="8" w:space="0"/>
            <w:left w:val="single" w:color="DCE6F1" w:sz="8" w:space="0"/>
            <w:bottom w:val="single" w:color="DCE6F1" w:sz="8" w:space="0"/>
            <w:right w:val="single" w:color="DCE6F1" w:sz="8" w:space="0"/>
            <w:insideH w:val="single" w:color="DCE6F1" w:sz="8" w:space="0"/>
            <w:insideV w:val="single" w:color="DCE6F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</w:trPr>
        <w:tc>
          <w:tcPr>
            <w:tcW w:w="1928" w:type="dxa"/>
            <w:shd w:val="clear" w:color="auto" w:fill="F2F6FA"/>
          </w:tcPr>
          <w:p w14:paraId="7F1FA0C7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编制单位</w:t>
            </w:r>
          </w:p>
        </w:tc>
        <w:tc>
          <w:tcPr>
            <w:tcW w:w="5443" w:type="dxa"/>
            <w:gridSpan w:val="2"/>
          </w:tcPr>
          <w:p w14:paraId="513A4651">
            <w:r>
              <w:rPr>
                <w:rFonts w:ascii="Noto Sans CJK SC" w:hAnsi="Noto Sans CJK SC" w:eastAsia="Noto Sans CJK SC"/>
                <w:sz w:val="19"/>
              </w:rPr>
              <w:t>FusionCore 架构组（首版草案）</w:t>
            </w:r>
          </w:p>
        </w:tc>
      </w:tr>
    </w:tbl>
    <w:p w14:paraId="5D44B43F"/>
    <w:p w14:paraId="5F06AC8C"/>
    <w:p w14:paraId="6C488C8C"/>
    <w:p w14:paraId="62682752"/>
    <w:p w14:paraId="30F64393">
      <w:pPr>
        <w:jc w:val="left"/>
      </w:pPr>
      <w:r>
        <w:rPr>
          <w:rFonts w:ascii="Noto Sans CJK SC" w:hAnsi="Noto Sans CJK SC" w:eastAsia="Noto Sans CJK SC"/>
          <w:color w:val="5F5F5F"/>
          <w:sz w:val="19"/>
        </w:rPr>
        <w:t>适用级别：总体架构基线 / 用于后续详细设计分解</w:t>
      </w:r>
    </w:p>
    <w:p w14:paraId="7F22DE70">
      <w:pPr>
        <w:jc w:val="left"/>
      </w:pPr>
      <w:r>
        <w:rPr>
          <w:rFonts w:ascii="Noto Sans CJK SC" w:hAnsi="Noto Sans CJK SC" w:eastAsia="Noto Sans CJK SC"/>
          <w:color w:val="5F5F5F"/>
          <w:sz w:val="18"/>
        </w:rPr>
        <w:t>说明：本文件基于用户提供的 SEMI 资料进行架构归纳与设计，不替代标准原文；进入实现阶段前，应结合正式授权文本完成条款级核对。</w:t>
      </w:r>
    </w:p>
    <w:p w14:paraId="6F08CD7B">
      <w:r>
        <w:br w:type="page"/>
      </w:r>
    </w:p>
    <w:p w14:paraId="643616EB">
      <w:pPr>
        <w:pStyle w:val="3"/>
      </w:pPr>
      <w:r>
        <w:rPr>
          <w:rFonts w:ascii="Noto Sans CJK SC" w:hAnsi="Noto Sans CJK SC" w:eastAsia="Noto Sans CJK SC"/>
        </w:rPr>
        <w:t>目录</w:t>
      </w:r>
    </w:p>
    <w:p w14:paraId="05B819E4">
      <w:pPr>
        <w:spacing w:after="60"/>
      </w:pPr>
      <w:r>
        <w:rPr>
          <w:rFonts w:ascii="Noto Sans CJK SC" w:hAnsi="Noto Sans CJK SC" w:eastAsia="Noto Sans CJK SC"/>
          <w:sz w:val="21"/>
        </w:rPr>
        <w:t>1  文档控制</w:t>
      </w:r>
    </w:p>
    <w:p w14:paraId="4A99D3EF">
      <w:pPr>
        <w:spacing w:after="60"/>
      </w:pPr>
      <w:r>
        <w:rPr>
          <w:rFonts w:ascii="Noto Sans CJK SC" w:hAnsi="Noto Sans CJK SC" w:eastAsia="Noto Sans CJK SC"/>
          <w:sz w:val="21"/>
        </w:rPr>
        <w:t>2  引言</w:t>
      </w:r>
    </w:p>
    <w:p w14:paraId="226D93F4">
      <w:pPr>
        <w:spacing w:after="60"/>
      </w:pPr>
      <w:r>
        <w:rPr>
          <w:rFonts w:ascii="Noto Sans CJK SC" w:hAnsi="Noto Sans CJK SC" w:eastAsia="Noto Sans CJK SC"/>
          <w:sz w:val="21"/>
        </w:rPr>
        <w:t>3  参考与引用</w:t>
      </w:r>
    </w:p>
    <w:p w14:paraId="03032574">
      <w:pPr>
        <w:spacing w:after="60"/>
      </w:pPr>
      <w:r>
        <w:rPr>
          <w:rFonts w:ascii="Noto Sans CJK SC" w:hAnsi="Noto Sans CJK SC" w:eastAsia="Noto Sans CJK SC"/>
          <w:sz w:val="21"/>
        </w:rPr>
        <w:t>4  业务背景与架构驱动</w:t>
      </w:r>
    </w:p>
    <w:p w14:paraId="64CAF7E9">
      <w:pPr>
        <w:spacing w:after="60"/>
      </w:pPr>
      <w:r>
        <w:rPr>
          <w:rFonts w:ascii="Noto Sans CJK SC" w:hAnsi="Noto Sans CJK SC" w:eastAsia="Noto Sans CJK SC"/>
          <w:sz w:val="21"/>
        </w:rPr>
        <w:t>5  设计原则</w:t>
      </w:r>
    </w:p>
    <w:p w14:paraId="2161464F">
      <w:pPr>
        <w:spacing w:after="60"/>
      </w:pPr>
      <w:r>
        <w:rPr>
          <w:rFonts w:ascii="Noto Sans CJK SC" w:hAnsi="Noto Sans CJK SC" w:eastAsia="Noto Sans CJK SC"/>
          <w:sz w:val="21"/>
        </w:rPr>
        <w:t>6  总体架构设计</w:t>
      </w:r>
    </w:p>
    <w:p w14:paraId="22AA2AE3">
      <w:pPr>
        <w:spacing w:after="60"/>
      </w:pPr>
      <w:r>
        <w:rPr>
          <w:rFonts w:ascii="Noto Sans CJK SC" w:hAnsi="Noto Sans CJK SC" w:eastAsia="Noto Sans CJK SC"/>
          <w:sz w:val="21"/>
        </w:rPr>
        <w:t>7  核心模块职责设计</w:t>
      </w:r>
    </w:p>
    <w:p w14:paraId="65EAC6CE">
      <w:pPr>
        <w:spacing w:after="60"/>
      </w:pPr>
      <w:r>
        <w:rPr>
          <w:rFonts w:ascii="Noto Sans CJK SC" w:hAnsi="Noto Sans CJK SC" w:eastAsia="Noto Sans CJK SC"/>
          <w:sz w:val="21"/>
        </w:rPr>
        <w:t>8  关键边界与责任划分</w:t>
      </w:r>
    </w:p>
    <w:p w14:paraId="694DC2E1">
      <w:pPr>
        <w:spacing w:after="60"/>
      </w:pPr>
      <w:r>
        <w:rPr>
          <w:rFonts w:ascii="Noto Sans CJK SC" w:hAnsi="Noto Sans CJK SC" w:eastAsia="Noto Sans CJK SC"/>
          <w:sz w:val="21"/>
        </w:rPr>
        <w:t>9  标准映射与一期覆盖范围</w:t>
      </w:r>
    </w:p>
    <w:p w14:paraId="7AFD2251">
      <w:pPr>
        <w:spacing w:after="60"/>
      </w:pPr>
      <w:r>
        <w:rPr>
          <w:rFonts w:ascii="Noto Sans CJK SC" w:hAnsi="Noto Sans CJK SC" w:eastAsia="Noto Sans CJK SC"/>
          <w:sz w:val="21"/>
        </w:rPr>
        <w:t>10 风险、约束与未决问题</w:t>
      </w:r>
    </w:p>
    <w:p w14:paraId="5C3407E2">
      <w:pPr>
        <w:spacing w:after="60"/>
      </w:pPr>
      <w:r>
        <w:rPr>
          <w:rFonts w:ascii="Noto Sans CJK SC" w:hAnsi="Noto Sans CJK SC" w:eastAsia="Noto Sans CJK SC"/>
          <w:sz w:val="21"/>
        </w:rPr>
        <w:t>11 后续工作与输出物</w:t>
      </w:r>
    </w:p>
    <w:p w14:paraId="60C71998">
      <w:pPr>
        <w:spacing w:after="60"/>
      </w:pPr>
      <w:r>
        <w:rPr>
          <w:rFonts w:ascii="Noto Sans CJK SC" w:hAnsi="Noto Sans CJK SC" w:eastAsia="Noto Sans CJK SC"/>
          <w:sz w:val="21"/>
        </w:rPr>
        <w:t>附录 A 术语与缩略语</w:t>
      </w:r>
    </w:p>
    <w:tbl>
      <w:tblPr>
        <w:tblStyle w:val="32"/>
        <w:tblW w:w="0" w:type="auto"/>
        <w:jc w:val="center"/>
        <w:tblBorders>
          <w:top w:val="single" w:color="E8EEF5" w:sz="6" w:space="0"/>
          <w:left w:val="single" w:color="E8EEF5" w:sz="6" w:space="0"/>
          <w:bottom w:val="single" w:color="E8EEF5" w:sz="6" w:space="0"/>
          <w:right w:val="single" w:color="E8EEF5" w:sz="6" w:space="0"/>
          <w:insideH w:val="single" w:color="E8EEF5" w:sz="6" w:space="0"/>
          <w:insideV w:val="single" w:color="E8EEF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4EA9F48">
        <w:tblPrEx>
          <w:tblBorders>
            <w:top w:val="single" w:color="E8EEF5" w:sz="6" w:space="0"/>
            <w:left w:val="single" w:color="E8EEF5" w:sz="6" w:space="0"/>
            <w:bottom w:val="single" w:color="E8EEF5" w:sz="6" w:space="0"/>
            <w:right w:val="single" w:color="E8EEF5" w:sz="6" w:space="0"/>
            <w:insideH w:val="single" w:color="E8EEF5" w:sz="6" w:space="0"/>
            <w:insideV w:val="single" w:color="E8EEF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7FAFC"/>
          </w:tcPr>
          <w:p w14:paraId="408A30A9">
            <w:pPr>
              <w:jc w:val="left"/>
            </w:pPr>
            <w:r>
              <w:rPr>
                <w:rFonts w:ascii="Noto Sans CJK SC" w:hAnsi="Noto Sans CJK SC" w:eastAsia="Noto Sans CJK SC"/>
                <w:color w:val="5F5F5F"/>
                <w:sz w:val="18"/>
              </w:rPr>
              <w:t>说明：本版目录为静态目录，用于首版评审。进入正式发布阶段时，可切换为自动目录与编号模板。</w:t>
            </w:r>
          </w:p>
        </w:tc>
      </w:tr>
    </w:tbl>
    <w:p w14:paraId="703A30CA">
      <w:pPr>
        <w:pStyle w:val="3"/>
      </w:pPr>
      <w:r>
        <w:rPr>
          <w:rFonts w:ascii="Noto Sans CJK SC" w:hAnsi="Noto Sans CJK SC" w:eastAsia="Noto Sans CJK SC"/>
        </w:rPr>
        <w:t>1  文档控制</w:t>
      </w:r>
    </w:p>
    <w:p w14:paraId="1462490E">
      <w:pPr>
        <w:pStyle w:val="4"/>
      </w:pPr>
      <w:r>
        <w:rPr>
          <w:rFonts w:ascii="Noto Sans CJK SC" w:hAnsi="Noto Sans CJK SC" w:eastAsia="Noto Sans CJK SC"/>
        </w:rPr>
        <w:t>1.1 文档基本信息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5083D2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893E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文档名称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3C5D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FusionCore 系统分层与模块职责设计说明书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ED72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文档编号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9225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FC-ARCH-001</w:t>
            </w:r>
          </w:p>
        </w:tc>
      </w:tr>
      <w:tr w14:paraId="66F95ED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3CA5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项目名称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60DF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FusionCore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FF41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版本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A943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v1.0</w:t>
            </w:r>
          </w:p>
        </w:tc>
      </w:tr>
      <w:tr w14:paraId="3738A53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93E8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文档状态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4689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Draft（架构基线版）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80C9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密级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99FA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内部设计稿</w:t>
            </w:r>
          </w:p>
        </w:tc>
      </w:tr>
      <w:tr w14:paraId="397CAC9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E66E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编制日期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401A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2026-03-20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9784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基线日期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875A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2026-03-20</w:t>
            </w:r>
          </w:p>
        </w:tc>
      </w:tr>
      <w:tr w14:paraId="691A6CE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5ADF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适用阶段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F47A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总体架构设计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F558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下一阶段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20A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领域模型 / 调度设计 / FA 设计</w:t>
            </w:r>
          </w:p>
        </w:tc>
      </w:tr>
      <w:tr w14:paraId="7B0E3DC3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8293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适用对象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9D3A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架构组、模块负责人、集成组、UI 组、FA 组</w:t>
            </w:r>
          </w:p>
        </w:tc>
        <w:tc>
          <w:tcPr>
            <w:tcW w:w="1757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DE61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适用平台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8107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9"/>
              </w:rPr>
              <w:t>Windows / WPF / 设备软件宿主</w:t>
            </w:r>
          </w:p>
        </w:tc>
      </w:tr>
    </w:tbl>
    <w:p w14:paraId="11EFDD51">
      <w:pPr>
        <w:pStyle w:val="4"/>
      </w:pPr>
      <w:r>
        <w:rPr>
          <w:rFonts w:ascii="Noto Sans CJK SC" w:hAnsi="Noto Sans CJK SC" w:eastAsia="Noto Sans CJK SC"/>
        </w:rPr>
        <w:t>1.2 修订记录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0F4889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190F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w="153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8067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日期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89A2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修改内容</w:t>
            </w:r>
          </w:p>
        </w:tc>
        <w:tc>
          <w:tcPr>
            <w:tcW w:w="23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D77F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编制/修改人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603A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 w14:paraId="1B913C08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867A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55B1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2026-03-20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C8DD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完成总体结构与目录设计，明确首版章节范围。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48A8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FusionCore 架构组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8BA7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工作草稿</w:t>
            </w:r>
          </w:p>
        </w:tc>
      </w:tr>
      <w:tr w14:paraId="13E7BFC8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82B5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w="1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B825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2026-03-20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04F3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完成首版系统分层、模块职责、边界与标准映射基线。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6E1A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FusionCore 架构组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393B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提交评审</w:t>
            </w:r>
          </w:p>
        </w:tc>
      </w:tr>
    </w:tbl>
    <w:p w14:paraId="5F2C807C">
      <w:pPr>
        <w:pStyle w:val="4"/>
      </w:pPr>
      <w:r>
        <w:rPr>
          <w:rFonts w:ascii="Noto Sans CJK SC" w:hAnsi="Noto Sans CJK SC" w:eastAsia="Noto Sans CJK SC"/>
        </w:rPr>
        <w:t>1.3 审阅与批准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803B40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F494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AA4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责任人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31F1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64D8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 w14:paraId="53F2994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5111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架构负责人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96E0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待定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D0B3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待审阅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6429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确认分层与边界</w:t>
            </w:r>
          </w:p>
        </w:tc>
      </w:tr>
      <w:tr w14:paraId="2C05648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E675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设备控制负责人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7066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待定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2F3C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待审阅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5925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确认调度/模块边界</w:t>
            </w:r>
          </w:p>
        </w:tc>
      </w:tr>
      <w:tr w14:paraId="1EB88FA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F94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FA/标准接口负责人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42D4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待定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7267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待审阅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D241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确认 SECS/GEM 与 EAP 边界</w:t>
            </w:r>
          </w:p>
        </w:tc>
      </w:tr>
    </w:tbl>
    <w:p w14:paraId="39A64661">
      <w:pPr>
        <w:pStyle w:val="3"/>
      </w:pPr>
      <w:r>
        <w:rPr>
          <w:rFonts w:ascii="Noto Sans CJK SC" w:hAnsi="Noto Sans CJK SC" w:eastAsia="Noto Sans CJK SC"/>
        </w:rPr>
        <w:t>2  引言</w:t>
      </w:r>
    </w:p>
    <w:p w14:paraId="05C65E57">
      <w:pPr>
        <w:pStyle w:val="4"/>
      </w:pPr>
      <w:r>
        <w:rPr>
          <w:rFonts w:ascii="Noto Sans CJK SC" w:hAnsi="Noto Sans CJK SC" w:eastAsia="Noto Sans CJK SC"/>
        </w:rPr>
        <w:t>2.1 编写目的</w:t>
      </w:r>
    </w:p>
    <w:p w14:paraId="07E3A82A">
      <w:r>
        <w:rPr>
          <w:rFonts w:ascii="Noto Sans CJK SC" w:hAnsi="Noto Sans CJK SC" w:eastAsia="Noto Sans CJK SC"/>
        </w:rPr>
        <w:t>本文件用于定义 FusionCore 的总体架构基线，明确系统分层、模块边界、依赖方向和标准映射，为后续详细设计、分工和框架搭建提供统一基础。</w:t>
      </w:r>
    </w:p>
    <w:p w14:paraId="327AADBD">
      <w:r>
        <w:rPr>
          <w:rFonts w:ascii="Noto Sans CJK SC" w:hAnsi="Noto Sans CJK SC" w:eastAsia="Noto Sans CJK SC"/>
        </w:rPr>
        <w:t>本文件的重点不是给出代码实现细节，而是给出足够稳定的架构骨架，使控制域、调度域、工厂自动化域、设备能力域和界面域在后续开发中能够长期演进而不相互侵入。</w:t>
      </w:r>
    </w:p>
    <w:p w14:paraId="1C8BEC58">
      <w:pPr>
        <w:pStyle w:val="4"/>
      </w:pPr>
      <w:r>
        <w:rPr>
          <w:rFonts w:ascii="Noto Sans CJK SC" w:hAnsi="Noto Sans CJK SC" w:eastAsia="Noto Sans CJK SC"/>
        </w:rPr>
        <w:t>2.2 适用范围</w:t>
      </w:r>
    </w:p>
    <w:p w14:paraId="7F2284DD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适用于半导体设备控制系统、自动化设备控制系统及基于 WPF 的设备上位机平台。</w:t>
      </w:r>
    </w:p>
    <w:p w14:paraId="2A1CCD54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适用于存在 PM / TM / CM / BM 等多模块协同、配方驱动、物料流转、报警与异常恢复、FA/EAP 通讯等需求的设备。</w:t>
      </w:r>
    </w:p>
    <w:p w14:paraId="36670B5E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适用于需要按 SEMI 标准组织设备软件对象、状态、作业、物料与人机界面的场景。</w:t>
      </w:r>
    </w:p>
    <w:p w14:paraId="710A7BEE">
      <w:pPr>
        <w:pStyle w:val="4"/>
      </w:pPr>
      <w:r>
        <w:rPr>
          <w:rFonts w:ascii="Noto Sans CJK SC" w:hAnsi="Noto Sans CJK SC" w:eastAsia="Noto Sans CJK SC"/>
        </w:rPr>
        <w:t>2.3 非目标</w:t>
      </w:r>
    </w:p>
    <w:p w14:paraId="3C657156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本版不定义 SECS-II 报文字段级映射，不替代具体标准实现规范。</w:t>
      </w:r>
    </w:p>
    <w:p w14:paraId="6E577446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本版不定义所有领域对象的最终属性集合；详细对象模型将在后续《FusionDomain 领域模型设计》中完成。</w:t>
      </w:r>
    </w:p>
    <w:p w14:paraId="448A4AAB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本版不定义 UI 逐页原型、调度算法细节或数据库表结构。</w:t>
      </w:r>
    </w:p>
    <w:p w14:paraId="1F7C99F0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本版不覆盖多设备群控、厂级 MES 逻辑或第三方商业驱动的兼容清单。</w:t>
      </w:r>
    </w:p>
    <w:p w14:paraId="5A1AB44B">
      <w:pPr>
        <w:pStyle w:val="3"/>
      </w:pPr>
      <w:r>
        <w:rPr>
          <w:rFonts w:ascii="Noto Sans CJK SC" w:hAnsi="Noto Sans CJK SC" w:eastAsia="Noto Sans CJK SC"/>
        </w:rPr>
        <w:t>3  参考与引用</w:t>
      </w:r>
    </w:p>
    <w:p w14:paraId="78BC237D">
      <w:pPr>
        <w:pStyle w:val="4"/>
      </w:pPr>
      <w:r>
        <w:rPr>
          <w:rFonts w:ascii="Noto Sans CJK SC" w:hAnsi="Noto Sans CJK SC" w:eastAsia="Noto Sans CJK SC"/>
        </w:rPr>
        <w:t>3.1 规范性引用（Normative References）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DF7476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82BB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C808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标准</w:t>
            </w:r>
          </w:p>
        </w:tc>
        <w:tc>
          <w:tcPr>
            <w:tcW w:w="266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C89B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主题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A372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在本架构中的用途</w:t>
            </w:r>
          </w:p>
        </w:tc>
      </w:tr>
      <w:tr w14:paraId="02C8098E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599E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20D4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E30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B834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Generic Equipment Model (GEM)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EBA2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定义设备对外通信、控制状态、事件/报告组织的基线。</w:t>
            </w:r>
          </w:p>
        </w:tc>
      </w:tr>
      <w:tr w14:paraId="7330BD6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AC3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172E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E37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578F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High-Speed SECS Message Services (HSMS)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0D02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作为 SECS/GEM 连接与会话承载基础。</w:t>
            </w:r>
          </w:p>
        </w:tc>
      </w:tr>
      <w:tr w14:paraId="33E9FD78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4CFA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1135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E40 / E40.1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DD4A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Processing Management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C23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 Process Job、队列与加工管理语义。</w:t>
            </w:r>
          </w:p>
        </w:tc>
      </w:tr>
      <w:tr w14:paraId="1B30AC3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E690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6D71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E42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B457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Management Standard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D267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区分配方管理与配方执行，作为 Recipe 体系基线。</w:t>
            </w:r>
          </w:p>
        </w:tc>
      </w:tr>
      <w:tr w14:paraId="4B3408CE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D3A1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5C85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E87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47D6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Carrier Management Standard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0292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 Carrier、Load Port、Reservation、Access Mode 等语义。</w:t>
            </w:r>
          </w:p>
        </w:tc>
      </w:tr>
      <w:tr w14:paraId="33DDC05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BB01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1D8B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E90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4C4A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Substrate Tracking / Management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4DFE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 Substrate 对象、位置与状态跟踪语义。</w:t>
            </w:r>
          </w:p>
        </w:tc>
      </w:tr>
      <w:tr w14:paraId="4CF1A3D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F267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N-07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2FD5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E94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3184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Control Job Management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C370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 Control Job 及其与 Process Job 的关系。</w:t>
            </w:r>
          </w:p>
        </w:tc>
      </w:tr>
      <w:tr w14:paraId="571985A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2948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N-08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70A0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E95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0D14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Human Interface for Semiconductor Manufacturing Equipment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F3BE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作为 WPF HMI 的结构与交互基准。</w:t>
            </w:r>
          </w:p>
        </w:tc>
      </w:tr>
      <w:tr w14:paraId="3B00FAE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9C30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N-09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FC2B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E84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355B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Enhanced Carrier Handoff PI/O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D431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作为 Carrier handoff / AMHS 相关边界预留。</w:t>
            </w:r>
          </w:p>
        </w:tc>
      </w:tr>
    </w:tbl>
    <w:p w14:paraId="3FF33029">
      <w:pPr>
        <w:pStyle w:val="4"/>
      </w:pPr>
      <w:r>
        <w:rPr>
          <w:rFonts w:ascii="Noto Sans CJK SC" w:hAnsi="Noto Sans CJK SC" w:eastAsia="Noto Sans CJK SC"/>
        </w:rPr>
        <w:t>3.2 资料性引用（Informative References）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5F5B63CE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F0D0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182D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资料</w:t>
            </w:r>
          </w:p>
        </w:tc>
        <w:tc>
          <w:tcPr>
            <w:tcW w:w="260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F64D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主题</w:t>
            </w:r>
          </w:p>
        </w:tc>
        <w:tc>
          <w:tcPr>
            <w:tcW w:w="289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9107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在本架构中的用途</w:t>
            </w:r>
          </w:p>
        </w:tc>
      </w:tr>
      <w:tr w14:paraId="32CD00E1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2293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9C7F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E98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F2A9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Object-Based Equipment Model (OBEM)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807E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为“设备控制 / 作业管理 / 物料管理 / 事件与异常管理”的功能分解提供参考。</w:t>
            </w:r>
          </w:p>
        </w:tc>
      </w:tr>
      <w:tr w14:paraId="6BE1A2C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4045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5BC0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E120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8217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Common Equipment Model (CEM)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7CB7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 Equipment / Module / Subsystem / MaterialLocation 的结构建模提供参考。</w:t>
            </w:r>
          </w:p>
        </w:tc>
      </w:tr>
      <w:tr w14:paraId="14D981F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58B8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8471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E125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7EF6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Equipment Self Description (EqSD)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DE4C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为设备自描述、参数/事件/异常元数据预留提供参考。</w:t>
            </w:r>
          </w:p>
        </w:tc>
      </w:tr>
      <w:tr w14:paraId="033BFB33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CFF0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E3A6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E134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7F70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Data Collection Management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6A77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 trace、数据采集和性能状态获取预留提供参考。</w:t>
            </w:r>
          </w:p>
        </w:tc>
      </w:tr>
      <w:tr w14:paraId="6CFF539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B558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4890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E139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B8B0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and Parameter Management (RaP)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21A2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 FICS/EAP 与设备之间的 Recipe/PDE 协作提供参考。</w:t>
            </w:r>
          </w:p>
        </w:tc>
      </w:tr>
      <w:tr w14:paraId="38B4A683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92BC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53AB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E116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9D87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Equipment Performance Tracking (EPT)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812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为设备/模块级性能跟踪与模块粒度状态统计提供参考。</w:t>
            </w:r>
          </w:p>
        </w:tc>
      </w:tr>
      <w:tr w14:paraId="098CB25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C29D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I-07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4894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300mm Operational Flowcharts and Scenarios V10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5DCD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300mm 工厂典型流程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847C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为初始化、Move In/Out、Queue、Product Processing 场景组织提供参考。</w:t>
            </w:r>
          </w:p>
        </w:tc>
      </w:tr>
    </w:tbl>
    <w:p w14:paraId="1D89447F">
      <w:r>
        <w:rPr>
          <w:rFonts w:ascii="Noto Sans CJK SC" w:hAnsi="Noto Sans CJK SC" w:eastAsia="Noto Sans CJK SC"/>
          <w:color w:val="5F5F5F"/>
          <w:sz w:val="19"/>
        </w:rPr>
        <w:t>说明：规范性引用用于定义首版架构边界；资料性引用用于解释设计取向和为后续能力扩展预留接口。</w:t>
      </w:r>
    </w:p>
    <w:p w14:paraId="3C941695">
      <w:pPr>
        <w:pStyle w:val="3"/>
      </w:pPr>
      <w:r>
        <w:rPr>
          <w:rFonts w:ascii="Noto Sans CJK SC" w:hAnsi="Noto Sans CJK SC" w:eastAsia="Noto Sans CJK SC"/>
        </w:rPr>
        <w:t>4  业务背景与架构驱动</w:t>
      </w:r>
    </w:p>
    <w:p w14:paraId="74162527">
      <w:pPr>
        <w:pStyle w:val="4"/>
      </w:pPr>
      <w:r>
        <w:rPr>
          <w:rFonts w:ascii="Noto Sans CJK SC" w:hAnsi="Noto Sans CJK SC" w:eastAsia="Noto Sans CJK SC"/>
        </w:rPr>
        <w:t>4.1 目标场景</w:t>
      </w:r>
    </w:p>
    <w:p w14:paraId="4AF99492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半导体单机设备：具备载具接入、物料跟踪、配方执行、报警恢复和 EAP/Host 对接能力。</w:t>
      </w:r>
    </w:p>
    <w:p w14:paraId="3404F3E1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复杂多模块设备：设备内部存在 PM / TM / CM / BM 及其他模块，由不同负责人分别开发与联调。</w:t>
      </w:r>
    </w:p>
    <w:p w14:paraId="1DCF0FBB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自动化设备与通用上位机：要求 UI、控制、通信、日志、配置和仿真可复用。</w:t>
      </w:r>
    </w:p>
    <w:p w14:paraId="494EEDC3">
      <w:pPr>
        <w:pStyle w:val="4"/>
      </w:pPr>
      <w:r>
        <w:rPr>
          <w:rFonts w:ascii="Noto Sans CJK SC" w:hAnsi="Noto Sans CJK SC" w:eastAsia="Noto Sans CJK SC"/>
        </w:rPr>
        <w:t>4.2 关键痛点</w:t>
      </w:r>
    </w:p>
    <w:p w14:paraId="23144E5C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如果没有稳定的领域模型，物料、作业、配方、报警和状态会分散在 UI、调度和模块代码中，最终导致系统难以演进。</w:t>
      </w:r>
    </w:p>
    <w:p w14:paraId="20476E76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如果把 SECS/GEM、EAP 接口直接混入控制逻辑，会使设备内部逻辑与工厂自动化接口高度耦合。</w:t>
      </w:r>
    </w:p>
    <w:p w14:paraId="718495B3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如果缺乏统一的模块抽象，PM/TM/CM/BM 只能按项目临时组织，难以支撑多人并行、仿真、复用和标准映射。</w:t>
      </w:r>
    </w:p>
    <w:p w14:paraId="1FEAD3CC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如果没有统一的调度层，配方解析、路径规划、异常恢复和物料导出策略会被分散到模块内部。</w:t>
      </w:r>
    </w:p>
    <w:p w14:paraId="231EC5A1">
      <w:pPr>
        <w:pStyle w:val="4"/>
      </w:pPr>
      <w:r>
        <w:rPr>
          <w:rFonts w:ascii="Noto Sans CJK SC" w:hAnsi="Noto Sans CJK SC" w:eastAsia="Noto Sans CJK SC"/>
        </w:rPr>
        <w:t>4.3 来自 SEMI 的架构驱动因素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992BC9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389A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驱动项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18C8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主要参考</w:t>
            </w:r>
          </w:p>
        </w:tc>
        <w:tc>
          <w:tcPr>
            <w:tcW w:w="272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EDB7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架构含义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C120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FusionCore 对应决策</w:t>
            </w:r>
          </w:p>
        </w:tc>
      </w:tr>
      <w:tr w14:paraId="5B981D2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9155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通信与对外控制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0EDC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E30 / E37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51A0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设备需要统一的通信状态、控制状态、事件与报告组织。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FB29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将 FusionFA 独立为工厂自动化层，而不是并入通用通信层。</w:t>
            </w:r>
          </w:p>
        </w:tc>
      </w:tr>
      <w:tr w14:paraId="5A470C7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3C82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载具与物料输入输出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DA97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E87 / E84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E1CA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Carrier / Load Port / Reservation / Access Mode 是独立语义。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DE91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将 Carrier/LoadPort 建模放入 Domain + FA，相关 handoff 能力在能力层承载。</w:t>
            </w:r>
          </w:p>
        </w:tc>
      </w:tr>
      <w:tr w14:paraId="5CF4B1C1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B61F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Substrate 跟踪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99AE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E90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E29A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物料对象、位置状态和历史需要统一建模。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3CE0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建立 Material/Carrier/Substrate 统一真相源，不再散落在模块内。</w:t>
            </w:r>
          </w:p>
        </w:tc>
      </w:tr>
      <w:tr w14:paraId="168D3C2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B197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作业与队列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2490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E40 / E94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F6F2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 Job 与 Control Job 需要显式区分，队列与执行关系清晰。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BAD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将 FusionScheduler 作为核心编排层，并将 PJ/CJ 纳入统一模型。</w:t>
            </w:r>
          </w:p>
        </w:tc>
      </w:tr>
      <w:tr w14:paraId="1750108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912A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配方管理与执行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5EEC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E42 / E139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0DF2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配方管理、配方执行与工厂侧协作应分离。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0DF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将 Recipe Management 与 Recipe Execution 明确拆分。</w:t>
            </w:r>
          </w:p>
        </w:tc>
      </w:tr>
      <w:tr w14:paraId="625A9C8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5137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设备结构外部视图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5024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E98 / E120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2C17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复杂设备需要 Equipment / Module / Subsystem 的可描述结构。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40F4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引入 FusionEquipment 作为设备模块体系承载层。</w:t>
            </w:r>
          </w:p>
        </w:tc>
      </w:tr>
      <w:tr w14:paraId="043B81C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7795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人机界面标准化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8728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E95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9BB1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UI 应以功能区、导航、标题/信息/命令面板组织，而非任意页面拼接。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2FE8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FusionUI 采用壳层 + 功能区 + 标准导航模型。</w:t>
            </w:r>
          </w:p>
        </w:tc>
      </w:tr>
    </w:tbl>
    <w:p w14:paraId="4522CEDD">
      <w:pPr>
        <w:pStyle w:val="3"/>
      </w:pPr>
      <w:r>
        <w:rPr>
          <w:rFonts w:ascii="Noto Sans CJK SC" w:hAnsi="Noto Sans CJK SC" w:eastAsia="Noto Sans CJK SC"/>
        </w:rPr>
        <w:t>5  设计原则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30DBEB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3862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原则</w:t>
            </w:r>
          </w:p>
        </w:tc>
        <w:tc>
          <w:tcPr>
            <w:tcW w:w="6973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A32D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 w14:paraId="6BDAB2B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D0FC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P-01 标准驱动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03E46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系统对外语义和对象命名尽量与 SEMI 一致，内部抽象优先兼容标准对象，再扩展项目特有逻辑。</w:t>
            </w:r>
          </w:p>
        </w:tc>
      </w:tr>
      <w:tr w14:paraId="51BB1FF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C70E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P-02 业务先于界面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5BD0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WPF 仅作为表现层，核心资产应沉淀在领域模型、调度模型、FA 模型和设备能力抽象中。</w:t>
            </w:r>
          </w:p>
        </w:tc>
      </w:tr>
      <w:tr w14:paraId="24C0665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61B5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P-03 域模型统一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4EA1F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Material / Carrier / Job / Recipe / Alarm / Event / Module 等对象在系统中只允许存在一套统一语义源。</w:t>
            </w:r>
          </w:p>
        </w:tc>
      </w:tr>
      <w:tr w14:paraId="6C1CDD9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2DED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P-04 编排与执行分离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1B5A3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Scheduler 负责“决定何时做什么”，PM/TM/CM/BM 等模块负责“如何执行动作”。</w:t>
            </w:r>
          </w:p>
        </w:tc>
      </w:tr>
      <w:tr w14:paraId="0F32FFB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2C74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P-05 工厂自动化解耦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FC266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SECS/GEM、EAP 接口和内部设备控制逻辑分离，避免标准消息直接驱动底层设备实现。</w:t>
            </w:r>
          </w:p>
        </w:tc>
      </w:tr>
      <w:tr w14:paraId="7DB63FF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63C5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P-06 设备模块化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F4DCD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平台底座和设备模块实现分离，支持 PM/TM/CM/BM 由不同负责人并行开发。</w:t>
            </w:r>
          </w:p>
        </w:tc>
      </w:tr>
      <w:tr w14:paraId="2B181813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2644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P-07 可仿真、可诊断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727B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从第一版开始预留虚拟设备、模拟 IO/轴/相机/SECS 会话与运行时诊断能力。</w:t>
            </w:r>
          </w:p>
        </w:tc>
      </w:tr>
      <w:tr w14:paraId="2916E72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BE4B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P-08 可扩展、可裁剪</w:t>
            </w:r>
          </w:p>
        </w:tc>
        <w:tc>
          <w:tcPr>
            <w:tcW w:w="69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A26E7"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标准能力、协议、驱动、算法、页面和模块实现都应支持插件或可替换实现。</w:t>
            </w:r>
          </w:p>
        </w:tc>
      </w:tr>
    </w:tbl>
    <w:p w14:paraId="1A39D928">
      <w:pPr>
        <w:pStyle w:val="3"/>
      </w:pPr>
      <w:r>
        <w:rPr>
          <w:rFonts w:ascii="Noto Sans CJK SC" w:hAnsi="Noto Sans CJK SC" w:eastAsia="Noto Sans CJK SC"/>
        </w:rPr>
        <w:t>6  总体架构设计</w:t>
      </w:r>
    </w:p>
    <w:p w14:paraId="71B164D9">
      <w:pPr>
        <w:pStyle w:val="4"/>
      </w:pPr>
      <w:r>
        <w:rPr>
          <w:rFonts w:ascii="Noto Sans CJK SC" w:hAnsi="Noto Sans CJK SC" w:eastAsia="Noto Sans CJK SC"/>
        </w:rPr>
        <w:t>6.1 系统上下文</w:t>
      </w:r>
    </w:p>
    <w:p w14:paraId="15F87290">
      <w:r>
        <w:rPr>
          <w:rFonts w:ascii="Noto Sans CJK SC" w:hAnsi="Noto Sans CJK SC" w:eastAsia="Noto Sans CJK SC"/>
        </w:rPr>
        <w:t>FusionCore 位于“设备人员与 HMI”与“工厂自动化系统”之间，既要承接设备内部控制，又要提供对外标准化接口。其内部必须同时组织 UI、应用编排、领域对象、生产调度、设备能力、FA 接口及基础设施能力。</w:t>
      </w:r>
    </w:p>
    <w:p w14:paraId="620D97ED">
      <w:r>
        <w:drawing>
          <wp:inline distT="0" distB="0" distL="114300" distR="114300">
            <wp:extent cx="5939790" cy="29698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E3B5">
      <w:pPr>
        <w:pStyle w:val="164"/>
      </w:pPr>
      <w:r>
        <w:rPr>
          <w:rFonts w:ascii="Noto Sans CJK SC" w:hAnsi="Noto Sans CJK SC" w:eastAsia="Noto Sans CJK SC"/>
        </w:rPr>
        <w:t>图 1  FusionCore 系统上下文图</w:t>
      </w:r>
    </w:p>
    <w:p w14:paraId="3A04817C">
      <w:pPr>
        <w:pStyle w:val="4"/>
      </w:pPr>
      <w:r>
        <w:rPr>
          <w:rFonts w:ascii="Noto Sans CJK SC" w:hAnsi="Noto Sans CJK SC" w:eastAsia="Noto Sans CJK SC"/>
        </w:rPr>
        <w:t>6.2 分层架构</w:t>
      </w:r>
    </w:p>
    <w:p w14:paraId="19C8B01D">
      <w:r>
        <w:rPr>
          <w:rFonts w:ascii="Noto Sans CJK SC" w:hAnsi="Noto Sans CJK SC" w:eastAsia="Noto Sans CJK SC"/>
        </w:rPr>
        <w:t>FusionCore 采用七层架构：表现层、应用层、领域层、编排层、设备能力层、工厂自动化层、基础设施层。每一层只对上一层暴露经过抽象的能力，不允许绕层直接依赖底层实现。</w:t>
      </w:r>
    </w:p>
    <w:p w14:paraId="714D4133">
      <w:r>
        <w:drawing>
          <wp:inline distT="0" distB="0" distL="114300" distR="114300">
            <wp:extent cx="5939790" cy="412496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B90F">
      <w:pPr>
        <w:pStyle w:val="164"/>
      </w:pPr>
      <w:r>
        <w:rPr>
          <w:rFonts w:ascii="Noto Sans CJK SC" w:hAnsi="Noto Sans CJK SC" w:eastAsia="Noto Sans CJK SC"/>
        </w:rPr>
        <w:t>图 2  FusionCore 七层总体分层架构</w:t>
      </w:r>
    </w:p>
    <w:p w14:paraId="546BD286">
      <w:pPr>
        <w:pStyle w:val="4"/>
      </w:pPr>
      <w:r>
        <w:rPr>
          <w:rFonts w:ascii="Noto Sans CJK SC" w:hAnsi="Noto Sans CJK SC" w:eastAsia="Noto Sans CJK SC"/>
        </w:rPr>
        <w:t>6.3 分层职责总表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D26FEA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871D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04C3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代表模块</w:t>
            </w:r>
          </w:p>
        </w:tc>
        <w:tc>
          <w:tcPr>
            <w:tcW w:w="289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EB2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  <w:tc>
          <w:tcPr>
            <w:tcW w:w="272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C8FD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边界说明</w:t>
            </w:r>
          </w:p>
        </w:tc>
      </w:tr>
      <w:tr w14:paraId="499C86A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2543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L1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2822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FusionUI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28A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WPF Shell、导航、通用控件、功能区页面、报警/参数/Recipe/FA 视图。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0241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仅负责显示与交互，不直接调用底层设备能力。</w:t>
            </w:r>
          </w:p>
        </w:tc>
      </w:tr>
      <w:tr w14:paraId="7036613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323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L2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3FA0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FusionApp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7E20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应用用例编排、模式切换、命令入口、跨模块应用服务。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BBC1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不承载底层硬件与标准协议实现。</w:t>
            </w:r>
          </w:p>
        </w:tc>
      </w:tr>
      <w:tr w14:paraId="08384D41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5DF6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CE6A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FusionDomain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5590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Equipment / Module / Material / Job / Recipe / Alarm / Event 统一模型。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E002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是系统语义真相源，不依赖 UI 和具体驱动。</w:t>
            </w:r>
          </w:p>
        </w:tc>
      </w:tr>
      <w:tr w14:paraId="48A6620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B983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L4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A798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FusionEquipment、FusionScheduler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D930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设备模块协作、生产调度、路径规划、异常恢复、物料流转。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C0F5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决定“下一步做什么”，不直接控制轴/IO 细节。</w:t>
            </w:r>
          </w:p>
        </w:tc>
      </w:tr>
      <w:tr w14:paraId="50DBE92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CA4B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L5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6EA1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FusionCom / IO / Motion / Vision / Process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403C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通信、I/O、运动、视觉、工艺执行等设备能力抽象与实现。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D1E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专注执行，不负责全局生产决策。</w:t>
            </w:r>
          </w:p>
        </w:tc>
      </w:tr>
      <w:tr w14:paraId="7CB80A4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B0CA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B0F5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FusionFA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2E29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SECS/GEM、GEM300 映射、EAP/Host 语义接口、后续 EDA 预留。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75C0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对外暴露标准语义，不决定设备内部路径。</w:t>
            </w:r>
          </w:p>
        </w:tc>
      </w:tr>
      <w:tr w14:paraId="6AA7428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D5DA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L7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00B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FusionData / Log / Config / Security / Sim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D5AA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配置、日志、持久化、审计、仿真、追溯与运行支撑。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E04E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作为横向公共能力，被上层通过接口使用。</w:t>
            </w:r>
          </w:p>
        </w:tc>
      </w:tr>
    </w:tbl>
    <w:p w14:paraId="74DABE29">
      <w:pPr>
        <w:pStyle w:val="4"/>
      </w:pPr>
      <w:r>
        <w:rPr>
          <w:rFonts w:ascii="Noto Sans CJK SC" w:hAnsi="Noto Sans CJK SC" w:eastAsia="Noto Sans CJK SC"/>
        </w:rPr>
        <w:t>6.4 层间依赖规则</w:t>
      </w:r>
    </w:p>
    <w:p w14:paraId="3B273C0B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FusionUI 只能依赖 FusionApp 暴露的 ViewModel / 应用服务接口，不直接访问设备驱动、SECS 会话或数据库实现。</w:t>
      </w:r>
    </w:p>
    <w:p w14:paraId="1CD45239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FusionApp 可协调 FusionDomain、FusionScheduler、FusionEquipment 及各类服务接口，但不得引入具体协议栈细节。</w:t>
      </w:r>
    </w:p>
    <w:p w14:paraId="2E4B2F7C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FusionDomain 只定义对象、状态、规则和语义，不依赖 UI、通信实现和数据库实现。</w:t>
      </w:r>
    </w:p>
    <w:p w14:paraId="299D46F7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FusionScheduler 与 FusionEquipment 通过抽象接口与设备能力层交互；不直接依赖 WPF 页面或 EAP 接口实现。</w:t>
      </w:r>
    </w:p>
    <w:p w14:paraId="1A87184A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FusionFA 通过 Domain / Scheduler 提供的对象与状态生成对外标准语义，不反向控制具体模块内部实现。</w:t>
      </w:r>
    </w:p>
    <w:p w14:paraId="530E8E80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基础设施层可被多个层复用，但必须通过接口访问，避免形成全局静态耦合。</w:t>
      </w:r>
    </w:p>
    <w:p w14:paraId="2409B2E5">
      <w:pPr>
        <w:pStyle w:val="4"/>
      </w:pPr>
      <w:r>
        <w:rPr>
          <w:rFonts w:ascii="Noto Sans CJK SC" w:hAnsi="Noto Sans CJK SC" w:eastAsia="Noto Sans CJK SC"/>
        </w:rPr>
        <w:t>6.5 关键架构决策（Architecture Decisions）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9139F2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CFF7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77C9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决策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2AF6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原因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754C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主要影响</w:t>
            </w:r>
          </w:p>
        </w:tc>
      </w:tr>
      <w:tr w14:paraId="445E45D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6014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AD-01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8EF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FusionFA 独立成层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4F4F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FA 不是普通通信，而是设备对工厂系统的标准化语义出口。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356E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SECS/GEM、EAP、GEM300 不再散落在控制逻辑中。</w:t>
            </w:r>
          </w:p>
        </w:tc>
      </w:tr>
      <w:tr w14:paraId="0E67E5C0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7777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C8F7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引入 FusionEquipment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2963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设备开发需要显式承接 PM/TM/CM/BM 与模块生命周期。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96F4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设备模块实现可独立项目化与并行开发。</w:t>
            </w:r>
          </w:p>
        </w:tc>
      </w:tr>
      <w:tr w14:paraId="4F7B099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DA50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AD-03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FABE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引入 FusionScheduler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A365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配方解析、路径规划、物料流转和异常恢复不能散落在模块内部。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4E7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调度成为核心编排中枢。</w:t>
            </w:r>
          </w:p>
        </w:tc>
      </w:tr>
      <w:tr w14:paraId="7D7CCE0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B6FC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F99B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Domain 统一语义真相源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472B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载具、物料、作业、配方、报警和事件需要一套统一对象模型。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7F28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后续 UI、FA、日志、追溯共享同一语义。</w:t>
            </w:r>
          </w:p>
        </w:tc>
      </w:tr>
      <w:tr w14:paraId="0E43FEB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4073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AD-05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B417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管理与 Recipe 执行分离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0F18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E42/E139 明确二者责任不同。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C934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支持本地管理、远端协作和执行安全校验。</w:t>
            </w:r>
          </w:p>
        </w:tc>
      </w:tr>
      <w:tr w14:paraId="25D4B0DE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C4E4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AD-06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460D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HMI 采用 E95 导向结构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EAD6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半导体设备界面需要稳定的功能区、导航和告警呈现方式。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9245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FusionUI 先建设壳层与功能区，再建设具体页面。</w:t>
            </w:r>
          </w:p>
        </w:tc>
      </w:tr>
    </w:tbl>
    <w:p w14:paraId="3B4AF2D9">
      <w:pPr>
        <w:pStyle w:val="3"/>
      </w:pPr>
      <w:r>
        <w:rPr>
          <w:rFonts w:ascii="Noto Sans CJK SC" w:hAnsi="Noto Sans CJK SC" w:eastAsia="Noto Sans CJK SC"/>
        </w:rPr>
        <w:t>7  核心模块职责设计</w:t>
      </w:r>
    </w:p>
    <w:p w14:paraId="6552630E">
      <w:pPr>
        <w:pStyle w:val="4"/>
      </w:pPr>
      <w:r>
        <w:rPr>
          <w:rFonts w:ascii="Noto Sans CJK SC" w:hAnsi="Noto Sans CJK SC" w:eastAsia="Noto Sans CJK SC"/>
        </w:rPr>
        <w:t>7.1 模块清单与定位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24BAEB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3232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w="243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8B56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定位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DA2F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核心职责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3758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不负责事项</w:t>
            </w:r>
          </w:p>
        </w:tc>
      </w:tr>
      <w:tr w14:paraId="0EB2009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3025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FusionKernel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CBC9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框架宿主与运行时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EAAD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模块注册、生命周期、事件总线、依赖注入、启动装配。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EC08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不承载业务语义与设备逻辑。</w:t>
            </w:r>
          </w:p>
        </w:tc>
      </w:tr>
      <w:tr w14:paraId="4AF3E63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D3CF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FusionUI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425C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表现层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475C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WPF Shell、导航、主题、页面宿主、E95 导向功能区。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69FD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不直接操作设备驱动与协议细节。</w:t>
            </w:r>
          </w:p>
        </w:tc>
      </w:tr>
      <w:tr w14:paraId="044D6B1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3C15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FusionApp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5F6B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应用层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F014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用户命令入口、模式切换、应用服务编排、跨模块事务协调。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69E1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不定义领域对象、不实现硬件动作。</w:t>
            </w:r>
          </w:p>
        </w:tc>
      </w:tr>
      <w:tr w14:paraId="3840BE24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AFB6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FusionDomain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5183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领域核心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43E8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Equipment/Module/Material/Job/Recipe/Alarm/Event 统一模型。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8DD1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不依赖具体 UI、数据库或协议栈。</w:t>
            </w:r>
          </w:p>
        </w:tc>
      </w:tr>
      <w:tr w14:paraId="6AE4054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9459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FusionEquipment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C8FE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设备模块体系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6CBF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PM/TM/CM/BM 抽象、模块拓扑、生命周期、能力声明。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9F75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不承担全局排程策略与工厂接口。</w:t>
            </w:r>
          </w:p>
        </w:tc>
      </w:tr>
      <w:tr w14:paraId="7FA0894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C90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FusionScheduler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767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生产编排核心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2C0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执行建模、路径规划、物料状态、异常恢复与退料。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D806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不替代 TM/PM 的具体执行实现。</w:t>
            </w:r>
          </w:p>
        </w:tc>
      </w:tr>
      <w:tr w14:paraId="0C293C7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023B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能力层模块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365E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设备能力实现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A77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通信、IO、运动、视觉、工艺执行与底层控制封装。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AA36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不决定整机生产顺序和对外标准语义。</w:t>
            </w:r>
          </w:p>
        </w:tc>
      </w:tr>
      <w:tr w14:paraId="5515910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010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FusionFA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DD65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工厂自动化层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819C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SECS/GEM、GEM300、EAP 接口、标准事件/变量/命令映射。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0055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不承载内部工艺逻辑与调度决策。</w:t>
            </w:r>
          </w:p>
        </w:tc>
      </w:tr>
      <w:tr w14:paraId="634AFB0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6C18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Infrastructure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7CF0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横向基础设施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0E96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配置、日志、数据、审计、安全、仿真、追溯。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FA77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不直接定义设备领域对象。</w:t>
            </w:r>
          </w:p>
        </w:tc>
      </w:tr>
    </w:tbl>
    <w:p w14:paraId="69E4E255">
      <w:pPr>
        <w:pStyle w:val="4"/>
      </w:pPr>
      <w:r>
        <w:rPr>
          <w:rFonts w:ascii="Noto Sans CJK SC" w:hAnsi="Noto Sans CJK SC" w:eastAsia="Noto Sans CJK SC"/>
        </w:rPr>
        <w:t>7.2 关键模块说明</w:t>
      </w:r>
    </w:p>
    <w:p w14:paraId="4E726D3B">
      <w:pPr>
        <w:pStyle w:val="5"/>
      </w:pPr>
      <w:r>
        <w:rPr>
          <w:rFonts w:ascii="Noto Sans CJK SC" w:hAnsi="Noto Sans CJK SC" w:eastAsia="Noto Sans CJK SC"/>
        </w:rPr>
        <w:t>7.2.1 FusionEquipment</w:t>
      </w:r>
    </w:p>
    <w:p w14:paraId="104CE652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承接设备结构视角：Equipment 聚合根之下挂载 PM、TM、CM、BM 及其他扩展模块。</w:t>
      </w:r>
    </w:p>
    <w:p w14:paraId="673502C6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定义统一模块接口、生命周期、健康状态、互锁检查入口、报警注册与能力声明。</w:t>
      </w:r>
    </w:p>
    <w:p w14:paraId="4D0BD3B9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为不同负责人独立开发模块提供一致的工程骨架与接入方式。</w:t>
      </w:r>
    </w:p>
    <w:p w14:paraId="15755E34">
      <w:pPr>
        <w:pStyle w:val="5"/>
      </w:pPr>
      <w:r>
        <w:rPr>
          <w:rFonts w:ascii="Noto Sans CJK SC" w:hAnsi="Noto Sans CJK SC" w:eastAsia="Noto Sans CJK SC"/>
        </w:rPr>
        <w:t>7.2.2 FusionScheduler</w:t>
      </w:r>
    </w:p>
    <w:p w14:paraId="2AAAF7CD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负责将 Recipe 与作业输入转换为可执行的路由计划与调度任务。</w:t>
      </w:r>
    </w:p>
    <w:p w14:paraId="40B8C517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维护 Material / Carrier / Job 的运行时状态真相源，决策正常路径、异常路径与恢复路径。</w:t>
      </w:r>
    </w:p>
    <w:p w14:paraId="1F15948A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输出给 TM/PM/CM/BM 的是明确的调度任务，而不是页面动作或协议命令。</w:t>
      </w:r>
    </w:p>
    <w:p w14:paraId="6D1AD198">
      <w:pPr>
        <w:pStyle w:val="5"/>
      </w:pPr>
      <w:r>
        <w:rPr>
          <w:rFonts w:ascii="Noto Sans CJK SC" w:hAnsi="Noto Sans CJK SC" w:eastAsia="Noto Sans CJK SC"/>
        </w:rPr>
        <w:t>7.2.3 FusionFA</w:t>
      </w:r>
    </w:p>
    <w:p w14:paraId="71EB288F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负责对 EAP/Host 暴露标准化设备语义，包括通信状态、控制状态、事件、报警、变量、作业与物料相关服务。</w:t>
      </w:r>
    </w:p>
    <w:p w14:paraId="75639544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内部实现可分为 SECS、GEM、GEM300、EAP Adapter 等子域。</w:t>
      </w:r>
    </w:p>
    <w:p w14:paraId="70224614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输入来自 Domain / Scheduler / Equipment 的真实状态，输出为对外协议和服务语义。</w:t>
      </w:r>
    </w:p>
    <w:p w14:paraId="514B075D">
      <w:pPr>
        <w:pStyle w:val="5"/>
      </w:pPr>
      <w:r>
        <w:rPr>
          <w:rFonts w:ascii="Noto Sans CJK SC" w:hAnsi="Noto Sans CJK SC" w:eastAsia="Noto Sans CJK SC"/>
        </w:rPr>
        <w:t>7.2.4 FusionDomain</w:t>
      </w:r>
    </w:p>
    <w:p w14:paraId="52944BB2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统一管理 Equipment、Module、Material、Carrier、Substrate、Recipe、ProcessJob、ControlJob、Alarm、Event 等概念。</w:t>
      </w:r>
    </w:p>
    <w:p w14:paraId="4C30A7E8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定义状态机、互锁规则、能力描述与不可变标识。</w:t>
      </w:r>
    </w:p>
    <w:p w14:paraId="2CE4D196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为 UI、调度、FA、日志与追溯提供唯一的语义基准。</w:t>
      </w:r>
    </w:p>
    <w:p w14:paraId="2B2F2F5A">
      <w:pPr>
        <w:pStyle w:val="3"/>
      </w:pPr>
      <w:r>
        <w:rPr>
          <w:rFonts w:ascii="Noto Sans CJK SC" w:hAnsi="Noto Sans CJK SC" w:eastAsia="Noto Sans CJK SC"/>
        </w:rPr>
        <w:t>8  关键边界与责任划分</w:t>
      </w:r>
    </w:p>
    <w:p w14:paraId="51120214">
      <w:pPr>
        <w:pStyle w:val="4"/>
      </w:pPr>
      <w:r>
        <w:rPr>
          <w:rFonts w:ascii="Noto Sans CJK SC" w:hAnsi="Noto Sans CJK SC" w:eastAsia="Noto Sans CJK SC"/>
        </w:rPr>
        <w:t>8.1 调度模块与 PM / TM / CM / BM 的边界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47C5EFD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2D56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w="379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33BE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负责</w:t>
            </w:r>
          </w:p>
        </w:tc>
        <w:tc>
          <w:tcPr>
            <w:tcW w:w="374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A70A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不负责</w:t>
            </w:r>
          </w:p>
        </w:tc>
      </w:tr>
      <w:tr w14:paraId="3A4217A8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1DF2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FusionScheduler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36CE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作业建模、路径规划、排程、物料状态管理、异常恢复、导出策略。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D88C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不控制具体轴运动、真空阀动作或相机采集时序。</w:t>
            </w:r>
          </w:p>
        </w:tc>
      </w:tr>
      <w:tr w14:paraId="3927DD6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53AA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PM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BE7F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执行工艺、反馈工艺状态、消费工艺参数、上报完成/失败。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8A38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不决定 wafer 下一站去哪，不决定整机恢复策略。</w:t>
            </w:r>
          </w:p>
        </w:tc>
      </w:tr>
      <w:tr w14:paraId="6146F2D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8A05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TM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E634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执行搬运、Pick/Place 校验、路径上的动作实现。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4892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不决定哪片优先搬、不决定全局最优顺序。</w:t>
            </w:r>
          </w:p>
        </w:tc>
      </w:tr>
      <w:tr w14:paraId="3EA6904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DAA0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CM / BM</w:t>
            </w:r>
          </w:p>
        </w:tc>
        <w:tc>
          <w:tcPr>
            <w:tcW w:w="3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A59E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管理占位、进出料、缓存资源与状态。</w:t>
            </w:r>
          </w:p>
        </w:tc>
        <w:tc>
          <w:tcPr>
            <w:tcW w:w="37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A915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不决定全局流转顺序与异常导出策略。</w:t>
            </w:r>
          </w:p>
        </w:tc>
      </w:tr>
    </w:tbl>
    <w:p w14:paraId="5699AF1D">
      <w:pPr>
        <w:pStyle w:val="4"/>
      </w:pPr>
      <w:r>
        <w:rPr>
          <w:rFonts w:ascii="Noto Sans CJK SC" w:hAnsi="Noto Sans CJK SC" w:eastAsia="Noto Sans CJK SC"/>
        </w:rPr>
        <w:t>8.2 Factory Automation 与通用通信层的边界</w:t>
      </w:r>
    </w:p>
    <w:p w14:paraId="488D1137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FusionCom 负责连接、会话、串口/TCP/协议基础与硬件驱动连接，不理解 Control Job、Carrier 或 Substrate 的工厂语义。</w:t>
      </w:r>
    </w:p>
    <w:p w14:paraId="1DF779D4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FusionFA 负责把内部对象映射为 SECS/GEM/GEM300 语义，并面向 EAP/Host 公开服务。</w:t>
      </w:r>
    </w:p>
    <w:p w14:paraId="11C16A84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两者之间通过抽象消息与对象映射层解耦，禁止在设备逻辑中直接写 SECS 报文流转。</w:t>
      </w:r>
    </w:p>
    <w:p w14:paraId="3A5C1F69">
      <w:pPr>
        <w:pStyle w:val="4"/>
      </w:pPr>
      <w:r>
        <w:rPr>
          <w:rFonts w:ascii="Noto Sans CJK SC" w:hAnsi="Noto Sans CJK SC" w:eastAsia="Noto Sans CJK SC"/>
        </w:rPr>
        <w:t>8.3 Recipe Management 与 Recipe Execution 的边界</w:t>
      </w:r>
    </w:p>
    <w:p w14:paraId="01BC39E9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Recipe Management 负责配方的创建、版本、存储、审核、保护与导入导出。</w:t>
      </w:r>
    </w:p>
    <w:p w14:paraId="5F9D13C0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Recipe Execution 负责将已选配方安全加载到执行环境，校验当前设备配置，并启动对应工艺。</w:t>
      </w:r>
    </w:p>
    <w:p w14:paraId="2654DEA5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调度层消费的是“可执行配方视图”，而不是直接操作底层配方存储细节。</w:t>
      </w:r>
    </w:p>
    <w:p w14:paraId="084E1CF1">
      <w:pPr>
        <w:pStyle w:val="4"/>
      </w:pPr>
      <w:r>
        <w:rPr>
          <w:rFonts w:ascii="Noto Sans CJK SC" w:hAnsi="Noto Sans CJK SC" w:eastAsia="Noto Sans CJK SC"/>
        </w:rPr>
        <w:t>8.4 UI 与控制层的边界</w:t>
      </w:r>
    </w:p>
    <w:p w14:paraId="0EA23219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UI 发起的是用户意图（如开始、暂停、复位、加载 Recipe、查看报警），而不是直接调用硬件 API。</w:t>
      </w:r>
    </w:p>
    <w:p w14:paraId="76B6DF1F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ViewModel 不持有底层连接对象，不承载设备状态真相源。</w:t>
      </w:r>
    </w:p>
    <w:p w14:paraId="26B67BFC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UI 与控制层交互应通过应用服务、命令总线或显式的 ViewModel 协议进行。</w:t>
      </w:r>
    </w:p>
    <w:p w14:paraId="7A19FBA7">
      <w:pPr>
        <w:pStyle w:val="3"/>
      </w:pPr>
      <w:r>
        <w:rPr>
          <w:rFonts w:ascii="Noto Sans CJK SC" w:hAnsi="Noto Sans CJK SC" w:eastAsia="Noto Sans CJK SC"/>
        </w:rPr>
        <w:t>9  标准映射与一期覆盖范围</w:t>
      </w:r>
    </w:p>
    <w:p w14:paraId="4CB6F963">
      <w:pPr>
        <w:pStyle w:val="4"/>
      </w:pPr>
      <w:r>
        <w:rPr>
          <w:rFonts w:ascii="Noto Sans CJK SC" w:hAnsi="Noto Sans CJK SC" w:eastAsia="Noto Sans CJK SC"/>
        </w:rPr>
        <w:t>9.1 标准到架构模块的映射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EECC3B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C053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标准</w:t>
            </w:r>
          </w:p>
        </w:tc>
        <w:tc>
          <w:tcPr>
            <w:tcW w:w="23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1BA8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主要关注点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A46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对应模块</w:t>
            </w:r>
          </w:p>
        </w:tc>
        <w:tc>
          <w:tcPr>
            <w:tcW w:w="311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8B9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一期设计要求</w:t>
            </w:r>
          </w:p>
        </w:tc>
      </w:tr>
      <w:tr w14:paraId="71A307B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D662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E30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A10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GEM 通信/控制语义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D4E5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FusionFA + Domain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CB38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定义通信状态、控制状态、事件/报告组织。</w:t>
            </w:r>
          </w:p>
        </w:tc>
      </w:tr>
      <w:tr w14:paraId="7A472C9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6710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E37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6342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HSMS 会话与链路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E522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FusionFA / FusionCom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BC52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作为首选 TCP/IP 连接承载方式。</w:t>
            </w:r>
          </w:p>
        </w:tc>
      </w:tr>
      <w:tr w14:paraId="1F7227F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124A7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E40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F76F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 Job / 处理管理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4084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FusionScheduler + Domain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C8CF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显式建模 Process Job、队列、开始方式。</w:t>
            </w:r>
          </w:p>
        </w:tc>
      </w:tr>
      <w:tr w14:paraId="161CCBE3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F72F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E42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76CD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管理 / 执行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B25A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子域 + PM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4807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区分存储管理与执行管理。</w:t>
            </w:r>
          </w:p>
        </w:tc>
      </w:tr>
      <w:tr w14:paraId="716FCC3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B988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E87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0ED6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Carrier / Load Port 管理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21F2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Domain + FusionFA + CM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1EF8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显式建模 Carrier、Reservation、Access Mode 等。</w:t>
            </w:r>
          </w:p>
        </w:tc>
      </w:tr>
      <w:tr w14:paraId="492FC65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AA38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E90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4798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Substrate 跟踪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B064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Domain + Scheduler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5A28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建立物料状态与位置真相源。</w:t>
            </w:r>
          </w:p>
        </w:tc>
      </w:tr>
      <w:tr w14:paraId="32F54E6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A9A94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E94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A28F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Control Job 管理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F2CD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FusionScheduler + FusionFA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F183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显式建模 Control Job 与 PJ 关系。</w:t>
            </w:r>
          </w:p>
        </w:tc>
      </w:tr>
      <w:tr w14:paraId="04E576CC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84B1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E95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311D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人机界面结构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BCAD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FusionUI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BCD0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壳层、导航、标题/信息/命令面板结构化设计。</w:t>
            </w:r>
          </w:p>
        </w:tc>
      </w:tr>
      <w:tr w14:paraId="16CC0C51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90DB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E98 / E120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E94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设备功能分解 / 结构模型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6F40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FusionEquipment + Domain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9641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以 Equipment / Module / Subsystem 组织设备。</w:t>
            </w:r>
          </w:p>
        </w:tc>
      </w:tr>
      <w:tr w14:paraId="6D20DE0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F71C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E116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83D1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设备性能跟踪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EEC4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FusionData / FusionFA（预留）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51FD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预留设备级与模块级性能对象与事件。</w:t>
            </w:r>
          </w:p>
        </w:tc>
      </w:tr>
    </w:tbl>
    <w:p w14:paraId="65B39117">
      <w:pPr>
        <w:pStyle w:val="4"/>
      </w:pPr>
      <w:r>
        <w:rPr>
          <w:rFonts w:ascii="Noto Sans CJK SC" w:hAnsi="Noto Sans CJK SC" w:eastAsia="Noto Sans CJK SC"/>
        </w:rPr>
        <w:t>9.2 一期范围建议</w:t>
      </w:r>
    </w:p>
    <w:p w14:paraId="3EB68FC8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必须完成：FusionKernel、FusionUI 壳层、FusionDomain 基本对象、FusionEquipment 基础抽象、FusionScheduler 基本编排骨架、FusionFA（E30/E37 基础会话与接口边界）、FusionLog、FusionConfig。</w:t>
      </w:r>
    </w:p>
    <w:p w14:paraId="238CEA47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建议优先支持的标准对象：Control State、Communication State、Alarm/Event、Carrier、Substrate、Process Job、Control Job、Recipe 基础视图。</w:t>
      </w:r>
    </w:p>
    <w:p w14:paraId="26ACA8B3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建议以“虚拟设备 + 基础 WPF 壳层 + 调度联调演示”作为首个样板工程。</w:t>
      </w:r>
    </w:p>
    <w:p w14:paraId="7EA0A5CA">
      <w:pPr>
        <w:pStyle w:val="4"/>
      </w:pPr>
      <w:r>
        <w:rPr>
          <w:rFonts w:ascii="Noto Sans CJK SC" w:hAnsi="Noto Sans CJK SC" w:eastAsia="Noto Sans CJK SC"/>
        </w:rPr>
        <w:t>9.3 二期预留</w:t>
      </w:r>
    </w:p>
    <w:p w14:paraId="015E240F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更完整的 GEM300 语义、E139 Recipe and Parameter Management、E125/E134 元数据与数据采集能力。</w:t>
      </w:r>
    </w:p>
    <w:p w14:paraId="4AD23489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模块级性能跟踪、设备结构自描述、标准化追溯接口、EDA 相关扩展。</w:t>
      </w:r>
    </w:p>
    <w:p w14:paraId="4F9C443F">
      <w:pPr>
        <w:pStyle w:val="16"/>
        <w:spacing w:after="60" w:line="276" w:lineRule="auto"/>
        <w:ind w:left="227"/>
      </w:pPr>
      <w:r>
        <w:rPr>
          <w:rFonts w:ascii="Noto Sans CJK SC" w:hAnsi="Noto Sans CJK SC" w:eastAsia="Noto Sans CJK SC"/>
          <w:sz w:val="21"/>
        </w:rPr>
        <w:t>可视化界面设计器、报表、历史分析和更完善的仿真运行环境。</w:t>
      </w:r>
    </w:p>
    <w:p w14:paraId="4AA8F403">
      <w:pPr>
        <w:pStyle w:val="3"/>
      </w:pPr>
      <w:r>
        <w:rPr>
          <w:rFonts w:ascii="Noto Sans CJK SC" w:hAnsi="Noto Sans CJK SC" w:eastAsia="Noto Sans CJK SC"/>
        </w:rPr>
        <w:t>10  风险、约束与未决问题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203D96F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000E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CCA01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 / 未决问题</w:t>
            </w:r>
          </w:p>
        </w:tc>
        <w:tc>
          <w:tcPr>
            <w:tcW w:w="402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AF9E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建议处理方式</w:t>
            </w:r>
          </w:p>
        </w:tc>
      </w:tr>
      <w:tr w14:paraId="39FED81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C047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R-01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5B2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不同设备对 PM/TM/CM/BM 细分方式可能不同，固定类层次过早会限制扩展。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2CE1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首版采用“统一基类 + 能力接口 + 模块类型枚举”的折中方案。</w:t>
            </w:r>
          </w:p>
        </w:tc>
      </w:tr>
      <w:tr w14:paraId="5E6410C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0AC2E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R-02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03E9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SECS/GEM 细节若过早深入到实现级，可能在领域模型尚未稳定时反复返工。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9652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首版仅定义边界与对象映射，不下沉到字段级协议实现。</w:t>
            </w:r>
          </w:p>
        </w:tc>
      </w:tr>
      <w:tr w14:paraId="415E8D3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3B0A0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R-03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6635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Recipe / Job / Material 的关系若未在 Domain 中统一，后续调度与追溯会冲突。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E0F3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下一份文档优先完成领域对象模型与状态机设计。</w:t>
            </w:r>
          </w:p>
        </w:tc>
      </w:tr>
      <w:tr w14:paraId="3A4C2D4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28C1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R-04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363F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WPF 页面若先于功能区模型展开，界面会很快项目化、碎片化。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25EA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先做 Shell、Navigation、Common Panels，再做业务页面。</w:t>
            </w:r>
          </w:p>
        </w:tc>
      </w:tr>
      <w:tr w14:paraId="1E911EB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FD1AA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R-05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74FE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若没有虚拟设备与仿真链路，底座和调度联调将高度依赖真实硬件到位。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7334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一期同步预留虚拟模块和模拟通讯接口。</w:t>
            </w:r>
          </w:p>
        </w:tc>
      </w:tr>
      <w:tr w14:paraId="2881110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52EF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R-06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0DF6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本文件基于研究资料形成架构基线，实施前仍需结合正式标准文本做条款核对。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A28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详细设计与实现评审阶段增加标准条款核查项。</w:t>
            </w:r>
          </w:p>
        </w:tc>
      </w:tr>
    </w:tbl>
    <w:p w14:paraId="513C394A">
      <w:pPr>
        <w:pStyle w:val="3"/>
      </w:pPr>
      <w:r>
        <w:rPr>
          <w:rFonts w:ascii="Noto Sans CJK SC" w:hAnsi="Noto Sans CJK SC" w:eastAsia="Noto Sans CJK SC"/>
        </w:rPr>
        <w:t>11  后续工作与输出物</w:t>
      </w:r>
    </w:p>
    <w:p w14:paraId="64475A5F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输出《FusionDomain 领域模型设计》：定义 Equipment / Module / Material / Carrier / Substrate / ProcessJob / ControlJob / Recipe / Alarm / Event / StateMachine 等对象。</w:t>
      </w:r>
    </w:p>
    <w:p w14:paraId="1EC16134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输出《FusionScheduler 调度与物料流转设计》：定义路径规划、任务建模、异常恢复、退料策略和物料状态机。</w:t>
      </w:r>
    </w:p>
    <w:p w14:paraId="2BF99766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输出《FusionFA 工厂自动化接口设计》：定义 SECS/GEM 分层、标准对象映射、EAP 接口边界和后续 EDA 预留。</w:t>
      </w:r>
    </w:p>
    <w:p w14:paraId="732B15E7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输出《FusionUI / E95 对齐设计》：定义壳层、导航、信息/命令/告警区和典型页面结构。</w:t>
      </w:r>
    </w:p>
    <w:p w14:paraId="6EF1BC1D">
      <w:pPr>
        <w:pStyle w:val="14"/>
        <w:spacing w:after="60" w:line="276" w:lineRule="auto"/>
        <w:ind w:left="283"/>
      </w:pPr>
      <w:r>
        <w:rPr>
          <w:rFonts w:ascii="Noto Sans CJK SC" w:hAnsi="Noto Sans CJK SC" w:eastAsia="Noto Sans CJK SC"/>
          <w:sz w:val="21"/>
        </w:rPr>
        <w:t>建立样板工程：以虚拟设备 + 基础 Host/EAP 仿真 + WPF 壳层演示验证本架构。</w:t>
      </w:r>
    </w:p>
    <w:p w14:paraId="136FCE82">
      <w:pPr>
        <w:pStyle w:val="3"/>
      </w:pPr>
      <w:r>
        <w:rPr>
          <w:rFonts w:ascii="Noto Sans CJK SC" w:hAnsi="Noto Sans CJK SC" w:eastAsia="Noto Sans CJK SC"/>
        </w:rPr>
        <w:t>附录 A  术语与缩略语</w:t>
      </w:r>
    </w:p>
    <w:tbl>
      <w:tblPr>
        <w:tblStyle w:val="33"/>
        <w:tblW w:w="0" w:type="auto"/>
        <w:jc w:val="center"/>
        <w:tblBorders>
          <w:top w:val="single" w:color="C8D4E3" w:sz="8" w:space="0"/>
          <w:left w:val="single" w:color="C8D4E3" w:sz="8" w:space="0"/>
          <w:bottom w:val="single" w:color="C8D4E3" w:sz="8" w:space="0"/>
          <w:right w:val="single" w:color="C8D4E3" w:sz="8" w:space="0"/>
          <w:insideH w:val="single" w:color="C8D4E3" w:sz="8" w:space="0"/>
          <w:insideV w:val="single" w:color="C8D4E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5BE45CB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5248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缩略语</w:t>
            </w:r>
          </w:p>
        </w:tc>
        <w:tc>
          <w:tcPr>
            <w:tcW w:w="255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F664B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英文</w:t>
            </w:r>
          </w:p>
        </w:tc>
        <w:tc>
          <w:tcPr>
            <w:tcW w:w="510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97186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 w14:paraId="77A69F3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DB9E9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PM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FFDA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 Module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4EE3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工艺模块。</w:t>
            </w:r>
          </w:p>
        </w:tc>
      </w:tr>
      <w:tr w14:paraId="72B00CA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42DA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TM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6080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Transfer Module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EEC1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传输/搬运模块。</w:t>
            </w:r>
          </w:p>
        </w:tc>
      </w:tr>
      <w:tr w14:paraId="2B65A8C7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31232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CM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A989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Carrier / Cassette Module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D766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载具/上下料模块。</w:t>
            </w:r>
          </w:p>
        </w:tc>
      </w:tr>
      <w:tr w14:paraId="772A046E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F775F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BM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5CC0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Buffer Module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9F32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缓存/中转模块。</w:t>
            </w:r>
          </w:p>
        </w:tc>
      </w:tr>
      <w:tr w14:paraId="6C33714A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E3F5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FA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039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Factory Automation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32A3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设备与工厂自动化系统之间的接口与标准化语义层。</w:t>
            </w:r>
          </w:p>
        </w:tc>
      </w:tr>
      <w:tr w14:paraId="5F0CFE19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31003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EAP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109E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Equipment Automation Program / Host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878E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工厂侧与设备交互的自动化上位系统，本文统一称 EAP/Host。</w:t>
            </w:r>
          </w:p>
        </w:tc>
      </w:tr>
      <w:tr w14:paraId="5C0874E2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08AB8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GEM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D7FB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Generic Equipment Model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B939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E30 中定义的设备通信/控制通用模型。</w:t>
            </w:r>
          </w:p>
        </w:tc>
      </w:tr>
      <w:tr w14:paraId="723394F5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1A12C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HSMS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CCB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High-Speed SECS Message Services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0F0B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SEMI E37 定义的高速 SECS 消息服务。</w:t>
            </w:r>
          </w:p>
        </w:tc>
      </w:tr>
      <w:tr w14:paraId="472F6D1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9413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PJ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E58F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 Job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8A20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Process Job，对应 E40。</w:t>
            </w:r>
          </w:p>
        </w:tc>
      </w:tr>
      <w:tr w14:paraId="69B03DD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3A075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CJ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00C9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Control Job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A3C4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Control Job，对应 E94。</w:t>
            </w:r>
          </w:p>
        </w:tc>
      </w:tr>
      <w:tr w14:paraId="5EAE58E6">
        <w:tblPrEx>
          <w:tblBorders>
            <w:top w:val="single" w:color="C8D4E3" w:sz="8" w:space="0"/>
            <w:left w:val="single" w:color="C8D4E3" w:sz="8" w:space="0"/>
            <w:bottom w:val="single" w:color="C8D4E3" w:sz="8" w:space="0"/>
            <w:right w:val="single" w:color="C8D4E3" w:sz="8" w:space="0"/>
            <w:insideH w:val="single" w:color="C8D4E3" w:sz="8" w:space="0"/>
            <w:insideV w:val="single" w:color="C8D4E3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FEFD"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HMI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5936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Human Machine Interface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75AF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人机界面。</w:t>
            </w:r>
          </w:p>
        </w:tc>
      </w:tr>
    </w:tbl>
    <w:p w14:paraId="29303C92"/>
    <w:sectPr>
      <w:headerReference r:id="rId5" w:type="default"/>
      <w:footerReference r:id="rId6" w:type="default"/>
      <w:pgSz w:w="11906" w:h="16838"/>
      <w:pgMar w:top="1134" w:right="1247" w:bottom="1020" w:left="1247" w:header="510" w:footer="39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erif">
    <w:panose1 w:val="02020600060500020200"/>
    <w:charset w:val="00"/>
    <w:family w:val="auto"/>
    <w:pitch w:val="default"/>
    <w:sig w:usb0="E00002FF" w:usb1="500078FF" w:usb2="00000029" w:usb3="00000000" w:csb0="6000019F" w:csb1="DFD7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11B21">
    <w:pPr>
      <w:pStyle w:val="24"/>
      <w:spacing w:after="0"/>
      <w:jc w:val="right"/>
    </w:pPr>
    <w:r>
      <w:rPr>
        <w:rFonts w:ascii="Noto Sans CJK SC" w:hAnsi="Noto Sans CJK SC" w:eastAsia="Noto Sans CJK SC"/>
        <w:color w:val="5F5F5F"/>
        <w:sz w:val="17"/>
      </w:rPr>
      <w:t xml:space="preserve">第 </w:t>
    </w:r>
    <w:r>
      <w:rPr>
        <w:rFonts w:ascii="Noto Sans CJK SC" w:hAnsi="Noto Sans CJK SC" w:eastAsia="Noto Sans CJK SC"/>
      </w:rPr>
      <w:fldChar w:fldCharType="begin"/>
    </w:r>
    <w:r>
      <w:rPr>
        <w:rFonts w:ascii="Noto Sans CJK SC" w:hAnsi="Noto Sans CJK SC" w:eastAsia="Noto Sans CJK SC"/>
      </w:rPr>
      <w:instrText xml:space="preserve">PAGE</w:instrText>
    </w:r>
    <w:r>
      <w:rPr>
        <w:rFonts w:ascii="Noto Sans CJK SC" w:hAnsi="Noto Sans CJK SC" w:eastAsia="Noto Sans CJK SC"/>
      </w:rPr>
      <w:fldChar w:fldCharType="separate"/>
    </w:r>
    <w:r>
      <w:rPr>
        <w:rFonts w:ascii="Noto Sans CJK SC" w:hAnsi="Noto Sans CJK SC" w:eastAsia="Noto Sans CJK SC"/>
      </w:rPr>
      <w:t>1</w:t>
    </w:r>
    <w:r>
      <w:rPr>
        <w:rFonts w:ascii="Noto Sans CJK SC" w:hAnsi="Noto Sans CJK SC" w:eastAsia="Noto Sans CJK SC"/>
      </w:rPr>
      <w:fldChar w:fldCharType="end"/>
    </w:r>
    <w:r>
      <w:rPr>
        <w:rFonts w:ascii="Noto Sans CJK SC" w:hAnsi="Noto Sans CJK SC" w:eastAsia="Noto Sans CJK SC"/>
        <w:color w:val="5F5F5F"/>
        <w:sz w:val="17"/>
      </w:rPr>
      <w:t xml:space="preserve"> 页 / 共 </w:t>
    </w:r>
    <w:r>
      <w:rPr>
        <w:rFonts w:ascii="Noto Sans CJK SC" w:hAnsi="Noto Sans CJK SC" w:eastAsia="Noto Sans CJK SC"/>
      </w:rPr>
      <w:fldChar w:fldCharType="begin"/>
    </w:r>
    <w:r>
      <w:rPr>
        <w:rFonts w:ascii="Noto Sans CJK SC" w:hAnsi="Noto Sans CJK SC" w:eastAsia="Noto Sans CJK SC"/>
      </w:rPr>
      <w:instrText xml:space="preserve">NUMPAGES</w:instrText>
    </w:r>
    <w:r>
      <w:rPr>
        <w:rFonts w:ascii="Noto Sans CJK SC" w:hAnsi="Noto Sans CJK SC" w:eastAsia="Noto Sans CJK SC"/>
      </w:rPr>
      <w:fldChar w:fldCharType="separate"/>
    </w:r>
    <w:r>
      <w:rPr>
        <w:rFonts w:ascii="Noto Sans CJK SC" w:hAnsi="Noto Sans CJK SC" w:eastAsia="Noto Sans CJK SC"/>
      </w:rPr>
      <w:t>1</w:t>
    </w:r>
    <w:r>
      <w:rPr>
        <w:rFonts w:ascii="Noto Sans CJK SC" w:hAnsi="Noto Sans CJK SC" w:eastAsia="Noto Sans CJK SC"/>
      </w:rPr>
      <w:fldChar w:fldCharType="end"/>
    </w:r>
    <w:r>
      <w:rPr>
        <w:rFonts w:ascii="Noto Sans CJK SC" w:hAnsi="Noto Sans CJK SC" w:eastAsia="Noto Sans CJK SC"/>
        <w:color w:val="5F5F5F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6AC4E">
    <w:pPr>
      <w:pStyle w:val="25"/>
      <w:spacing w:after="0"/>
      <w:jc w:val="right"/>
    </w:pPr>
    <w:r>
      <w:rPr>
        <w:rFonts w:ascii="Noto Sans CJK SC" w:hAnsi="Noto Sans CJK SC" w:eastAsia="Noto Sans CJK SC"/>
        <w:color w:val="5F5F5F"/>
        <w:sz w:val="17"/>
      </w:rPr>
      <w:t>FusionCore 系统分层与模块职责设计说明书  |  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B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E4E79"/>
      <w:sz w:val="33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3770A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22222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</w:pPr>
    <w:rPr>
      <w:rFonts w:asciiTheme="majorHAnsi" w:hAnsiTheme="majorHAnsi" w:eastAsiaTheme="majorEastAsia" w:cstheme="majorBidi"/>
      <w:b/>
      <w:color w:val="1E4E79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 FC"/>
    <w:qFormat/>
    <w:uiPriority w:val="0"/>
    <w:pPr>
      <w:spacing w:before="60" w:after="200" w:line="276" w:lineRule="auto"/>
      <w:jc w:val="center"/>
    </w:pPr>
    <w:rPr>
      <w:rFonts w:ascii="Noto Sans CJK SC" w:hAnsi="Noto Sans CJK SC" w:eastAsia="Noto Sans CJK SC" w:cstheme="minorBidi"/>
      <w:color w:val="5F5F5F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1032</Words>
  <Characters>1297</Characters>
  <Lines>0</Lines>
  <Paragraphs>0</Paragraphs>
  <TotalTime>0</TotalTime>
  <ScaleCrop>false</ScaleCrop>
  <LinksUpToDate>false</LinksUpToDate>
  <CharactersWithSpaces>1385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Architecture Design</cp:category>
  <dcterms:created xsi:type="dcterms:W3CDTF">2013-12-23T23:15:00Z</dcterms:created>
  <dc:creator>FusionCore 架构组</dc:creator>
  <dc:description>根据用户提供的 SEMI 资料和 300mm operational flowcharts 形成的首版设计稿。</dc:description>
  <cp:keywords>FusionCore, SEMI, E30, E40, E87, E90, E94, E95, OBEM, CEM</cp:keywords>
  <cp:lastModifiedBy>张明</cp:lastModifiedBy>
  <dcterms:modified xsi:type="dcterms:W3CDTF">2026-03-23T04:36:31Z</dcterms:modified>
  <dc:subject>半导体设备控制平台总体架构设计</dc:subject>
  <dc:title>FusionCore 系统分层与模块职责设计说明书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EC14667AAA0B4B6EB62C83385A2ABA58_13</vt:lpwstr>
  </property>
</Properties>
</file>