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7106C">
      <w:pPr>
        <w:jc w:val="center"/>
      </w:pPr>
      <w:bookmarkStart w:id="0" w:name="_GoBack"/>
      <w:bookmarkEnd w:id="0"/>
      <w:r>
        <w:rPr>
          <w:rFonts w:ascii="微软雅黑" w:hAnsi="微软雅黑" w:eastAsia="微软雅黑"/>
          <w:b/>
          <w:sz w:val="40"/>
        </w:rPr>
        <w:t>FusionCore 模块治理阶段规划说明书</w:t>
      </w:r>
    </w:p>
    <w:p w14:paraId="7DC9BC61">
      <w:pPr>
        <w:jc w:val="center"/>
      </w:pPr>
      <w:r>
        <w:rPr>
          <w:rFonts w:ascii="微软雅黑" w:hAnsi="微软雅黑" w:eastAsia="微软雅黑"/>
          <w:b w:val="0"/>
          <w:sz w:val="22"/>
        </w:rPr>
        <w:t>文档编号：FC-GOV-001</w:t>
      </w:r>
    </w:p>
    <w:p w14:paraId="1B86FA71">
      <w:pPr>
        <w:jc w:val="center"/>
      </w:pPr>
      <w:r>
        <w:rPr>
          <w:rFonts w:ascii="微软雅黑" w:hAnsi="微软雅黑" w:eastAsia="微软雅黑"/>
          <w:b w:val="0"/>
          <w:sz w:val="22"/>
        </w:rPr>
        <w:t>版本：v1.0</w:t>
      </w:r>
    </w:p>
    <w:p w14:paraId="008B6AAD">
      <w:pPr>
        <w:jc w:val="center"/>
      </w:pPr>
      <w:r>
        <w:rPr>
          <w:rFonts w:ascii="微软雅黑" w:hAnsi="微软雅黑" w:eastAsia="微软雅黑"/>
          <w:b w:val="0"/>
          <w:sz w:val="22"/>
        </w:rPr>
        <w:t>状态：Draft</w:t>
      </w:r>
    </w:p>
    <w:p w14:paraId="1B8EC356">
      <w:pPr>
        <w:jc w:val="center"/>
      </w:pPr>
      <w:r>
        <w:rPr>
          <w:rFonts w:ascii="微软雅黑" w:hAnsi="微软雅黑" w:eastAsia="微软雅黑"/>
          <w:b w:val="0"/>
          <w:sz w:val="22"/>
        </w:rPr>
        <w:t>日期：2026-03-24</w:t>
      </w:r>
    </w:p>
    <w:p w14:paraId="4F950105"/>
    <w:p w14:paraId="2233D3E7">
      <w:pPr>
        <w:pStyle w:val="3"/>
      </w:pPr>
      <w:r>
        <w:rPr>
          <w:rFonts w:ascii="微软雅黑" w:hAnsi="微软雅黑" w:eastAsia="微软雅黑"/>
          <w:b/>
          <w:sz w:val="30"/>
        </w:rPr>
        <w:t>1 文档控制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B727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7EA8C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版本</w:t>
            </w:r>
          </w:p>
        </w:tc>
        <w:tc>
          <w:tcPr>
            <w:tcW w:w="2351" w:type="dxa"/>
          </w:tcPr>
          <w:p w14:paraId="7CDF71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日期</w:t>
            </w:r>
          </w:p>
        </w:tc>
        <w:tc>
          <w:tcPr>
            <w:tcW w:w="2351" w:type="dxa"/>
          </w:tcPr>
          <w:p w14:paraId="39B415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作者</w:t>
            </w:r>
          </w:p>
        </w:tc>
        <w:tc>
          <w:tcPr>
            <w:tcW w:w="2351" w:type="dxa"/>
          </w:tcPr>
          <w:p w14:paraId="1BA85B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说明</w:t>
            </w:r>
          </w:p>
        </w:tc>
      </w:tr>
      <w:tr w14:paraId="2E54F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9F940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w="2351" w:type="dxa"/>
          </w:tcPr>
          <w:p w14:paraId="528957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2026-03-24</w:t>
            </w:r>
          </w:p>
        </w:tc>
        <w:tc>
          <w:tcPr>
            <w:tcW w:w="2351" w:type="dxa"/>
          </w:tcPr>
          <w:p w14:paraId="49781F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OpenAI / ChatGPT</w:t>
            </w:r>
          </w:p>
        </w:tc>
        <w:tc>
          <w:tcPr>
            <w:tcW w:w="2351" w:type="dxa"/>
          </w:tcPr>
          <w:p w14:paraId="29D8FA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首版治理阶段规划基线</w:t>
            </w:r>
          </w:p>
        </w:tc>
      </w:tr>
    </w:tbl>
    <w:p w14:paraId="42242164">
      <w:pPr>
        <w:pStyle w:val="3"/>
      </w:pPr>
      <w:r>
        <w:rPr>
          <w:rFonts w:ascii="微软雅黑" w:hAnsi="微软雅黑" w:eastAsia="微软雅黑"/>
          <w:b/>
          <w:sz w:val="30"/>
        </w:rPr>
        <w:t>2 目的与适用范围</w:t>
      </w:r>
    </w:p>
    <w:p w14:paraId="709DA9F6">
      <w:r>
        <w:rPr>
          <w:rFonts w:ascii="微软雅黑" w:hAnsi="微软雅黑" w:eastAsia="微软雅黑"/>
          <w:b w:val="0"/>
          <w:sz w:val="21"/>
        </w:rPr>
        <w:t>本文档用于定义 FusionCore 各核心模块的统一治理阶段、当前阶段判断、推荐推进顺序与阶段进入规则。其目的不是替代各模块的详细设计文档，而是为整体项目提供节奏控制、资源分配和实现优先级依据。</w:t>
      </w:r>
    </w:p>
    <w:p w14:paraId="2BE019E7">
      <w:r>
        <w:rPr>
          <w:rFonts w:ascii="微软雅黑" w:hAnsi="微软雅黑" w:eastAsia="微软雅黑"/>
          <w:b w:val="0"/>
          <w:sz w:val="21"/>
        </w:rPr>
        <w:t>本文档适用于以下场景：</w:t>
      </w:r>
    </w:p>
    <w:p w14:paraId="7E455EAD">
      <w:pPr>
        <w:pStyle w:val="16"/>
      </w:pPr>
      <w:r>
        <w:rPr>
          <w:rFonts w:ascii="微软雅黑" w:hAnsi="微软雅黑" w:eastAsia="微软雅黑"/>
          <w:sz w:val="21"/>
        </w:rPr>
        <w:t>规划 FusionCore 各模块的实现节奏与优先级。</w:t>
      </w:r>
    </w:p>
    <w:p w14:paraId="46CDCAB6">
      <w:pPr>
        <w:pStyle w:val="16"/>
      </w:pPr>
      <w:r>
        <w:rPr>
          <w:rFonts w:ascii="微软雅黑" w:hAnsi="微软雅黑" w:eastAsia="微软雅黑"/>
          <w:sz w:val="21"/>
        </w:rPr>
        <w:t>判断某模块当前应停留在骨架阶段还是进入默认实现阶段。</w:t>
      </w:r>
    </w:p>
    <w:p w14:paraId="29FC262B">
      <w:pPr>
        <w:pStyle w:val="16"/>
      </w:pPr>
      <w:r>
        <w:rPr>
          <w:rFonts w:ascii="微软雅黑" w:hAnsi="微软雅黑" w:eastAsia="微软雅黑"/>
          <w:sz w:val="21"/>
        </w:rPr>
        <w:t>避免单个模块被持续纵向深挖而导致整个平台失衡。</w:t>
      </w:r>
    </w:p>
    <w:p w14:paraId="1E85A0BE">
      <w:pPr>
        <w:pStyle w:val="16"/>
      </w:pPr>
      <w:r>
        <w:rPr>
          <w:rFonts w:ascii="微软雅黑" w:hAnsi="微软雅黑" w:eastAsia="微软雅黑"/>
          <w:sz w:val="21"/>
        </w:rPr>
        <w:t>为 Codex 任务安排、阶段验收和架构审查提供统一依据。</w:t>
      </w:r>
    </w:p>
    <w:p w14:paraId="5174F1D9">
      <w:pPr>
        <w:pStyle w:val="3"/>
      </w:pPr>
      <w:r>
        <w:rPr>
          <w:rFonts w:ascii="微软雅黑" w:hAnsi="微软雅黑" w:eastAsia="微软雅黑"/>
          <w:b/>
          <w:sz w:val="30"/>
        </w:rPr>
        <w:t>3 治理阶段定义</w:t>
      </w:r>
    </w:p>
    <w:p w14:paraId="57AD4187">
      <w:pPr>
        <w:pStyle w:val="4"/>
      </w:pPr>
      <w:r>
        <w:rPr>
          <w:rFonts w:ascii="微软雅黑" w:hAnsi="微软雅黑" w:eastAsia="微软雅黑"/>
          <w:b/>
          <w:sz w:val="26"/>
        </w:rPr>
        <w:t>3.1 P1：语义与边界</w:t>
      </w:r>
    </w:p>
    <w:p w14:paraId="685D0683">
      <w:r>
        <w:rPr>
          <w:rFonts w:ascii="微软雅黑" w:hAnsi="微软雅黑" w:eastAsia="微软雅黑"/>
          <w:b w:val="0"/>
          <w:sz w:val="21"/>
        </w:rPr>
        <w:t>定义模块定位、职责边界、核心概念、对外依赖和标准映射。输出主要是设计文档、边界图、术语表和标准映射。</w:t>
      </w:r>
    </w:p>
    <w:p w14:paraId="11AA62BF">
      <w:pPr>
        <w:pStyle w:val="4"/>
      </w:pPr>
      <w:r>
        <w:rPr>
          <w:rFonts w:ascii="微软雅黑" w:hAnsi="微软雅黑" w:eastAsia="微软雅黑"/>
          <w:b/>
          <w:sz w:val="26"/>
        </w:rPr>
        <w:t>3.2 P2：骨架与契约</w:t>
      </w:r>
    </w:p>
    <w:p w14:paraId="63EC0622">
      <w:r>
        <w:rPr>
          <w:rFonts w:ascii="微软雅黑" w:hAnsi="微软雅黑" w:eastAsia="微软雅黑"/>
          <w:b w:val="0"/>
          <w:sz w:val="21"/>
        </w:rPr>
        <w:t>形成代码骨架、接口、抽象、事件、命令/查询/视图模型和最小测试，但不进入复杂业务逻辑。</w:t>
      </w:r>
    </w:p>
    <w:p w14:paraId="482A29B6">
      <w:pPr>
        <w:pStyle w:val="4"/>
      </w:pPr>
      <w:r>
        <w:rPr>
          <w:rFonts w:ascii="微软雅黑" w:hAnsi="微软雅黑" w:eastAsia="微软雅黑"/>
          <w:b/>
          <w:sz w:val="26"/>
        </w:rPr>
        <w:t>3.3 P3：默认实现与最小闭环</w:t>
      </w:r>
    </w:p>
    <w:p w14:paraId="34A8B2B5">
      <w:r>
        <w:rPr>
          <w:rFonts w:ascii="微软雅黑" w:hAnsi="微软雅黑" w:eastAsia="微软雅黑"/>
          <w:b w:val="0"/>
          <w:sz w:val="21"/>
        </w:rPr>
        <w:t>形成最小默认实现、最小宿主接线和最小运行闭环，能够被接起来验证，但仍不进入复杂运行时与业务算法。</w:t>
      </w:r>
    </w:p>
    <w:p w14:paraId="210367B9">
      <w:pPr>
        <w:pStyle w:val="4"/>
      </w:pPr>
      <w:r>
        <w:rPr>
          <w:rFonts w:ascii="微软雅黑" w:hAnsi="微软雅黑" w:eastAsia="微软雅黑"/>
          <w:b/>
          <w:sz w:val="26"/>
        </w:rPr>
        <w:t>3.4 P4：业务实现</w:t>
      </w:r>
    </w:p>
    <w:p w14:paraId="703B7A2F">
      <w:r>
        <w:rPr>
          <w:rFonts w:ascii="微软雅黑" w:hAnsi="微软雅黑" w:eastAsia="微软雅黑"/>
          <w:b w:val="0"/>
          <w:sz w:val="21"/>
        </w:rPr>
        <w:t>进入真正的业务能力实现，例如调度算法、协议实现、执行器、配置热加载、驱动接入或运行时管道。</w:t>
      </w:r>
    </w:p>
    <w:p w14:paraId="56165DE0">
      <w:pPr>
        <w:pStyle w:val="4"/>
      </w:pPr>
      <w:r>
        <w:rPr>
          <w:rFonts w:ascii="微软雅黑" w:hAnsi="微软雅黑" w:eastAsia="微软雅黑"/>
          <w:b/>
          <w:sz w:val="26"/>
        </w:rPr>
        <w:t>3.5 P5：强化与运维</w:t>
      </w:r>
    </w:p>
    <w:p w14:paraId="5B812EC9">
      <w:r>
        <w:rPr>
          <w:rFonts w:ascii="微软雅黑" w:hAnsi="微软雅黑" w:eastAsia="微软雅黑"/>
          <w:b w:val="0"/>
          <w:sz w:val="21"/>
        </w:rPr>
        <w:t>补齐健康检查、监控、审计、诊断、性能优化、升级、回滚、恢复和兼容性等能力。</w:t>
      </w:r>
    </w:p>
    <w:p w14:paraId="68D7273D">
      <w:pPr>
        <w:pStyle w:val="3"/>
      </w:pPr>
      <w:r>
        <w:rPr>
          <w:rFonts w:ascii="微软雅黑" w:hAnsi="微软雅黑" w:eastAsia="微软雅黑"/>
          <w:b/>
          <w:sz w:val="30"/>
        </w:rPr>
        <w:t>4 阶段治理原则</w:t>
      </w:r>
    </w:p>
    <w:p w14:paraId="4586ADC5">
      <w:pPr>
        <w:pStyle w:val="16"/>
      </w:pPr>
      <w:r>
        <w:rPr>
          <w:rFonts w:ascii="微软雅黑" w:hAnsi="微软雅黑" w:eastAsia="微软雅黑"/>
          <w:sz w:val="21"/>
        </w:rPr>
        <w:t>任何模块在进入 P4 之前，必须先完成 P2。</w:t>
      </w:r>
    </w:p>
    <w:p w14:paraId="4E7136F8">
      <w:pPr>
        <w:pStyle w:val="16"/>
      </w:pPr>
      <w:r>
        <w:rPr>
          <w:rFonts w:ascii="微软雅黑" w:hAnsi="微软雅黑" w:eastAsia="微软雅黑"/>
          <w:sz w:val="21"/>
        </w:rPr>
        <w:t>同一时间最多只允许 1 至 2 个模块进入 P3 或 P4，以防平台失衡。</w:t>
      </w:r>
    </w:p>
    <w:p w14:paraId="11E28E60">
      <w:pPr>
        <w:pStyle w:val="16"/>
      </w:pPr>
      <w:r>
        <w:rPr>
          <w:rFonts w:ascii="微软雅黑" w:hAnsi="微软雅黑" w:eastAsia="微软雅黑"/>
          <w:sz w:val="21"/>
        </w:rPr>
        <w:t>平台底座模块优先进入 P3，业务核心模块在底座未稳定前原则上停留在 P2。</w:t>
      </w:r>
    </w:p>
    <w:p w14:paraId="278D2E2B">
      <w:pPr>
        <w:pStyle w:val="16"/>
      </w:pPr>
      <w:r>
        <w:rPr>
          <w:rFonts w:ascii="微软雅黑" w:hAnsi="微软雅黑" w:eastAsia="微软雅黑"/>
          <w:sz w:val="21"/>
        </w:rPr>
        <w:t>设备实现型模块在平台底座、运行时目录、配置和日志规范未稳定前，不进入 P3/P4。</w:t>
      </w:r>
    </w:p>
    <w:p w14:paraId="35895F86">
      <w:pPr>
        <w:pStyle w:val="16"/>
      </w:pPr>
      <w:r>
        <w:rPr>
          <w:rFonts w:ascii="微软雅黑" w:hAnsi="微软雅黑" w:eastAsia="微软雅黑"/>
          <w:sz w:val="21"/>
        </w:rPr>
        <w:t>模块治理应优先横向拉齐，再选择少数模块纵向突破。</w:t>
      </w:r>
    </w:p>
    <w:p w14:paraId="31EC84F8">
      <w:pPr>
        <w:pStyle w:val="3"/>
      </w:pPr>
      <w:r>
        <w:rPr>
          <w:rFonts w:ascii="微软雅黑" w:hAnsi="微软雅黑" w:eastAsia="微软雅黑"/>
          <w:b/>
          <w:sz w:val="30"/>
        </w:rPr>
        <w:t>5 模块当前阶段与目标阶段规划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9"/>
        <w:gridCol w:w="1693"/>
        <w:gridCol w:w="1649"/>
        <w:gridCol w:w="1693"/>
        <w:gridCol w:w="1608"/>
      </w:tblGrid>
      <w:tr w14:paraId="4117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62B20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模块</w:t>
            </w:r>
          </w:p>
        </w:tc>
        <w:tc>
          <w:tcPr>
            <w:tcW w:w="1881" w:type="dxa"/>
          </w:tcPr>
          <w:p w14:paraId="71AAD1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当前阶段</w:t>
            </w:r>
          </w:p>
        </w:tc>
        <w:tc>
          <w:tcPr>
            <w:tcW w:w="1881" w:type="dxa"/>
          </w:tcPr>
          <w:p w14:paraId="19F7B4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当前状态判断</w:t>
            </w:r>
          </w:p>
        </w:tc>
        <w:tc>
          <w:tcPr>
            <w:tcW w:w="1881" w:type="dxa"/>
          </w:tcPr>
          <w:p w14:paraId="7A6174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下一目标阶段</w:t>
            </w:r>
          </w:p>
        </w:tc>
        <w:tc>
          <w:tcPr>
            <w:tcW w:w="1881" w:type="dxa"/>
          </w:tcPr>
          <w:p w14:paraId="7EDBC3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备注</w:t>
            </w:r>
          </w:p>
        </w:tc>
      </w:tr>
      <w:tr w14:paraId="5E9AB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64B651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FusionKernel</w:t>
            </w:r>
          </w:p>
        </w:tc>
        <w:tc>
          <w:tcPr>
            <w:tcW w:w="1881" w:type="dxa"/>
          </w:tcPr>
          <w:p w14:paraId="1F7451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P2→P3</w:t>
            </w:r>
          </w:p>
        </w:tc>
        <w:tc>
          <w:tcPr>
            <w:tcW w:w="1881" w:type="dxa"/>
          </w:tcPr>
          <w:p w14:paraId="54CC30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宿主、模块、生命周期、服务边界骨架已建立，正在进入最小默认实现</w:t>
            </w:r>
          </w:p>
        </w:tc>
        <w:tc>
          <w:tcPr>
            <w:tcW w:w="1881" w:type="dxa"/>
          </w:tcPr>
          <w:p w14:paraId="48A7D5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P3</w:t>
            </w:r>
          </w:p>
        </w:tc>
        <w:tc>
          <w:tcPr>
            <w:tcW w:w="1881" w:type="dxa"/>
          </w:tcPr>
          <w:p w14:paraId="4D3B42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优先推进</w:t>
            </w:r>
          </w:p>
        </w:tc>
      </w:tr>
      <w:tr w14:paraId="630D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A2A02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FusionDomain</w:t>
            </w:r>
          </w:p>
        </w:tc>
        <w:tc>
          <w:tcPr>
            <w:tcW w:w="1881" w:type="dxa"/>
          </w:tcPr>
          <w:p w14:paraId="0A0BF8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P2</w:t>
            </w:r>
          </w:p>
        </w:tc>
        <w:tc>
          <w:tcPr>
            <w:tcW w:w="1881" w:type="dxa"/>
          </w:tcPr>
          <w:p w14:paraId="743AB6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领域对象、值对象、事件目录已成型</w:t>
            </w:r>
          </w:p>
        </w:tc>
        <w:tc>
          <w:tcPr>
            <w:tcW w:w="1881" w:type="dxa"/>
          </w:tcPr>
          <w:p w14:paraId="5E29CF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暂停</w:t>
            </w:r>
          </w:p>
        </w:tc>
        <w:tc>
          <w:tcPr>
            <w:tcW w:w="1881" w:type="dxa"/>
          </w:tcPr>
          <w:p w14:paraId="144452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暂不继续深挖</w:t>
            </w:r>
          </w:p>
        </w:tc>
      </w:tr>
      <w:tr w14:paraId="1257E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5B8A4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FusionScheduler</w:t>
            </w:r>
          </w:p>
        </w:tc>
        <w:tc>
          <w:tcPr>
            <w:tcW w:w="1881" w:type="dxa"/>
          </w:tcPr>
          <w:p w14:paraId="708648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P2+</w:t>
            </w:r>
          </w:p>
        </w:tc>
        <w:tc>
          <w:tcPr>
            <w:tcW w:w="1881" w:type="dxa"/>
          </w:tcPr>
          <w:p w14:paraId="1E74BB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事件消费、编排、评估、计划、协调语义链已很深</w:t>
            </w:r>
          </w:p>
        </w:tc>
        <w:tc>
          <w:tcPr>
            <w:tcW w:w="1881" w:type="dxa"/>
          </w:tcPr>
          <w:p w14:paraId="7895F8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暂停</w:t>
            </w:r>
          </w:p>
        </w:tc>
        <w:tc>
          <w:tcPr>
            <w:tcW w:w="1881" w:type="dxa"/>
          </w:tcPr>
          <w:p w14:paraId="7C76B4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当前不建议继续纵向深挖</w:t>
            </w:r>
          </w:p>
        </w:tc>
      </w:tr>
      <w:tr w14:paraId="1000B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3BBF4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FusionFA</w:t>
            </w:r>
          </w:p>
        </w:tc>
        <w:tc>
          <w:tcPr>
            <w:tcW w:w="1881" w:type="dxa"/>
          </w:tcPr>
          <w:p w14:paraId="28C17E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P2</w:t>
            </w:r>
          </w:p>
        </w:tc>
        <w:tc>
          <w:tcPr>
            <w:tcW w:w="1881" w:type="dxa"/>
          </w:tcPr>
          <w:p w14:paraId="37E14C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映射契约、自动化视图、发布边界已成型</w:t>
            </w:r>
          </w:p>
        </w:tc>
        <w:tc>
          <w:tcPr>
            <w:tcW w:w="1881" w:type="dxa"/>
          </w:tcPr>
          <w:p w14:paraId="1CF383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暂停</w:t>
            </w:r>
          </w:p>
        </w:tc>
        <w:tc>
          <w:tcPr>
            <w:tcW w:w="1881" w:type="dxa"/>
          </w:tcPr>
          <w:p w14:paraId="0BF2CA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等待底座稳定</w:t>
            </w:r>
          </w:p>
        </w:tc>
      </w:tr>
      <w:tr w14:paraId="474B9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83C17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FusionEquipment.Abstractions</w:t>
            </w:r>
          </w:p>
        </w:tc>
        <w:tc>
          <w:tcPr>
            <w:tcW w:w="1881" w:type="dxa"/>
          </w:tcPr>
          <w:p w14:paraId="2F17BB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P2</w:t>
            </w:r>
          </w:p>
        </w:tc>
        <w:tc>
          <w:tcPr>
            <w:tcW w:w="1881" w:type="dxa"/>
          </w:tcPr>
          <w:p w14:paraId="762FDC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模块抽象、生命周期、角色接口已成型</w:t>
            </w:r>
          </w:p>
        </w:tc>
        <w:tc>
          <w:tcPr>
            <w:tcW w:w="1881" w:type="dxa"/>
          </w:tcPr>
          <w:p w14:paraId="41FE86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暂停</w:t>
            </w:r>
          </w:p>
        </w:tc>
        <w:tc>
          <w:tcPr>
            <w:tcW w:w="1881" w:type="dxa"/>
          </w:tcPr>
          <w:p w14:paraId="0F156F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当前深度足够</w:t>
            </w:r>
          </w:p>
        </w:tc>
      </w:tr>
      <w:tr w14:paraId="77EAD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A990A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FusionUI</w:t>
            </w:r>
          </w:p>
        </w:tc>
        <w:tc>
          <w:tcPr>
            <w:tcW w:w="1881" w:type="dxa"/>
          </w:tcPr>
          <w:p w14:paraId="5C7067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P1→P2</w:t>
            </w:r>
          </w:p>
        </w:tc>
        <w:tc>
          <w:tcPr>
            <w:tcW w:w="1881" w:type="dxa"/>
          </w:tcPr>
          <w:p w14:paraId="00CEF0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设计文档完整，代码侧尚未形成 WPF 壳与导航骨架</w:t>
            </w:r>
          </w:p>
        </w:tc>
        <w:tc>
          <w:tcPr>
            <w:tcW w:w="1881" w:type="dxa"/>
          </w:tcPr>
          <w:p w14:paraId="0D35D6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P2</w:t>
            </w:r>
          </w:p>
        </w:tc>
        <w:tc>
          <w:tcPr>
            <w:tcW w:w="1881" w:type="dxa"/>
          </w:tcPr>
          <w:p w14:paraId="3C957E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可作为下一批推进模块</w:t>
            </w:r>
          </w:p>
        </w:tc>
      </w:tr>
      <w:tr w14:paraId="50EE8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612B16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FusionConfig</w:t>
            </w:r>
          </w:p>
        </w:tc>
        <w:tc>
          <w:tcPr>
            <w:tcW w:w="1881" w:type="dxa"/>
          </w:tcPr>
          <w:p w14:paraId="5701E3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1881" w:type="dxa"/>
          </w:tcPr>
          <w:p w14:paraId="2C8A41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规则与目录设计已形成，但代码骨架未系统建立</w:t>
            </w:r>
          </w:p>
        </w:tc>
        <w:tc>
          <w:tcPr>
            <w:tcW w:w="1881" w:type="dxa"/>
          </w:tcPr>
          <w:p w14:paraId="73DA84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P2→P3</w:t>
            </w:r>
          </w:p>
        </w:tc>
        <w:tc>
          <w:tcPr>
            <w:tcW w:w="1881" w:type="dxa"/>
          </w:tcPr>
          <w:p w14:paraId="0FE4FF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应尽快启动</w:t>
            </w:r>
          </w:p>
        </w:tc>
      </w:tr>
      <w:tr w14:paraId="204EA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FF686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FusionLog</w:t>
            </w:r>
          </w:p>
        </w:tc>
        <w:tc>
          <w:tcPr>
            <w:tcW w:w="1881" w:type="dxa"/>
          </w:tcPr>
          <w:p w14:paraId="5067D6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1881" w:type="dxa"/>
          </w:tcPr>
          <w:p w14:paraId="6485A7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日志规则已形成，但代码骨架未系统建立</w:t>
            </w:r>
          </w:p>
        </w:tc>
        <w:tc>
          <w:tcPr>
            <w:tcW w:w="1881" w:type="dxa"/>
          </w:tcPr>
          <w:p w14:paraId="44DF47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P2→P3</w:t>
            </w:r>
          </w:p>
        </w:tc>
        <w:tc>
          <w:tcPr>
            <w:tcW w:w="1881" w:type="dxa"/>
          </w:tcPr>
          <w:p w14:paraId="335607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应尽快启动</w:t>
            </w:r>
          </w:p>
        </w:tc>
      </w:tr>
      <w:tr w14:paraId="078B3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CAF44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FusionCom</w:t>
            </w:r>
          </w:p>
        </w:tc>
        <w:tc>
          <w:tcPr>
            <w:tcW w:w="1881" w:type="dxa"/>
          </w:tcPr>
          <w:p w14:paraId="72E3A3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1881" w:type="dxa"/>
          </w:tcPr>
          <w:p w14:paraId="6D0BC9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停留在规划层</w:t>
            </w:r>
          </w:p>
        </w:tc>
        <w:tc>
          <w:tcPr>
            <w:tcW w:w="1881" w:type="dxa"/>
          </w:tcPr>
          <w:p w14:paraId="175458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暂停</w:t>
            </w:r>
          </w:p>
        </w:tc>
        <w:tc>
          <w:tcPr>
            <w:tcW w:w="1881" w:type="dxa"/>
          </w:tcPr>
          <w:p w14:paraId="5DBB2A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暂不进入实现</w:t>
            </w:r>
          </w:p>
        </w:tc>
      </w:tr>
      <w:tr w14:paraId="7F92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91B75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FusionIO</w:t>
            </w:r>
          </w:p>
        </w:tc>
        <w:tc>
          <w:tcPr>
            <w:tcW w:w="1881" w:type="dxa"/>
          </w:tcPr>
          <w:p w14:paraId="1748B8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1881" w:type="dxa"/>
          </w:tcPr>
          <w:p w14:paraId="71AC60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停留在规划层</w:t>
            </w:r>
          </w:p>
        </w:tc>
        <w:tc>
          <w:tcPr>
            <w:tcW w:w="1881" w:type="dxa"/>
          </w:tcPr>
          <w:p w14:paraId="50C9BA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暂停</w:t>
            </w:r>
          </w:p>
        </w:tc>
        <w:tc>
          <w:tcPr>
            <w:tcW w:w="1881" w:type="dxa"/>
          </w:tcPr>
          <w:p w14:paraId="05967A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暂不进入实现</w:t>
            </w:r>
          </w:p>
        </w:tc>
      </w:tr>
      <w:tr w14:paraId="46CC0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B2B59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FusionMotion</w:t>
            </w:r>
          </w:p>
        </w:tc>
        <w:tc>
          <w:tcPr>
            <w:tcW w:w="1881" w:type="dxa"/>
          </w:tcPr>
          <w:p w14:paraId="3F8E66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1881" w:type="dxa"/>
          </w:tcPr>
          <w:p w14:paraId="285AC8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停留在规划层</w:t>
            </w:r>
          </w:p>
        </w:tc>
        <w:tc>
          <w:tcPr>
            <w:tcW w:w="1881" w:type="dxa"/>
          </w:tcPr>
          <w:p w14:paraId="1196B2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暂停</w:t>
            </w:r>
          </w:p>
        </w:tc>
        <w:tc>
          <w:tcPr>
            <w:tcW w:w="1881" w:type="dxa"/>
          </w:tcPr>
          <w:p w14:paraId="4F11FC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暂不进入实现</w:t>
            </w:r>
          </w:p>
        </w:tc>
      </w:tr>
      <w:tr w14:paraId="51C5B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163F4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FusionVision</w:t>
            </w:r>
          </w:p>
        </w:tc>
        <w:tc>
          <w:tcPr>
            <w:tcW w:w="1881" w:type="dxa"/>
          </w:tcPr>
          <w:p w14:paraId="35F93A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1881" w:type="dxa"/>
          </w:tcPr>
          <w:p w14:paraId="21C1A3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停留在规划层</w:t>
            </w:r>
          </w:p>
        </w:tc>
        <w:tc>
          <w:tcPr>
            <w:tcW w:w="1881" w:type="dxa"/>
          </w:tcPr>
          <w:p w14:paraId="4C3B93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暂停</w:t>
            </w:r>
          </w:p>
        </w:tc>
        <w:tc>
          <w:tcPr>
            <w:tcW w:w="1881" w:type="dxa"/>
          </w:tcPr>
          <w:p w14:paraId="1C71AC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暂不进入实现</w:t>
            </w:r>
          </w:p>
        </w:tc>
      </w:tr>
      <w:tr w14:paraId="3332B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442E5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FusionSim</w:t>
            </w:r>
          </w:p>
        </w:tc>
        <w:tc>
          <w:tcPr>
            <w:tcW w:w="1881" w:type="dxa"/>
          </w:tcPr>
          <w:p w14:paraId="1D58AB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1881" w:type="dxa"/>
          </w:tcPr>
          <w:p w14:paraId="42D896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停留在规划层</w:t>
            </w:r>
          </w:p>
        </w:tc>
        <w:tc>
          <w:tcPr>
            <w:tcW w:w="1881" w:type="dxa"/>
          </w:tcPr>
          <w:p w14:paraId="0CC22F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暂停</w:t>
            </w:r>
          </w:p>
        </w:tc>
        <w:tc>
          <w:tcPr>
            <w:tcW w:w="1881" w:type="dxa"/>
          </w:tcPr>
          <w:p w14:paraId="05F438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暂不进入实现</w:t>
            </w:r>
          </w:p>
        </w:tc>
      </w:tr>
      <w:tr w14:paraId="750A3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C6138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FusionData</w:t>
            </w:r>
          </w:p>
        </w:tc>
        <w:tc>
          <w:tcPr>
            <w:tcW w:w="1881" w:type="dxa"/>
          </w:tcPr>
          <w:p w14:paraId="4AF606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1881" w:type="dxa"/>
          </w:tcPr>
          <w:p w14:paraId="77AA88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停留在规划层</w:t>
            </w:r>
          </w:p>
        </w:tc>
        <w:tc>
          <w:tcPr>
            <w:tcW w:w="1881" w:type="dxa"/>
          </w:tcPr>
          <w:p w14:paraId="325E3D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暂停</w:t>
            </w:r>
          </w:p>
        </w:tc>
        <w:tc>
          <w:tcPr>
            <w:tcW w:w="1881" w:type="dxa"/>
          </w:tcPr>
          <w:p w14:paraId="400D45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暂不进入实现</w:t>
            </w:r>
          </w:p>
        </w:tc>
      </w:tr>
      <w:tr w14:paraId="7839E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34012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FusionSecurity</w:t>
            </w:r>
          </w:p>
        </w:tc>
        <w:tc>
          <w:tcPr>
            <w:tcW w:w="1881" w:type="dxa"/>
          </w:tcPr>
          <w:p w14:paraId="049992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w="1881" w:type="dxa"/>
          </w:tcPr>
          <w:p w14:paraId="541383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停留在规划层</w:t>
            </w:r>
          </w:p>
        </w:tc>
        <w:tc>
          <w:tcPr>
            <w:tcW w:w="1881" w:type="dxa"/>
          </w:tcPr>
          <w:p w14:paraId="266ABA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暂停</w:t>
            </w:r>
          </w:p>
        </w:tc>
        <w:tc>
          <w:tcPr>
            <w:tcW w:w="1881" w:type="dxa"/>
          </w:tcPr>
          <w:p w14:paraId="70A9B7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暂不进入实现</w:t>
            </w:r>
          </w:p>
        </w:tc>
      </w:tr>
    </w:tbl>
    <w:p w14:paraId="6E84555E">
      <w:pPr>
        <w:pStyle w:val="3"/>
      </w:pPr>
      <w:r>
        <w:rPr>
          <w:rFonts w:ascii="微软雅黑" w:hAnsi="微软雅黑" w:eastAsia="微软雅黑"/>
          <w:b/>
          <w:sz w:val="30"/>
        </w:rPr>
        <w:t>6 当前推荐推进顺序</w:t>
      </w:r>
    </w:p>
    <w:p w14:paraId="0E10AC50">
      <w:pPr>
        <w:pStyle w:val="4"/>
      </w:pPr>
      <w:r>
        <w:rPr>
          <w:rFonts w:ascii="微软雅黑" w:hAnsi="微软雅黑" w:eastAsia="微软雅黑"/>
          <w:b/>
          <w:sz w:val="26"/>
        </w:rPr>
        <w:t>6.1 第一优先级</w:t>
      </w:r>
    </w:p>
    <w:p w14:paraId="4D83C0E2">
      <w:pPr>
        <w:pStyle w:val="16"/>
      </w:pPr>
      <w:r>
        <w:rPr>
          <w:rFonts w:ascii="微软雅黑" w:hAnsi="微软雅黑" w:eastAsia="微软雅黑"/>
          <w:sz w:val="21"/>
        </w:rPr>
        <w:t>FusionKernel：推进到 P3。</w:t>
      </w:r>
    </w:p>
    <w:p w14:paraId="31113847">
      <w:pPr>
        <w:pStyle w:val="16"/>
      </w:pPr>
      <w:r>
        <w:rPr>
          <w:rFonts w:ascii="微软雅黑" w:hAnsi="微软雅黑" w:eastAsia="微软雅黑"/>
          <w:sz w:val="21"/>
        </w:rPr>
        <w:t>FusionConfig：拉到 P2，并尽快进入 P3。</w:t>
      </w:r>
    </w:p>
    <w:p w14:paraId="03BC7728">
      <w:pPr>
        <w:pStyle w:val="16"/>
      </w:pPr>
      <w:r>
        <w:rPr>
          <w:rFonts w:ascii="微软雅黑" w:hAnsi="微软雅黑" w:eastAsia="微软雅黑"/>
          <w:sz w:val="21"/>
        </w:rPr>
        <w:t>FusionLog：拉到 P2，并尽快进入 P3。</w:t>
      </w:r>
    </w:p>
    <w:p w14:paraId="71B15224">
      <w:pPr>
        <w:pStyle w:val="4"/>
      </w:pPr>
      <w:r>
        <w:rPr>
          <w:rFonts w:ascii="微软雅黑" w:hAnsi="微软雅黑" w:eastAsia="微软雅黑"/>
          <w:b/>
          <w:sz w:val="26"/>
        </w:rPr>
        <w:t>6.2 第二优先级</w:t>
      </w:r>
    </w:p>
    <w:p w14:paraId="00EAB4ED">
      <w:pPr>
        <w:pStyle w:val="16"/>
      </w:pPr>
      <w:r>
        <w:rPr>
          <w:rFonts w:ascii="微软雅黑" w:hAnsi="微软雅黑" w:eastAsia="微软雅黑"/>
          <w:sz w:val="21"/>
        </w:rPr>
        <w:t>FusionUI：形成最小 WPF Shell 和导航骨架。</w:t>
      </w:r>
    </w:p>
    <w:p w14:paraId="3A8683DA">
      <w:pPr>
        <w:pStyle w:val="16"/>
      </w:pPr>
      <w:r>
        <w:rPr>
          <w:rFonts w:ascii="微软雅黑" w:hAnsi="微软雅黑" w:eastAsia="微软雅黑"/>
          <w:sz w:val="21"/>
        </w:rPr>
        <w:t>FusionFA：保持在 P2，先不深入。</w:t>
      </w:r>
    </w:p>
    <w:p w14:paraId="5FC63F6A">
      <w:pPr>
        <w:pStyle w:val="16"/>
      </w:pPr>
      <w:r>
        <w:rPr>
          <w:rFonts w:ascii="微软雅黑" w:hAnsi="微软雅黑" w:eastAsia="微软雅黑"/>
          <w:sz w:val="21"/>
        </w:rPr>
        <w:t>FusionScheduler：暂停在当前深度，不再继续纵向深做。</w:t>
      </w:r>
    </w:p>
    <w:p w14:paraId="27DCFB33">
      <w:pPr>
        <w:pStyle w:val="4"/>
      </w:pPr>
      <w:r>
        <w:rPr>
          <w:rFonts w:ascii="微软雅黑" w:hAnsi="微软雅黑" w:eastAsia="微软雅黑"/>
          <w:b/>
          <w:sz w:val="26"/>
        </w:rPr>
        <w:t>6.3 第三优先级</w:t>
      </w:r>
    </w:p>
    <w:p w14:paraId="624CAB40">
      <w:pPr>
        <w:pStyle w:val="16"/>
      </w:pPr>
      <w:r>
        <w:rPr>
          <w:rFonts w:ascii="微软雅黑" w:hAnsi="微软雅黑" w:eastAsia="微软雅黑"/>
          <w:sz w:val="21"/>
        </w:rPr>
        <w:t>FusionCom / FusionIO / FusionMotion / FusionVision / FusionSim 维持在 P1，等待平台底座稳定后再进入 P2。</w:t>
      </w:r>
    </w:p>
    <w:p w14:paraId="02D84425">
      <w:pPr>
        <w:pStyle w:val="3"/>
      </w:pPr>
      <w:r>
        <w:rPr>
          <w:rFonts w:ascii="微软雅黑" w:hAnsi="微软雅黑" w:eastAsia="微软雅黑"/>
          <w:b/>
          <w:sz w:val="30"/>
        </w:rPr>
        <w:t>7 当前不建议继续深挖的模块</w:t>
      </w:r>
    </w:p>
    <w:p w14:paraId="1D0788B5">
      <w:pPr>
        <w:pStyle w:val="4"/>
      </w:pPr>
      <w:r>
        <w:rPr>
          <w:rFonts w:ascii="微软雅黑" w:hAnsi="微软雅黑" w:eastAsia="微软雅黑"/>
          <w:b/>
          <w:sz w:val="26"/>
        </w:rPr>
        <w:t>7.1 FusionScheduler</w:t>
      </w:r>
    </w:p>
    <w:p w14:paraId="51E6B42A">
      <w:r>
        <w:rPr>
          <w:rFonts w:ascii="微软雅黑" w:hAnsi="微软雅黑" w:eastAsia="微软雅黑"/>
          <w:b w:val="0"/>
          <w:sz w:val="21"/>
        </w:rPr>
        <w:t>FusionScheduler 的语义链已经足够深，再往下会直接进入算法、执行器、运行时与资源竞争求解。如果 Kernel、Config、Log、Host 还未补齐，继续深做会导致过早收敛。</w:t>
      </w:r>
    </w:p>
    <w:p w14:paraId="263B558E">
      <w:pPr>
        <w:pStyle w:val="4"/>
      </w:pPr>
      <w:r>
        <w:rPr>
          <w:rFonts w:ascii="微软雅黑" w:hAnsi="微软雅黑" w:eastAsia="微软雅黑"/>
          <w:b/>
          <w:sz w:val="26"/>
        </w:rPr>
        <w:t>7.2 FusionFA</w:t>
      </w:r>
    </w:p>
    <w:p w14:paraId="073F4F0E">
      <w:r>
        <w:rPr>
          <w:rFonts w:ascii="微软雅黑" w:hAnsi="微软雅黑" w:eastAsia="微软雅黑"/>
          <w:b w:val="0"/>
          <w:sz w:val="21"/>
        </w:rPr>
        <w:t>FusionFA 当前契约和投影边界已足够，继续深入很容易过早进入 SECS/GEM/HSMS 的具体实现阶段，不符合当前项目节奏。</w:t>
      </w:r>
    </w:p>
    <w:p w14:paraId="1FB8D782">
      <w:pPr>
        <w:pStyle w:val="4"/>
      </w:pPr>
      <w:r>
        <w:rPr>
          <w:rFonts w:ascii="微软雅黑" w:hAnsi="微软雅黑" w:eastAsia="微软雅黑"/>
          <w:b/>
          <w:sz w:val="26"/>
        </w:rPr>
        <w:t>7.3 FusionDomain</w:t>
      </w:r>
    </w:p>
    <w:p w14:paraId="634FF358">
      <w:r>
        <w:rPr>
          <w:rFonts w:ascii="微软雅黑" w:hAnsi="微软雅黑" w:eastAsia="微软雅黑"/>
          <w:b w:val="0"/>
          <w:sz w:val="21"/>
        </w:rPr>
        <w:t>FusionDomain 已能作为统一语义源继续支撑其他模块，不宜在底座未稳定时持续细化过多语义。</w:t>
      </w:r>
    </w:p>
    <w:p w14:paraId="248B1973">
      <w:pPr>
        <w:pStyle w:val="3"/>
      </w:pPr>
      <w:r>
        <w:rPr>
          <w:rFonts w:ascii="微软雅黑" w:hAnsi="微软雅黑" w:eastAsia="微软雅黑"/>
          <w:b/>
          <w:sz w:val="30"/>
        </w:rPr>
        <w:t>8 当前推荐的执行策略</w:t>
      </w:r>
    </w:p>
    <w:p w14:paraId="697041CB">
      <w:r>
        <w:rPr>
          <w:rFonts w:ascii="微软雅黑" w:hAnsi="微软雅黑" w:eastAsia="微软雅黑"/>
          <w:b w:val="0"/>
          <w:sz w:val="21"/>
        </w:rPr>
        <w:t>当前推荐采用“先横向拉齐到 P2，再选择少数模块纵向推进到 P3”的策略。</w:t>
      </w:r>
    </w:p>
    <w:p w14:paraId="6BA90F87">
      <w:pPr>
        <w:pStyle w:val="16"/>
      </w:pPr>
      <w:r>
        <w:rPr>
          <w:rFonts w:ascii="微软雅黑" w:hAnsi="微软雅黑" w:eastAsia="微软雅黑"/>
          <w:sz w:val="21"/>
        </w:rPr>
        <w:t>继续一轮：FusionKernel P3。</w:t>
      </w:r>
    </w:p>
    <w:p w14:paraId="34A7EA38">
      <w:pPr>
        <w:pStyle w:val="16"/>
      </w:pPr>
      <w:r>
        <w:rPr>
          <w:rFonts w:ascii="微软雅黑" w:hAnsi="微软雅黑" w:eastAsia="微软雅黑"/>
          <w:sz w:val="21"/>
        </w:rPr>
        <w:t>随后启动：FusionConfig P2。</w:t>
      </w:r>
    </w:p>
    <w:p w14:paraId="4B78A92D">
      <w:pPr>
        <w:pStyle w:val="16"/>
      </w:pPr>
      <w:r>
        <w:rPr>
          <w:rFonts w:ascii="微软雅黑" w:hAnsi="微软雅黑" w:eastAsia="微软雅黑"/>
          <w:sz w:val="21"/>
        </w:rPr>
        <w:t>再启动：FusionLog P2。</w:t>
      </w:r>
    </w:p>
    <w:p w14:paraId="014C341E">
      <w:pPr>
        <w:pStyle w:val="16"/>
      </w:pPr>
      <w:r>
        <w:rPr>
          <w:rFonts w:ascii="微软雅黑" w:hAnsi="微软雅黑" w:eastAsia="微软雅黑"/>
          <w:sz w:val="21"/>
        </w:rPr>
        <w:t>然后推进：FusionUI P2。</w:t>
      </w:r>
    </w:p>
    <w:p w14:paraId="196BB63D">
      <w:pPr>
        <w:pStyle w:val="16"/>
      </w:pPr>
      <w:r>
        <w:rPr>
          <w:rFonts w:ascii="微软雅黑" w:hAnsi="微软雅黑" w:eastAsia="微软雅黑"/>
          <w:sz w:val="21"/>
        </w:rPr>
        <w:t>在 Host、Config、Log、Runtime Path、Build/Publish 形成最小闭环后，再考虑让少量核心模块进入更深阶段。</w:t>
      </w:r>
    </w:p>
    <w:p w14:paraId="696B9170">
      <w:pPr>
        <w:pStyle w:val="3"/>
      </w:pPr>
      <w:r>
        <w:rPr>
          <w:rFonts w:ascii="微软雅黑" w:hAnsi="微软雅黑" w:eastAsia="微软雅黑"/>
          <w:b/>
          <w:sz w:val="30"/>
        </w:rPr>
        <w:t>9 结论</w:t>
      </w:r>
    </w:p>
    <w:p w14:paraId="3868F93C">
      <w:r>
        <w:rPr>
          <w:rFonts w:ascii="微软雅黑" w:hAnsi="微软雅黑" w:eastAsia="微软雅黑"/>
          <w:b w:val="0"/>
          <w:sz w:val="21"/>
        </w:rPr>
        <w:t>FusionCore 当前最合理的治理方式，不是继续单点猛挖某一个模块，而是先把核心模块横向拉齐到统一阶段，再选择少数底座模块纵向突破。</w:t>
      </w:r>
    </w:p>
    <w:p w14:paraId="46467A40">
      <w:r>
        <w:rPr>
          <w:rFonts w:ascii="微软雅黑" w:hAnsi="微软雅黑" w:eastAsia="微软雅黑"/>
          <w:b/>
          <w:sz w:val="21"/>
        </w:rPr>
        <w:t>当前最推荐的推进顺序为：FusionKernel → FusionConfig → FusionLog → FusionUI。</w:t>
      </w: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D7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1557</Words>
  <Characters>2190</Characters>
  <Lines>0</Lines>
  <Paragraphs>0</Paragraphs>
  <TotalTime>0</TotalTime>
  <ScaleCrop>false</ScaleCrop>
  <LinksUpToDate>false</LinksUpToDate>
  <CharactersWithSpaces>2277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张明</cp:lastModifiedBy>
  <dcterms:modified xsi:type="dcterms:W3CDTF">2026-03-24T07:02:04Z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B55353AB79C64840B52B345A0E302264_13</vt:lpwstr>
  </property>
</Properties>
</file>