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74CFD">
      <w:pPr>
        <w:spacing w:before="200"/>
        <w:jc w:val="left"/>
      </w:pPr>
      <w:r>
        <w:rPr>
          <w:rFonts w:ascii="Noto Sans CJK SC" w:hAnsi="Noto Sans CJK SC" w:eastAsia="Noto Sans CJK SC"/>
          <w:b/>
          <w:color w:val="465C7A"/>
          <w:sz w:val="24"/>
        </w:rPr>
        <w:t>FusionCore</w:t>
      </w:r>
    </w:p>
    <w:p w14:paraId="3FCB83F5">
      <w:pPr>
        <w:spacing w:before="320" w:after="80"/>
        <w:jc w:val="left"/>
      </w:pPr>
      <w:r>
        <w:rPr>
          <w:rFonts w:ascii="Noto Sans CJK SC" w:hAnsi="Noto Sans CJK SC" w:eastAsia="Noto Sans CJK SC"/>
          <w:b/>
          <w:color w:val="25456E"/>
          <w:sz w:val="48"/>
        </w:rPr>
        <w:t>运行时目录与文件布局设计说明书</w:t>
      </w:r>
    </w:p>
    <w:p w14:paraId="796FC7AD">
      <w:pPr>
        <w:jc w:val="left"/>
      </w:pPr>
      <w:r>
        <w:rPr>
          <w:rFonts w:ascii="Noto Sans CJK SC" w:hAnsi="Noto Sans CJK SC" w:eastAsia="Noto Sans CJK SC"/>
          <w:b w:val="0"/>
          <w:color w:val="666666"/>
          <w:sz w:val="21"/>
        </w:rPr>
        <w:t>v1.0  |  Runtime Directory and File Layout Design Baseline</w:t>
      </w:r>
    </w:p>
    <w:p w14:paraId="5DC7D574">
      <w:pPr>
        <w:pBdr>
          <w:bottom w:val="single" w:color="5B7FA8" w:sz="18" w:space="1"/>
        </w:pBdr>
        <w:spacing w:before="200"/>
      </w:pPr>
    </w:p>
    <w:tbl>
      <w:tblPr>
        <w:tblStyle w:val="32"/>
        <w:tblW w:w="0" w:type="auto"/>
        <w:jc w:val="center"/>
        <w:tblBorders>
          <w:top w:val="single" w:color="CCD7E3" w:sz="6" w:space="0"/>
          <w:left w:val="single" w:color="CCD7E3" w:sz="6" w:space="0"/>
          <w:bottom w:val="single" w:color="CCD7E3" w:sz="6" w:space="0"/>
          <w:right w:val="single" w:color="CCD7E3" w:sz="6" w:space="0"/>
          <w:insideH w:val="single" w:color="CCD7E3" w:sz="6" w:space="0"/>
          <w:insideV w:val="single" w:color="CCD7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1E70C953">
        <w:tblPrEx>
          <w:tblBorders>
            <w:top w:val="single" w:color="CCD7E3" w:sz="6" w:space="0"/>
            <w:left w:val="single" w:color="CCD7E3" w:sz="6" w:space="0"/>
            <w:bottom w:val="single" w:color="CCD7E3" w:sz="6" w:space="0"/>
            <w:right w:val="single" w:color="CCD7E3" w:sz="6" w:space="0"/>
            <w:insideH w:val="single" w:color="CCD7E3" w:sz="6" w:space="0"/>
            <w:insideV w:val="single" w:color="CCD7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511B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文档编号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4670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FC-RUNTIME-001</w:t>
            </w:r>
          </w:p>
        </w:tc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0344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版本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65AC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v1.0</w:t>
            </w:r>
          </w:p>
        </w:tc>
      </w:tr>
      <w:tr w14:paraId="1DCAC809">
        <w:tblPrEx>
          <w:tblBorders>
            <w:top w:val="single" w:color="CCD7E3" w:sz="6" w:space="0"/>
            <w:left w:val="single" w:color="CCD7E3" w:sz="6" w:space="0"/>
            <w:bottom w:val="single" w:color="CCD7E3" w:sz="6" w:space="0"/>
            <w:right w:val="single" w:color="CCD7E3" w:sz="6" w:space="0"/>
            <w:insideH w:val="single" w:color="CCD7E3" w:sz="6" w:space="0"/>
            <w:insideV w:val="single" w:color="CCD7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119F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文档状态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E4BB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Design Baseline</w:t>
            </w:r>
          </w:p>
        </w:tc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6F77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文档类型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1ADB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平台级技术说明书</w:t>
            </w:r>
          </w:p>
        </w:tc>
      </w:tr>
      <w:tr w14:paraId="35EA6B23">
        <w:tblPrEx>
          <w:tblBorders>
            <w:top w:val="single" w:color="CCD7E3" w:sz="6" w:space="0"/>
            <w:left w:val="single" w:color="CCD7E3" w:sz="6" w:space="0"/>
            <w:bottom w:val="single" w:color="CCD7E3" w:sz="6" w:space="0"/>
            <w:right w:val="single" w:color="CCD7E3" w:sz="6" w:space="0"/>
            <w:insideH w:val="single" w:color="CCD7E3" w:sz="6" w:space="0"/>
            <w:insideV w:val="single" w:color="CCD7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C810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适用阶段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D3C5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Phase 1 至后续演进</w:t>
            </w:r>
          </w:p>
        </w:tc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EADE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默认运行根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D681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R:\</w:t>
            </w:r>
          </w:p>
        </w:tc>
      </w:tr>
      <w:tr w14:paraId="72683DB3">
        <w:tblPrEx>
          <w:tblBorders>
            <w:top w:val="single" w:color="CCD7E3" w:sz="6" w:space="0"/>
            <w:left w:val="single" w:color="CCD7E3" w:sz="6" w:space="0"/>
            <w:bottom w:val="single" w:color="CCD7E3" w:sz="6" w:space="0"/>
            <w:right w:val="single" w:color="CCD7E3" w:sz="6" w:space="0"/>
            <w:insideH w:val="single" w:color="CCD7E3" w:sz="6" w:space="0"/>
            <w:insideV w:val="single" w:color="CCD7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1EC3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编制日期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37EF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2026-03-24</w:t>
            </w:r>
          </w:p>
        </w:tc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D746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适用对象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62AA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开发、测试、部署、运维</w:t>
            </w:r>
          </w:p>
        </w:tc>
      </w:tr>
      <w:tr w14:paraId="60EE6F01">
        <w:tblPrEx>
          <w:tblBorders>
            <w:top w:val="single" w:color="CCD7E3" w:sz="6" w:space="0"/>
            <w:left w:val="single" w:color="CCD7E3" w:sz="6" w:space="0"/>
            <w:bottom w:val="single" w:color="CCD7E3" w:sz="6" w:space="0"/>
            <w:right w:val="single" w:color="CCD7E3" w:sz="6" w:space="0"/>
            <w:insideH w:val="single" w:color="CCD7E3" w:sz="6" w:space="0"/>
            <w:insideV w:val="single" w:color="CCD7E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2F2E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关联文档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1978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系统分层、进程拓扑、脚本规范（待出）</w:t>
            </w:r>
          </w:p>
        </w:tc>
        <w:tc>
          <w:tcPr>
            <w:tcW w:w="1531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5659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保密级别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F907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项目内控</w:t>
            </w:r>
          </w:p>
        </w:tc>
      </w:tr>
    </w:tbl>
    <w:p w14:paraId="6F0C9730"/>
    <w:tbl>
      <w:tblPr>
        <w:tblStyle w:val="32"/>
        <w:tblW w:w="0" w:type="auto"/>
        <w:jc w:val="center"/>
        <w:tblBorders>
          <w:top w:val="single" w:color="C8D5E4" w:sz="6" w:space="0"/>
          <w:left w:val="single" w:color="C8D5E4" w:sz="6" w:space="0"/>
          <w:bottom w:val="single" w:color="C8D5E4" w:sz="6" w:space="0"/>
          <w:right w:val="single" w:color="C8D5E4" w:sz="6" w:space="0"/>
          <w:insideH w:val="single" w:color="C8D5E4" w:sz="6" w:space="0"/>
          <w:insideV w:val="single" w:color="C8D5E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6053860">
        <w:tblPrEx>
          <w:tblBorders>
            <w:top w:val="single" w:color="C8D5E4" w:sz="6" w:space="0"/>
            <w:left w:val="single" w:color="C8D5E4" w:sz="6" w:space="0"/>
            <w:bottom w:val="single" w:color="C8D5E4" w:sz="6" w:space="0"/>
            <w:right w:val="single" w:color="C8D5E4" w:sz="6" w:space="0"/>
            <w:insideH w:val="single" w:color="C8D5E4" w:sz="6" w:space="0"/>
            <w:insideV w:val="single" w:color="C8D5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EE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19426E">
            <w:r>
              <w:rPr>
                <w:rFonts w:ascii="Noto Sans CJK SC" w:hAnsi="Noto Sans CJK SC" w:eastAsia="Noto Sans CJK SC"/>
                <w:b/>
                <w:color w:val="25456E"/>
                <w:sz w:val="21"/>
              </w:rPr>
              <w:t>设计结论</w:t>
            </w:r>
          </w:p>
          <w:p w14:paraId="532CECF2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FusionCore 运行时采用“逻辑运行根”概念，默认约定为 R:\，由脚本在启动或部署阶段完成映射与校验。</w:t>
            </w:r>
          </w:p>
          <w:p w14:paraId="44880C9F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代码层不得将 R:\ 写死为唯一真理；路径解析优先通过运行时根配置、环境变量或启动参数获得。</w:t>
            </w:r>
          </w:p>
          <w:p w14:paraId="25A120D6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运行目录必须与源代码仓库目录分离，真实运行数据不得长期写入仓库根目录。</w:t>
            </w:r>
          </w:p>
          <w:p w14:paraId="0A794F07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多进程环境下必须区分共享目录与进程私有目录，尤其禁止多个进程共写同一日志文件。</w:t>
            </w:r>
          </w:p>
        </w:tc>
      </w:tr>
    </w:tbl>
    <w:p w14:paraId="504E6CE3"/>
    <w:p w14:paraId="4F891FBB">
      <w:pPr>
        <w:pStyle w:val="3"/>
        <w:pBdr>
          <w:bottom w:val="single" w:color="D3DCE8" w:sz="6" w:space="1"/>
        </w:pBdr>
      </w:pPr>
      <w:r>
        <w:rPr>
          <w:rFonts w:ascii="Noto Sans CJK SC" w:hAnsi="Noto Sans CJK SC" w:eastAsia="Noto Sans CJK SC"/>
          <w:b/>
          <w:color w:val="25456E"/>
          <w:sz w:val="31"/>
        </w:rPr>
        <w:t>1 目的与范围</w:t>
      </w:r>
    </w:p>
    <w:p w14:paraId="23634B6C">
      <w:r>
        <w:rPr>
          <w:rFonts w:ascii="Noto Sans CJK SC" w:hAnsi="Noto Sans CJK SC" w:eastAsia="Noto Sans CJK SC"/>
          <w:b w:val="0"/>
          <w:color w:val="2D2D2D"/>
          <w:sz w:val="21"/>
        </w:rPr>
        <w:t>本说明书用于定义 FusionCore 在开发、仿真、部署与现场运行阶段的统一运行时目录结构、文件落位规则、命名规范以及多进程协作约束。文档重点回答“文件放在哪里”“谁可以写”“如何通过脚本完成初始化与映射”三个问题。</w:t>
      </w:r>
    </w:p>
    <w:p w14:paraId="04F0D55B">
      <w:r>
        <w:rPr>
          <w:rFonts w:ascii="Noto Sans CJK SC" w:hAnsi="Noto Sans CJK SC" w:eastAsia="Noto Sans CJK SC"/>
          <w:b w:val="0"/>
          <w:color w:val="2D2D2D"/>
          <w:sz w:val="21"/>
        </w:rPr>
        <w:t>本文档适用于 FusionUI、FusionScheduler、FusionFA、FusionDeviceHost、FusionVisionHost 及后续新增运行进程，也适用于测试环境、仿真环境与现场设备环境。</w:t>
      </w:r>
    </w:p>
    <w:p w14:paraId="4D98502B">
      <w:r>
        <w:rPr>
          <w:rFonts w:ascii="Noto Sans CJK SC" w:hAnsi="Noto Sans CJK SC" w:eastAsia="Noto Sans CJK SC"/>
          <w:b w:val="0"/>
          <w:color w:val="2D2D2D"/>
          <w:sz w:val="21"/>
        </w:rPr>
        <w:t>本文档不展开描述完整构建脚本、发布包结构与安装流程细节；相关内容将在《FusionCore 构建、发布与运行脚本规范说明书》中进一步固化。</w:t>
      </w:r>
    </w:p>
    <w:p w14:paraId="360E7039">
      <w:pPr>
        <w:pStyle w:val="3"/>
        <w:pBdr>
          <w:bottom w:val="single" w:color="D3DCE8" w:sz="6" w:space="1"/>
        </w:pBdr>
      </w:pPr>
      <w:r>
        <w:rPr>
          <w:rFonts w:ascii="Noto Sans CJK SC" w:hAnsi="Noto Sans CJK SC" w:eastAsia="Noto Sans CJK SC"/>
          <w:b/>
          <w:color w:val="25456E"/>
          <w:sz w:val="31"/>
        </w:rPr>
        <w:t>2 设计背景与关键原则</w:t>
      </w:r>
    </w:p>
    <w:tbl>
      <w:tblPr>
        <w:tblStyle w:val="32"/>
        <w:tblW w:w="0" w:type="auto"/>
        <w:jc w:val="center"/>
        <w:tblBorders>
          <w:top w:val="single" w:color="C9D3E0" w:sz="6" w:space="0"/>
          <w:left w:val="single" w:color="C9D3E0" w:sz="6" w:space="0"/>
          <w:bottom w:val="single" w:color="C9D3E0" w:sz="6" w:space="0"/>
          <w:right w:val="single" w:color="C9D3E0" w:sz="6" w:space="0"/>
          <w:insideH w:val="single" w:color="C9D3E0" w:sz="6" w:space="0"/>
          <w:insideV w:val="single" w:color="C9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7B9F02C5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6E044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原则</w:t>
            </w:r>
          </w:p>
        </w:tc>
        <w:tc>
          <w:tcPr>
            <w:tcW w:w="2835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88992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核心要求</w:t>
            </w:r>
          </w:p>
        </w:tc>
        <w:tc>
          <w:tcPr>
            <w:tcW w:w="4535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D6417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设计含义</w:t>
            </w:r>
          </w:p>
        </w:tc>
      </w:tr>
      <w:tr w14:paraId="1B3E2F27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E617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仓库与运行分离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F7E8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仓库目录不承载真实运行数据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BC44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配置实例、数据库、日志、临时文件均写入运行时根目录，而非源码仓库</w:t>
            </w:r>
          </w:p>
        </w:tc>
      </w:tr>
      <w:tr w14:paraId="65A1C58A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5E84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默认统一路径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B551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统一约定默认运行根为 R:\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034B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开发、测试、发布、现场排障均可使用一致路径，降低环境差异</w:t>
            </w:r>
          </w:p>
        </w:tc>
      </w:tr>
      <w:tr w14:paraId="4A21780C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F4F4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脚本优先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40A8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通过脚本建立目录与映射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527A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以 init-runtime 等脚本建立目录、拷贝模板、检查权限，避免人工手工配置</w:t>
            </w:r>
          </w:p>
        </w:tc>
      </w:tr>
      <w:tr w14:paraId="740E6C16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46A0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多进程隔离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AC94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共享目录与私有目录分离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FA01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每个进程独立写日志、临时文件和运行时锁文件，减少互相影响</w:t>
            </w:r>
          </w:p>
        </w:tc>
      </w:tr>
      <w:tr w14:paraId="7C223705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63AC5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路径可替换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03C9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代码不得硬编码物理路径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5027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R:\ 是默认逻辑根，物理根目录可以随环境变化而变化</w:t>
            </w:r>
          </w:p>
        </w:tc>
      </w:tr>
    </w:tbl>
    <w:p w14:paraId="005B1A48"/>
    <w:p w14:paraId="1BEA8B32">
      <w:pPr>
        <w:pStyle w:val="3"/>
        <w:pBdr>
          <w:bottom w:val="single" w:color="D3DCE8" w:sz="6" w:space="1"/>
        </w:pBdr>
      </w:pPr>
      <w:r>
        <w:rPr>
          <w:rFonts w:ascii="Noto Sans CJK SC" w:hAnsi="Noto Sans CJK SC" w:eastAsia="Noto Sans CJK SC"/>
          <w:b/>
          <w:color w:val="25456E"/>
          <w:sz w:val="31"/>
        </w:rPr>
        <w:t>3 运行时根目录策略</w:t>
      </w:r>
    </w:p>
    <w:p w14:paraId="277F0ACA">
      <w:pPr>
        <w:pStyle w:val="4"/>
      </w:pPr>
      <w:r>
        <w:rPr>
          <w:rFonts w:ascii="Noto Sans CJK SC" w:hAnsi="Noto Sans CJK SC" w:eastAsia="Noto Sans CJK SC"/>
          <w:b/>
          <w:color w:val="465C7A"/>
          <w:sz w:val="25"/>
        </w:rPr>
        <w:t>3.1 逻辑运行根定义</w:t>
      </w:r>
    </w:p>
    <w:p w14:paraId="48041F23">
      <w:r>
        <w:rPr>
          <w:rFonts w:ascii="Noto Sans CJK SC" w:hAnsi="Noto Sans CJK SC" w:eastAsia="Noto Sans CJK SC"/>
          <w:b w:val="0"/>
          <w:color w:val="2D2D2D"/>
          <w:sz w:val="21"/>
        </w:rPr>
        <w:t>FusionCore 将运行时文件系统的统一入口定义为“运行时根目录（Runtime Root）”。在默认方案中，该逻辑根目录约定为 R:\。所有运行时配置、数据库、日志、运行时状态文件和临时文件，均从该根目录向下展开。</w:t>
      </w:r>
    </w:p>
    <w:p w14:paraId="632158C5">
      <w:r>
        <w:rPr>
          <w:rFonts w:ascii="Noto Sans CJK SC" w:hAnsi="Noto Sans CJK SC" w:eastAsia="Noto Sans CJK SC"/>
          <w:b w:val="0"/>
          <w:color w:val="2D2D2D"/>
          <w:sz w:val="21"/>
        </w:rPr>
        <w:t>逻辑运行根的存在意义在于：对代码和文档暴露统一路径，而将不同环境下的真实物理目录差异隐藏在脚本与环境配置之后。</w:t>
      </w:r>
    </w:p>
    <w:p w14:paraId="519D92BF">
      <w:r>
        <w:drawing>
          <wp:inline distT="0" distB="0" distL="114300" distR="114300">
            <wp:extent cx="5759450" cy="3239770"/>
            <wp:effectExtent l="0" t="0" r="1270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B979"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1  逻辑运行根映射模型</w:t>
      </w:r>
    </w:p>
    <w:p w14:paraId="247EB535">
      <w:pPr>
        <w:pStyle w:val="4"/>
      </w:pPr>
      <w:r>
        <w:rPr>
          <w:rFonts w:ascii="Noto Sans CJK SC" w:hAnsi="Noto Sans CJK SC" w:eastAsia="Noto Sans CJK SC"/>
          <w:b/>
          <w:color w:val="465C7A"/>
          <w:sz w:val="25"/>
        </w:rPr>
        <w:t>3.2 默认映射方式</w:t>
      </w:r>
    </w:p>
    <w:p w14:paraId="31B4A3D4">
      <w:r>
        <w:rPr>
          <w:rFonts w:ascii="Noto Sans CJK SC" w:hAnsi="Noto Sans CJK SC" w:eastAsia="Noto Sans CJK SC"/>
          <w:b w:val="0"/>
          <w:color w:val="2D2D2D"/>
          <w:sz w:val="21"/>
        </w:rPr>
        <w:t>推荐使用脚本在程序启动前将某一物理目录映射为 R:\。在开发机上，可将本地目录（例如 D:\FusionCoreRuntimeDev）映射为 R:\；在现场环境中，可将受控运行目录（例如 C:\ProgramData\FusionCore）映射为 R:\。</w:t>
      </w:r>
    </w:p>
    <w:p w14:paraId="3C2734C3">
      <w:r>
        <w:rPr>
          <w:rFonts w:ascii="Noto Sans CJK SC" w:hAnsi="Noto Sans CJK SC" w:eastAsia="Noto Sans CJK SC"/>
          <w:b w:val="0"/>
          <w:color w:val="2D2D2D"/>
          <w:sz w:val="21"/>
        </w:rPr>
        <w:t>映射方式可以采用 subst、目录联接、系统启动脚本或安装程序中的初始化步骤。本文档不限定具体技术手段，但要求脚本最终保证“逻辑上存在一个可用的统一运行根”。</w:t>
      </w:r>
    </w:p>
    <w:p w14:paraId="7DA14C11">
      <w:pPr>
        <w:pStyle w:val="4"/>
      </w:pPr>
      <w:r>
        <w:rPr>
          <w:rFonts w:ascii="Noto Sans CJK SC" w:hAnsi="Noto Sans CJK SC" w:eastAsia="Noto Sans CJK SC"/>
          <w:b/>
          <w:color w:val="465C7A"/>
          <w:sz w:val="25"/>
        </w:rPr>
        <w:t>3.3 路径解析优先级</w:t>
      </w:r>
    </w:p>
    <w:p w14:paraId="115F630D">
      <w:r>
        <w:rPr>
          <w:rFonts w:ascii="Noto Sans CJK SC" w:hAnsi="Noto Sans CJK SC" w:eastAsia="Noto Sans CJK SC"/>
          <w:b w:val="0"/>
          <w:color w:val="2D2D2D"/>
          <w:sz w:val="21"/>
        </w:rPr>
        <w:t>虽然默认运行根为 R:\，但代码层不得假设该盘符永远存在。建议统一采用下列优先级解析运行根：</w:t>
      </w:r>
    </w:p>
    <w:p w14:paraId="6CFA1515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启动参数中显式传入的运行根路径；</w:t>
      </w:r>
    </w:p>
    <w:p w14:paraId="70634DC9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环境变量（建议名称：FUSIONCORE_RUNTIME_ROOT）；</w:t>
      </w:r>
    </w:p>
    <w:p w14:paraId="4C0A8392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平台默认约定的 R:\；</w:t>
      </w:r>
    </w:p>
    <w:p w14:paraId="4CA86670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若以上均不可用，则初始化失败并给出清晰错误信息，而不是静默退回到仓库目录。</w:t>
      </w:r>
    </w:p>
    <w:tbl>
      <w:tblPr>
        <w:tblStyle w:val="32"/>
        <w:tblW w:w="0" w:type="auto"/>
        <w:jc w:val="center"/>
        <w:tblBorders>
          <w:top w:val="single" w:color="C8D5E4" w:sz="6" w:space="0"/>
          <w:left w:val="single" w:color="C8D5E4" w:sz="6" w:space="0"/>
          <w:bottom w:val="single" w:color="C8D5E4" w:sz="6" w:space="0"/>
          <w:right w:val="single" w:color="C8D5E4" w:sz="6" w:space="0"/>
          <w:insideH w:val="single" w:color="C8D5E4" w:sz="6" w:space="0"/>
          <w:insideV w:val="single" w:color="C8D5E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76FF1BF">
        <w:tblPrEx>
          <w:tblBorders>
            <w:top w:val="single" w:color="C8D5E4" w:sz="6" w:space="0"/>
            <w:left w:val="single" w:color="C8D5E4" w:sz="6" w:space="0"/>
            <w:bottom w:val="single" w:color="C8D5E4" w:sz="6" w:space="0"/>
            <w:right w:val="single" w:color="C8D5E4" w:sz="6" w:space="0"/>
            <w:insideH w:val="single" w:color="C8D5E4" w:sz="6" w:space="0"/>
            <w:insideV w:val="single" w:color="C8D5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ED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357FC6">
            <w:r>
              <w:rPr>
                <w:rFonts w:ascii="Noto Sans CJK SC" w:hAnsi="Noto Sans CJK SC" w:eastAsia="Noto Sans CJK SC"/>
                <w:b/>
                <w:color w:val="25456E"/>
                <w:sz w:val="21"/>
              </w:rPr>
              <w:t>实施建议</w:t>
            </w:r>
          </w:p>
          <w:p w14:paraId="511E1DCA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脚本负责创建和校验 R:\；应用负责读取“运行根”配置，而不是直接散落写 R:\xxx。</w:t>
            </w:r>
          </w:p>
          <w:p w14:paraId="0E796CF7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若未来平台迁移到不同操作系统或容器环境，逻辑根概念仍可保留，只需替换其物理实现方式。</w:t>
            </w:r>
          </w:p>
        </w:tc>
      </w:tr>
    </w:tbl>
    <w:p w14:paraId="41CD5CA4"/>
    <w:p w14:paraId="5A1F0EFD">
      <w:pPr>
        <w:pStyle w:val="3"/>
        <w:pBdr>
          <w:bottom w:val="single" w:color="D3DCE8" w:sz="6" w:space="1"/>
        </w:pBdr>
      </w:pPr>
      <w:r>
        <w:rPr>
          <w:rFonts w:ascii="Noto Sans CJK SC" w:hAnsi="Noto Sans CJK SC" w:eastAsia="Noto Sans CJK SC"/>
          <w:b/>
          <w:color w:val="25456E"/>
          <w:sz w:val="31"/>
        </w:rPr>
        <w:t>4 运行时目录总布局</w:t>
      </w:r>
    </w:p>
    <w:p w14:paraId="283FA81D">
      <w:r>
        <w:rPr>
          <w:rFonts w:ascii="Noto Sans CJK SC" w:hAnsi="Noto Sans CJK SC" w:eastAsia="Noto Sans CJK SC"/>
          <w:b w:val="0"/>
          <w:color w:val="2D2D2D"/>
          <w:sz w:val="21"/>
        </w:rPr>
        <w:t>推荐的运行时根目录布局如下。该布局兼顾多进程隔离、部署便利性、现场维护可读性以及后续发布版本管理。</w:t>
      </w:r>
    </w:p>
    <w:tbl>
      <w:tblPr>
        <w:tblStyle w:val="32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2F30E3A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</w:tblPrEx>
        <w:trPr>
          <w:jc w:val="center"/>
        </w:trPr>
        <w:tc>
          <w:tcPr>
            <w:tcW w:w="9525" w:type="dxa"/>
            <w:shd w:val="clear" w:color="auto" w:fill="F6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8856582">
            <w:pPr>
              <w:pStyle w:val="164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R:\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├─ config\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├─ data\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db\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recipes\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snapshots\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imports\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└─ exports\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├─ logs\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FusionUI\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FusionScheduler\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FusionFA\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FusionDeviceHost\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└─ FusionVisionHost\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├─ runtime\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pid\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locks\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pipes\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sockets\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└─ health\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├─ temp\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├─ backups\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├─ deploy\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current\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versions\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└─ packages\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 xml:space="preserve">└─ scripts\ </w:t>
            </w:r>
          </w:p>
        </w:tc>
      </w:tr>
    </w:tbl>
    <w:p w14:paraId="758CB5A5"/>
    <w:tbl>
      <w:tblPr>
        <w:tblStyle w:val="32"/>
        <w:tblW w:w="0" w:type="auto"/>
        <w:jc w:val="center"/>
        <w:tblBorders>
          <w:top w:val="single" w:color="C9D3E0" w:sz="6" w:space="0"/>
          <w:left w:val="single" w:color="C9D3E0" w:sz="6" w:space="0"/>
          <w:bottom w:val="single" w:color="C9D3E0" w:sz="6" w:space="0"/>
          <w:right w:val="single" w:color="C9D3E0" w:sz="6" w:space="0"/>
          <w:insideH w:val="single" w:color="C9D3E0" w:sz="6" w:space="0"/>
          <w:insideV w:val="single" w:color="C9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1DC0DF3B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74BD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目录</w:t>
            </w:r>
          </w:p>
        </w:tc>
        <w:tc>
          <w:tcPr>
            <w:tcW w:w="2381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4F2B1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职责</w:t>
            </w:r>
          </w:p>
        </w:tc>
        <w:tc>
          <w:tcPr>
            <w:tcW w:w="2835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48798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典型内容</w:t>
            </w:r>
          </w:p>
        </w:tc>
        <w:tc>
          <w:tcPr>
            <w:tcW w:w="2268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717D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共享/私有</w:t>
            </w:r>
          </w:p>
        </w:tc>
      </w:tr>
      <w:tr w14:paraId="16A905A8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800E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config\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5DDD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运行时配置实例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DD98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appsettings.json、scheduler.json、fa.json、equipment/*.json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CCFF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共享</w:t>
            </w:r>
          </w:p>
        </w:tc>
      </w:tr>
      <w:tr w14:paraId="3344EF11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715AD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data\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E4D2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业务数据与持久化文件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DF8B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数据库、配方文件、快照、导入导出文件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8C90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按子目录区分</w:t>
            </w:r>
          </w:p>
        </w:tc>
      </w:tr>
      <w:tr w14:paraId="5376DA7F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21B5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logs\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A528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按进程分类的日志目录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A5AD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app.log、error.log、audit.log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CCDE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进程私有</w:t>
            </w:r>
          </w:p>
        </w:tc>
      </w:tr>
      <w:tr w14:paraId="6C08CB0D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774C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runtime\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1B95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短生命周期运行时文件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C97C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pid、locks、pipes、health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7680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进程私有为主</w:t>
            </w:r>
          </w:p>
        </w:tc>
      </w:tr>
      <w:tr w14:paraId="3799ED98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D356D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temp\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42B2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可清理临时文件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725A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缓存文件、中间文件、解压临时目录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0565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进程私有</w:t>
            </w:r>
          </w:p>
        </w:tc>
      </w:tr>
      <w:tr w14:paraId="76089813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DBBE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backups\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D1EED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备份与回滚文件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2DF1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配置备份、数据库备份、配方备份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F589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共享</w:t>
            </w:r>
          </w:p>
        </w:tc>
      </w:tr>
      <w:tr w14:paraId="30712852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CA54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deploy\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C7015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已发布程序与版本目录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696E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current、versions、packages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FE85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共享</w:t>
            </w:r>
          </w:p>
        </w:tc>
      </w:tr>
      <w:tr w14:paraId="23A42F11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3A515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scripts\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7748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部署与运维脚本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D793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init-runtime.ps1、run-dev.ps1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9994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共享</w:t>
            </w:r>
          </w:p>
        </w:tc>
      </w:tr>
    </w:tbl>
    <w:p w14:paraId="71A19934"/>
    <w:p w14:paraId="7683F261">
      <w:r>
        <w:drawing>
          <wp:inline distT="0" distB="0" distL="114300" distR="114300">
            <wp:extent cx="5759450" cy="3239770"/>
            <wp:effectExtent l="0" t="0" r="1270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6A07"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2  共享目录与进程私有目录划分</w:t>
      </w:r>
    </w:p>
    <w:p w14:paraId="4112BC72">
      <w:pPr>
        <w:pStyle w:val="3"/>
        <w:pBdr>
          <w:bottom w:val="single" w:color="D3DCE8" w:sz="6" w:space="1"/>
        </w:pBdr>
      </w:pPr>
      <w:r>
        <w:rPr>
          <w:rFonts w:ascii="Noto Sans CJK SC" w:hAnsi="Noto Sans CJK SC" w:eastAsia="Noto Sans CJK SC"/>
          <w:b/>
          <w:color w:val="25456E"/>
          <w:sz w:val="31"/>
        </w:rPr>
        <w:t>5 目录级详细规则</w:t>
      </w:r>
    </w:p>
    <w:p w14:paraId="3973D2EF">
      <w:pPr>
        <w:pStyle w:val="4"/>
      </w:pPr>
      <w:r>
        <w:rPr>
          <w:rFonts w:ascii="Noto Sans CJK SC" w:hAnsi="Noto Sans CJK SC" w:eastAsia="Noto Sans CJK SC"/>
          <w:b/>
          <w:color w:val="465C7A"/>
          <w:sz w:val="25"/>
        </w:rPr>
        <w:t>5.1 config 目录</w:t>
      </w:r>
    </w:p>
    <w:p w14:paraId="0AE2A7B4">
      <w:r>
        <w:rPr>
          <w:rFonts w:ascii="Noto Sans CJK SC" w:hAnsi="Noto Sans CJK SC" w:eastAsia="Noto Sans CJK SC"/>
          <w:b w:val="0"/>
          <w:color w:val="2D2D2D"/>
          <w:sz w:val="21"/>
        </w:rPr>
        <w:t>config 目录存放所有运行时配置实例文件。仓库中允许保存模板文件，但真正参与运行的配置实例应位于运行根目录下，而不应长期保存在源码仓库中。</w:t>
      </w:r>
    </w:p>
    <w:p w14:paraId="3DD0225B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建议将系统总配置、日志配置、调度配置、FA 配置、UI 配置拆分为独立文件，而不是一个超大 JSON。</w:t>
      </w:r>
    </w:p>
    <w:p w14:paraId="67E94E64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建议保留 equipment 子目录，用于放置设备模型、模块清单与设备级参数。</w:t>
      </w:r>
    </w:p>
    <w:p w14:paraId="59178787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建议保留 profiles 子目录或等价机制，用于区分 dev、sim、prod 等环境配置覆盖层。</w:t>
      </w:r>
    </w:p>
    <w:p w14:paraId="7E3BEE14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配置文件的修改必须可追踪、可备份，并支持脚本自动初始化。</w:t>
      </w:r>
    </w:p>
    <w:tbl>
      <w:tblPr>
        <w:tblStyle w:val="32"/>
        <w:tblW w:w="0" w:type="auto"/>
        <w:jc w:val="center"/>
        <w:tblBorders>
          <w:top w:val="single" w:color="C9D3E0" w:sz="6" w:space="0"/>
          <w:left w:val="single" w:color="C9D3E0" w:sz="6" w:space="0"/>
          <w:bottom w:val="single" w:color="C9D3E0" w:sz="6" w:space="0"/>
          <w:right w:val="single" w:color="C9D3E0" w:sz="6" w:space="0"/>
          <w:insideH w:val="single" w:color="C9D3E0" w:sz="6" w:space="0"/>
          <w:insideV w:val="single" w:color="C9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7A59EA5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62ABE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文件名建议</w:t>
            </w:r>
          </w:p>
        </w:tc>
        <w:tc>
          <w:tcPr>
            <w:tcW w:w="2835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66D29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用途</w:t>
            </w:r>
          </w:p>
        </w:tc>
        <w:tc>
          <w:tcPr>
            <w:tcW w:w="3969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6E8BE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说明</w:t>
            </w:r>
          </w:p>
        </w:tc>
      </w:tr>
      <w:tr w14:paraId="4881A17D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E0B4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appsettings.json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3316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全局运行参数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E005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根目录、环境标识、进程通用参数</w:t>
            </w:r>
          </w:p>
        </w:tc>
      </w:tr>
      <w:tr w14:paraId="135AB7DC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AE4A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logging.json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206A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日志配置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8051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日志级别、滚动策略、输出文件命名</w:t>
            </w:r>
          </w:p>
        </w:tc>
      </w:tr>
      <w:tr w14:paraId="29F75B25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A332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scheduler.json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EDBC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调度配置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F701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路由策略占位、上下文刷新节奏、超时阈值</w:t>
            </w:r>
          </w:p>
        </w:tc>
      </w:tr>
      <w:tr w14:paraId="70356430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0BD9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fa.json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6659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工厂自动化配置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EEFC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外部投影与命令边界配置，占位而非协议细节</w:t>
            </w:r>
          </w:p>
        </w:tc>
      </w:tr>
      <w:tr w14:paraId="27A74F7A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22A9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ui.json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CF1A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界面配置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4C37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主题、布局、操作员视图偏好</w:t>
            </w:r>
          </w:p>
        </w:tc>
      </w:tr>
      <w:tr w14:paraId="095ADA4D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6713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equipment\equipment.json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17B7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设备总描述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25B5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设备标识、机型、启用模块清单</w:t>
            </w:r>
          </w:p>
        </w:tc>
      </w:tr>
      <w:tr w14:paraId="70AF0254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85F9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equipment\modules.json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0B7A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模块结构配置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D9FFD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PM/TM/CM/BM 与其他子模块结构参数</w:t>
            </w:r>
          </w:p>
        </w:tc>
      </w:tr>
    </w:tbl>
    <w:p w14:paraId="5CEAEA91"/>
    <w:p w14:paraId="1C7D7168">
      <w:pPr>
        <w:pStyle w:val="4"/>
      </w:pPr>
      <w:r>
        <w:rPr>
          <w:rFonts w:ascii="Noto Sans CJK SC" w:hAnsi="Noto Sans CJK SC" w:eastAsia="Noto Sans CJK SC"/>
          <w:b/>
          <w:color w:val="465C7A"/>
          <w:sz w:val="25"/>
        </w:rPr>
        <w:t>5.2 data 目录</w:t>
      </w:r>
    </w:p>
    <w:p w14:paraId="45E7A9F9">
      <w:r>
        <w:rPr>
          <w:rFonts w:ascii="Noto Sans CJK SC" w:hAnsi="Noto Sans CJK SC" w:eastAsia="Noto Sans CJK SC"/>
          <w:b w:val="0"/>
          <w:color w:val="2D2D2D"/>
          <w:sz w:val="21"/>
        </w:rPr>
        <w:t>data 目录存放持久化数据文件、数据库文件、运行时配方文件、快照以及导入导出产物。data 目录中的文件可能跨进程共享，因此必须明确谁是写入者、谁是只读消费者。</w:t>
      </w:r>
    </w:p>
    <w:p w14:paraId="7C812C0C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db 子目录用于放置本地数据库文件；若存在共享数据库，必须先定义读写归属与并发策略。</w:t>
      </w:r>
    </w:p>
    <w:p w14:paraId="0AAC34D9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recipes 子目录用于放置运行时配方文件；若未来接入中心化配方服务，本地配方仍可作为缓存或备份。</w:t>
      </w:r>
    </w:p>
    <w:p w14:paraId="69D0AD88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snapshots 子目录用于保存状态快照或恢复参考文件；快照是投影，不应替代领域真相的归属定义。</w:t>
      </w:r>
    </w:p>
    <w:p w14:paraId="7829FDFE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imports 与 exports 子目录用于导入导出中间文件，便于现场工程师排查。</w:t>
      </w:r>
    </w:p>
    <w:tbl>
      <w:tblPr>
        <w:tblStyle w:val="32"/>
        <w:tblW w:w="0" w:type="auto"/>
        <w:jc w:val="center"/>
        <w:tblBorders>
          <w:top w:val="single" w:color="C9D3E0" w:sz="6" w:space="0"/>
          <w:left w:val="single" w:color="C9D3E0" w:sz="6" w:space="0"/>
          <w:bottom w:val="single" w:color="C9D3E0" w:sz="6" w:space="0"/>
          <w:right w:val="single" w:color="C9D3E0" w:sz="6" w:space="0"/>
          <w:insideH w:val="single" w:color="C9D3E0" w:sz="6" w:space="0"/>
          <w:insideV w:val="single" w:color="C9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16AAB8BE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BD240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子目录/文件</w:t>
            </w:r>
          </w:p>
        </w:tc>
        <w:tc>
          <w:tcPr>
            <w:tcW w:w="2324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C7341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建议命名</w:t>
            </w:r>
          </w:p>
        </w:tc>
        <w:tc>
          <w:tcPr>
            <w:tcW w:w="2324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ED4C6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写入原则</w:t>
            </w:r>
          </w:p>
        </w:tc>
        <w:tc>
          <w:tcPr>
            <w:tcW w:w="2665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B01E9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备注</w:t>
            </w:r>
          </w:p>
        </w:tc>
      </w:tr>
      <w:tr w14:paraId="0637BB94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4B795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db\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2DF3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fusioncore.db、trace.db、audit.db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C18A5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尽量单写多读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CF645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避免多个进程无约束并发写同一文件</w:t>
            </w:r>
          </w:p>
        </w:tc>
      </w:tr>
      <w:tr w14:paraId="04912A2B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68BFD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recipes\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CA67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按 RecipeId 或版本命名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C1D55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由明确服务或脚本写入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520A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配方文件与模板配置分开</w:t>
            </w:r>
          </w:p>
        </w:tc>
      </w:tr>
      <w:tr w14:paraId="64EE15C0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6350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snapshots\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C17F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YYYYMMDD-HHMMSS-*.json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9C6B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由权威进程生成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1AE9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用于恢复参考，不作为唯一真相</w:t>
            </w:r>
          </w:p>
        </w:tc>
      </w:tr>
      <w:tr w14:paraId="6D56ACB0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4111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exports\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CE8A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导出批次号或时间戳命名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9E47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导出流程单向写入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6D85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便于现场提取</w:t>
            </w:r>
          </w:p>
        </w:tc>
      </w:tr>
      <w:tr w14:paraId="5B8865E5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C990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imports\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E11D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人工或外部系统落地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0191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由导入流程消费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C941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消费后可归档或清理</w:t>
            </w:r>
          </w:p>
        </w:tc>
      </w:tr>
    </w:tbl>
    <w:p w14:paraId="66B060A1"/>
    <w:p w14:paraId="7A1EEF37">
      <w:pPr>
        <w:pStyle w:val="4"/>
      </w:pPr>
      <w:r>
        <w:rPr>
          <w:rFonts w:ascii="Noto Sans CJK SC" w:hAnsi="Noto Sans CJK SC" w:eastAsia="Noto Sans CJK SC"/>
          <w:b/>
          <w:color w:val="465C7A"/>
          <w:sz w:val="25"/>
        </w:rPr>
        <w:t>5.3 logs 目录</w:t>
      </w:r>
    </w:p>
    <w:p w14:paraId="7CEDAAF2">
      <w:r>
        <w:rPr>
          <w:rFonts w:ascii="Noto Sans CJK SC" w:hAnsi="Noto Sans CJK SC" w:eastAsia="Noto Sans CJK SC"/>
          <w:b w:val="0"/>
          <w:color w:val="2D2D2D"/>
          <w:sz w:val="21"/>
        </w:rPr>
        <w:t>日志目录必须按进程分离，严禁多个进程共写同一日志文件。日志是排障与追溯的重要依据，因此命名与目录结构必须稳定。</w:t>
      </w:r>
    </w:p>
    <w:tbl>
      <w:tblPr>
        <w:tblStyle w:val="32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01D9233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6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109C3D">
            <w:pPr>
              <w:pStyle w:val="164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R:\logs\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├─ FusionUI\2026-03-24\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app.log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├─ error.log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│  └─ audit.log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├─ FusionScheduler\2026-03-24\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>├─ FusionFA\2026-03-24\</w:t>
            </w:r>
            <w:r>
              <w:rPr>
                <w:rFonts w:hint="default" w:ascii="Arial" w:hAnsi="Arial" w:cs="Arial"/>
              </w:rPr>
              <w:br w:type="textWrapping"/>
            </w:r>
            <w:r>
              <w:rPr>
                <w:rFonts w:hint="default" w:ascii="Arial" w:hAnsi="Arial" w:eastAsia="Liberation Mono" w:cs="Arial"/>
                <w:b w:val="0"/>
                <w:color w:val="2D2D2D"/>
                <w:sz w:val="18"/>
              </w:rPr>
              <w:t xml:space="preserve">└─ FusionDeviceHost\2026-03-24\ </w:t>
            </w:r>
          </w:p>
        </w:tc>
      </w:tr>
    </w:tbl>
    <w:p w14:paraId="4A9E6FBE">
      <w:bookmarkStart w:id="0" w:name="_GoBack"/>
    </w:p>
    <w:bookmarkEnd w:id="0"/>
    <w:p w14:paraId="404B168F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首层目录使用进程名，而不是模块名或 DLL 名。</w:t>
      </w:r>
    </w:p>
    <w:p w14:paraId="78A8D0A8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第二层目录建议按日期（YYYY-MM-DD）组织，便于清理与归档。</w:t>
      </w:r>
    </w:p>
    <w:p w14:paraId="39D760A7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同一进程内可根据需要拆分 app、error、audit、ipc、performance 等文件，但应保持命名一致。</w:t>
      </w:r>
    </w:p>
    <w:p w14:paraId="31522B90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日志文件仅作为观测与审计材料，不作为业务状态同步通道。</w:t>
      </w:r>
    </w:p>
    <w:p w14:paraId="71A7870E">
      <w:pPr>
        <w:pStyle w:val="4"/>
      </w:pPr>
      <w:r>
        <w:rPr>
          <w:rFonts w:ascii="Noto Sans CJK SC" w:hAnsi="Noto Sans CJK SC" w:eastAsia="Noto Sans CJK SC"/>
          <w:b/>
          <w:color w:val="465C7A"/>
          <w:sz w:val="25"/>
        </w:rPr>
        <w:t>5.4 runtime 与 temp 目录</w:t>
      </w:r>
    </w:p>
    <w:p w14:paraId="12DA6EF0">
      <w:r>
        <w:rPr>
          <w:rFonts w:ascii="Noto Sans CJK SC" w:hAnsi="Noto Sans CJK SC" w:eastAsia="Noto Sans CJK SC"/>
          <w:b w:val="0"/>
          <w:color w:val="2D2D2D"/>
          <w:sz w:val="21"/>
        </w:rPr>
        <w:t>runtime 目录仅用于保存短生命周期的运行时协作文件，例如 pid、locks、pipes、health。temp 目录用于保存可清理的临时中间文件。</w:t>
      </w:r>
    </w:p>
    <w:p w14:paraId="53D9FE38">
      <w:r>
        <w:rPr>
          <w:rFonts w:ascii="Noto Sans CJK SC" w:hAnsi="Noto Sans CJK SC" w:eastAsia="Noto Sans CJK SC"/>
          <w:b w:val="0"/>
          <w:color w:val="2D2D2D"/>
          <w:sz w:val="21"/>
        </w:rPr>
        <w:t>这两类目录都不应承载业务真相，也不应成为跨进程的长期状态存储。系统重启后，这些文件可以重新生成。</w:t>
      </w:r>
    </w:p>
    <w:p w14:paraId="3C7A390F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runtime\pid：保存进程 pid 文件，用于脚本检查进程状态。</w:t>
      </w:r>
    </w:p>
    <w:p w14:paraId="263B03D6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runtime\locks：保存启动锁或排他锁文件，用于避免重复启动。</w:t>
      </w:r>
    </w:p>
    <w:p w14:paraId="4EB55216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runtime\pipes 与 runtime\sockets：保存本地 IPC 端点标识或命名约定。</w:t>
      </w:r>
    </w:p>
    <w:p w14:paraId="0DB69C16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runtime\health：保存进程健康快照，建议按进程拆分子目录。</w:t>
      </w:r>
    </w:p>
    <w:p w14:paraId="72485308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temp\&lt;ProcessName&gt;：每个进程独立的临时目录，允许脚本定期清理。</w:t>
      </w:r>
    </w:p>
    <w:p w14:paraId="3973C88F">
      <w:pPr>
        <w:pStyle w:val="4"/>
      </w:pPr>
      <w:r>
        <w:rPr>
          <w:rFonts w:ascii="Noto Sans CJK SC" w:hAnsi="Noto Sans CJK SC" w:eastAsia="Noto Sans CJK SC"/>
          <w:b/>
          <w:color w:val="465C7A"/>
          <w:sz w:val="25"/>
        </w:rPr>
        <w:t>5.5 backups、deploy 与 scripts 目录</w:t>
      </w:r>
    </w:p>
    <w:p w14:paraId="54D1D23B">
      <w:r>
        <w:rPr>
          <w:rFonts w:ascii="Noto Sans CJK SC" w:hAnsi="Noto Sans CJK SC" w:eastAsia="Noto Sans CJK SC"/>
          <w:b w:val="0"/>
          <w:color w:val="2D2D2D"/>
          <w:sz w:val="21"/>
        </w:rPr>
        <w:t>backups 目录用于保存配置、数据库、配方等关键文件的回滚副本。建议采用“时间戳 + 对象名”的命名方式。</w:t>
      </w:r>
    </w:p>
    <w:p w14:paraId="36EBC66F">
      <w:r>
        <w:rPr>
          <w:rFonts w:ascii="Noto Sans CJK SC" w:hAnsi="Noto Sans CJK SC" w:eastAsia="Noto Sans CJK SC"/>
          <w:b w:val="0"/>
          <w:color w:val="2D2D2D"/>
          <w:sz w:val="21"/>
        </w:rPr>
        <w:t>deploy 目录用于保存已发布版本与当前运行版本，建议至少保留 current、versions、packages 三个子目录。</w:t>
      </w:r>
    </w:p>
    <w:p w14:paraId="199A268A">
      <w:r>
        <w:rPr>
          <w:rFonts w:ascii="Noto Sans CJK SC" w:hAnsi="Noto Sans CJK SC" w:eastAsia="Noto Sans CJK SC"/>
          <w:b w:val="0"/>
          <w:color w:val="2D2D2D"/>
          <w:sz w:val="21"/>
        </w:rPr>
        <w:t>scripts 目录用于保存运行环境初始化、启动、清理与运维脚本。本文档仅定义目录职责；脚本命名与执行规范将在后续脚本规范说明书中细化。</w:t>
      </w:r>
    </w:p>
    <w:p w14:paraId="30D36158">
      <w:pPr>
        <w:pStyle w:val="3"/>
        <w:pBdr>
          <w:bottom w:val="single" w:color="D3DCE8" w:sz="6" w:space="1"/>
        </w:pBdr>
      </w:pPr>
      <w:r>
        <w:rPr>
          <w:rFonts w:ascii="Noto Sans CJK SC" w:hAnsi="Noto Sans CJK SC" w:eastAsia="Noto Sans CJK SC"/>
          <w:b/>
          <w:color w:val="25456E"/>
          <w:sz w:val="31"/>
        </w:rPr>
        <w:t>6 多进程协作下的文件归属规则</w:t>
      </w:r>
    </w:p>
    <w:p w14:paraId="3145E375">
      <w:r>
        <w:rPr>
          <w:rFonts w:ascii="Noto Sans CJK SC" w:hAnsi="Noto Sans CJK SC" w:eastAsia="Noto Sans CJK SC"/>
          <w:b w:val="0"/>
          <w:color w:val="2D2D2D"/>
          <w:sz w:val="21"/>
        </w:rPr>
        <w:t>FusionCore 采用多进程架构方向，因此文件归属规则必须遵循“权威拥有者明确、共享目录受控、私有目录隔离”的原则。</w:t>
      </w:r>
    </w:p>
    <w:tbl>
      <w:tblPr>
        <w:tblStyle w:val="32"/>
        <w:tblW w:w="0" w:type="auto"/>
        <w:jc w:val="center"/>
        <w:tblBorders>
          <w:top w:val="single" w:color="C9D3E0" w:sz="6" w:space="0"/>
          <w:left w:val="single" w:color="C9D3E0" w:sz="6" w:space="0"/>
          <w:bottom w:val="single" w:color="C9D3E0" w:sz="6" w:space="0"/>
          <w:right w:val="single" w:color="C9D3E0" w:sz="6" w:space="0"/>
          <w:insideH w:val="single" w:color="C9D3E0" w:sz="6" w:space="0"/>
          <w:insideV w:val="single" w:color="C9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20398298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1D30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对象/目录</w:t>
            </w:r>
          </w:p>
        </w:tc>
        <w:tc>
          <w:tcPr>
            <w:tcW w:w="2721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E07C4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默认拥有者</w:t>
            </w:r>
          </w:p>
        </w:tc>
        <w:tc>
          <w:tcPr>
            <w:tcW w:w="2268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F4BC8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其他进程访问方式</w:t>
            </w:r>
          </w:p>
        </w:tc>
        <w:tc>
          <w:tcPr>
            <w:tcW w:w="2268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C881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禁止事项</w:t>
            </w:r>
          </w:p>
        </w:tc>
      </w:tr>
      <w:tr w14:paraId="2FE6AD90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1E5E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logs\&lt;ProcessName&gt;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BBDB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对应进程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AE6BD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只读查看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05D5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多个进程共写一份日志</w:t>
            </w:r>
          </w:p>
        </w:tc>
      </w:tr>
      <w:tr w14:paraId="7EB61D63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1A45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runtime\pid / locks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B208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启动脚本或对应进程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53EA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脚本读取校验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6B5E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将其当作业务状态真相</w:t>
            </w:r>
          </w:p>
        </w:tc>
      </w:tr>
      <w:tr w14:paraId="3A1910E2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5B38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data\db\*.db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CBA0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明确指定的写入进程或服务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FFD0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只读访问或通过服务访问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4EA7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无约束多写</w:t>
            </w:r>
          </w:p>
        </w:tc>
      </w:tr>
      <w:tr w14:paraId="54AAC5E8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6E4A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data\snapshots\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772F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权威进程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C1E3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其他进程只读消费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EE86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将快照当作唯一真相</w:t>
            </w:r>
          </w:p>
        </w:tc>
      </w:tr>
      <w:tr w14:paraId="09421A5A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822F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config\*.json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88CB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脚本或配置管理流程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E066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各进程只读加载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7E83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运行中随意修改未备案配置</w:t>
            </w:r>
          </w:p>
        </w:tc>
      </w:tr>
    </w:tbl>
    <w:p w14:paraId="2806BFE9"/>
    <w:tbl>
      <w:tblPr>
        <w:tblStyle w:val="32"/>
        <w:tblW w:w="0" w:type="auto"/>
        <w:jc w:val="center"/>
        <w:tblBorders>
          <w:top w:val="single" w:color="C8D5E4" w:sz="6" w:space="0"/>
          <w:left w:val="single" w:color="C8D5E4" w:sz="6" w:space="0"/>
          <w:bottom w:val="single" w:color="C8D5E4" w:sz="6" w:space="0"/>
          <w:right w:val="single" w:color="C8D5E4" w:sz="6" w:space="0"/>
          <w:insideH w:val="single" w:color="C8D5E4" w:sz="6" w:space="0"/>
          <w:insideV w:val="single" w:color="C8D5E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AF9114F">
        <w:tblPrEx>
          <w:tblBorders>
            <w:top w:val="single" w:color="C8D5E4" w:sz="6" w:space="0"/>
            <w:left w:val="single" w:color="C8D5E4" w:sz="6" w:space="0"/>
            <w:bottom w:val="single" w:color="C8D5E4" w:sz="6" w:space="0"/>
            <w:right w:val="single" w:color="C8D5E4" w:sz="6" w:space="0"/>
            <w:insideH w:val="single" w:color="C8D5E4" w:sz="6" w:space="0"/>
            <w:insideV w:val="single" w:color="C8D5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FF4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D199FB">
            <w:r>
              <w:rPr>
                <w:rFonts w:ascii="Noto Sans CJK SC" w:hAnsi="Noto Sans CJK SC" w:eastAsia="Noto Sans CJK SC"/>
                <w:b/>
                <w:color w:val="25456E"/>
                <w:sz w:val="21"/>
              </w:rPr>
              <w:t>核心约束</w:t>
            </w:r>
          </w:p>
          <w:p w14:paraId="09D1EF5A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共享目录可以被多个进程读取，但写入者必须明确；若无法明确写入归属，应改为通过服务或 IPC 进行状态交换。</w:t>
            </w:r>
          </w:p>
          <w:p w14:paraId="0E80BB7D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日志、临时文件、pid、锁文件原则上都应为进程私有，避免交叉污染和排障歧义。</w:t>
            </w:r>
          </w:p>
        </w:tc>
      </w:tr>
    </w:tbl>
    <w:p w14:paraId="595BDB6B"/>
    <w:p w14:paraId="6866134B">
      <w:pPr>
        <w:pStyle w:val="3"/>
        <w:pBdr>
          <w:bottom w:val="single" w:color="D3DCE8" w:sz="6" w:space="1"/>
        </w:pBdr>
      </w:pPr>
      <w:r>
        <w:rPr>
          <w:rFonts w:ascii="Noto Sans CJK SC" w:hAnsi="Noto Sans CJK SC" w:eastAsia="Noto Sans CJK SC"/>
          <w:b/>
          <w:color w:val="25456E"/>
          <w:sz w:val="31"/>
        </w:rPr>
        <w:t>7 环境分层与目录实例</w:t>
      </w:r>
    </w:p>
    <w:p w14:paraId="2017ABEE">
      <w:r>
        <w:rPr>
          <w:rFonts w:ascii="Noto Sans CJK SC" w:hAnsi="Noto Sans CJK SC" w:eastAsia="Noto Sans CJK SC"/>
          <w:b w:val="0"/>
          <w:color w:val="2D2D2D"/>
          <w:sz w:val="21"/>
        </w:rPr>
        <w:t>为兼顾开发、仿真与生产环境，建议使用同一逻辑运行根、不同物理目录映射的方式。这样可以保持代码路径、文档表述与排障习惯一致。</w:t>
      </w:r>
    </w:p>
    <w:tbl>
      <w:tblPr>
        <w:tblStyle w:val="32"/>
        <w:tblW w:w="0" w:type="auto"/>
        <w:jc w:val="center"/>
        <w:tblBorders>
          <w:top w:val="single" w:color="C9D3E0" w:sz="6" w:space="0"/>
          <w:left w:val="single" w:color="C9D3E0" w:sz="6" w:space="0"/>
          <w:bottom w:val="single" w:color="C9D3E0" w:sz="6" w:space="0"/>
          <w:right w:val="single" w:color="C9D3E0" w:sz="6" w:space="0"/>
          <w:insideH w:val="single" w:color="C9D3E0" w:sz="6" w:space="0"/>
          <w:insideV w:val="single" w:color="C9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2022FC6E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DCDBB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环境</w:t>
            </w:r>
          </w:p>
        </w:tc>
        <w:tc>
          <w:tcPr>
            <w:tcW w:w="3005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A406A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物理目录示例</w:t>
            </w:r>
          </w:p>
        </w:tc>
        <w:tc>
          <w:tcPr>
            <w:tcW w:w="2381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A222E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映射结果</w:t>
            </w:r>
          </w:p>
        </w:tc>
        <w:tc>
          <w:tcPr>
            <w:tcW w:w="2324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95B0E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说明</w:t>
            </w:r>
          </w:p>
        </w:tc>
      </w:tr>
      <w:tr w14:paraId="46F40112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1043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开发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4AB65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D:\FusionCoreRuntimeDev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8C8D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R:\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6DB5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便于本地调试、快速清理与重建</w:t>
            </w:r>
          </w:p>
        </w:tc>
      </w:tr>
      <w:tr w14:paraId="2A7EFDCC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4136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仿真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334F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D:\FusionCoreRuntimeSim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EC11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R:\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C87F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与仿真配置、样例数据配合使用</w:t>
            </w:r>
          </w:p>
        </w:tc>
      </w:tr>
      <w:tr w14:paraId="0D016C9F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F5FE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生产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918F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C:\ProgramData\FusionCore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B9B3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R:\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25C4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受控目录，适合长期运行与运维</w:t>
            </w:r>
          </w:p>
        </w:tc>
      </w:tr>
    </w:tbl>
    <w:p w14:paraId="3B6305E8"/>
    <w:p w14:paraId="3F0F8B91">
      <w:r>
        <w:rPr>
          <w:rFonts w:ascii="Noto Sans CJK SC" w:hAnsi="Noto Sans CJK SC" w:eastAsia="Noto Sans CJK SC"/>
          <w:b w:val="0"/>
          <w:color w:val="2D2D2D"/>
          <w:sz w:val="21"/>
        </w:rPr>
        <w:t>无论映射到哪个物理目录，运行进程看到的路径都保持一致。脚本应在启动前验证目录存在、权限可写、剩余空间充足、必要子目录齐备。</w:t>
      </w:r>
    </w:p>
    <w:p w14:paraId="3085A9C5">
      <w:pPr>
        <w:pStyle w:val="3"/>
        <w:pBdr>
          <w:bottom w:val="single" w:color="D3DCE8" w:sz="6" w:space="1"/>
        </w:pBdr>
      </w:pPr>
      <w:r>
        <w:rPr>
          <w:rFonts w:ascii="Noto Sans CJK SC" w:hAnsi="Noto Sans CJK SC" w:eastAsia="Noto Sans CJK SC"/>
          <w:b/>
          <w:color w:val="25456E"/>
          <w:sz w:val="31"/>
        </w:rPr>
        <w:t>8 与脚本和代码的协同规则</w:t>
      </w:r>
    </w:p>
    <w:p w14:paraId="31C84190">
      <w:pPr>
        <w:pStyle w:val="4"/>
      </w:pPr>
      <w:r>
        <w:rPr>
          <w:rFonts w:ascii="Noto Sans CJK SC" w:hAnsi="Noto Sans CJK SC" w:eastAsia="Noto Sans CJK SC"/>
          <w:b/>
          <w:color w:val="465C7A"/>
          <w:sz w:val="25"/>
        </w:rPr>
        <w:t>8.1 脚本职责</w:t>
      </w:r>
    </w:p>
    <w:p w14:paraId="076AFBD3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init-runtime：创建物理目录、映射 R:\、创建标准子目录、拷贝模板配置、执行基本校验。</w:t>
      </w:r>
    </w:p>
    <w:p w14:paraId="1A7A4AE1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build 与 publish：完成构建、测试、发布，不直接修改运行中目录的业务数据。</w:t>
      </w:r>
    </w:p>
    <w:p w14:paraId="7298A396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run-dev / run-sim：切换环境并启动必要进程。</w:t>
      </w:r>
    </w:p>
    <w:p w14:paraId="10C6C172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clean-runtime：清理 temp、过期日志与无效 pid/lock 文件，但不得误删 data 与 backups 中的关键文件。</w:t>
      </w:r>
    </w:p>
    <w:p w14:paraId="77B9AE6C">
      <w:pPr>
        <w:pStyle w:val="4"/>
      </w:pPr>
      <w:r>
        <w:rPr>
          <w:rFonts w:ascii="Noto Sans CJK SC" w:hAnsi="Noto Sans CJK SC" w:eastAsia="Noto Sans CJK SC"/>
          <w:b/>
          <w:color w:val="465C7A"/>
          <w:sz w:val="25"/>
        </w:rPr>
        <w:t>8.2 代码职责</w:t>
      </w:r>
    </w:p>
    <w:p w14:paraId="6568528C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代码应通过统一的运行时根解析机制获取路径，不应在各模块中散落硬编码路径。</w:t>
      </w:r>
    </w:p>
    <w:p w14:paraId="35376962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代码读取 config、data、logs、runtime 等路径时，应先区分“共享目录”与“进程私有目录”。</w:t>
      </w:r>
    </w:p>
    <w:p w14:paraId="282A8BF8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代码不得使用日志文件、临时文件或 pid 文件作为跨进程业务同步机制。</w:t>
      </w:r>
    </w:p>
    <w:p w14:paraId="33BF8778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当路径不可用或目录缺失时，必须显式报错并引导运维执行初始化脚本。</w:t>
      </w:r>
    </w:p>
    <w:p w14:paraId="1B1F2D35">
      <w:pPr>
        <w:pStyle w:val="3"/>
        <w:pBdr>
          <w:bottom w:val="single" w:color="D3DCE8" w:sz="6" w:space="1"/>
        </w:pBdr>
      </w:pPr>
      <w:r>
        <w:rPr>
          <w:rFonts w:ascii="Noto Sans CJK SC" w:hAnsi="Noto Sans CJK SC" w:eastAsia="Noto Sans CJK SC"/>
          <w:b/>
          <w:color w:val="25456E"/>
          <w:sz w:val="31"/>
        </w:rPr>
        <w:t>9 一期实施建议与开放问题</w:t>
      </w:r>
    </w:p>
    <w:p w14:paraId="64E86ECD">
      <w:pPr>
        <w:pStyle w:val="4"/>
      </w:pPr>
      <w:r>
        <w:rPr>
          <w:rFonts w:ascii="Noto Sans CJK SC" w:hAnsi="Noto Sans CJK SC" w:eastAsia="Noto Sans CJK SC"/>
          <w:b/>
          <w:color w:val="465C7A"/>
          <w:sz w:val="25"/>
        </w:rPr>
        <w:t>9.1 一期实施建议</w:t>
      </w:r>
    </w:p>
    <w:p w14:paraId="3573AB6B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先固化运行根解析规则与默认目录树，再进入具体脚本实现。</w:t>
      </w:r>
    </w:p>
    <w:p w14:paraId="0AE40FE8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先统一配置、数据库、日志与运行时文件的落位规则，再定义更细的保留周期与清理策略。</w:t>
      </w:r>
    </w:p>
    <w:p w14:paraId="1D636144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先将 R:\ 作为默认逻辑根写入文档与脚本，再通过环境变量保留替换能力。</w:t>
      </w:r>
    </w:p>
    <w:p w14:paraId="3811EADD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对共享数据库文件，尽早明确“单写多读”还是“通过服务访问”的模式。</w:t>
      </w:r>
    </w:p>
    <w:p w14:paraId="215B26D9">
      <w:pPr>
        <w:pStyle w:val="4"/>
      </w:pPr>
      <w:r>
        <w:rPr>
          <w:rFonts w:ascii="Noto Sans CJK SC" w:hAnsi="Noto Sans CJK SC" w:eastAsia="Noto Sans CJK SC"/>
          <w:b/>
          <w:color w:val="465C7A"/>
          <w:sz w:val="25"/>
        </w:rPr>
        <w:t>9.2 开放问题</w:t>
      </w:r>
    </w:p>
    <w:p w14:paraId="72ADAF43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是否在一期即引入统一的 RuntimePathOptions / IRuntimeDirectoryProvider 抽象；</w:t>
      </w:r>
    </w:p>
    <w:p w14:paraId="6461E0D8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共享数据库文件是否拆分为多个子库，还是由单一进程持有写入权；</w:t>
      </w:r>
    </w:p>
    <w:p w14:paraId="5FB2BB2E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现场环境中 R:\ 的映射方式采用 subst、安装程序还是系统服务初始化；</w:t>
      </w:r>
    </w:p>
    <w:p w14:paraId="3C0ACC38">
      <w:pPr>
        <w:ind w:left="397" w:hanging="170"/>
      </w:pPr>
      <w:r>
        <w:rPr>
          <w:rFonts w:ascii="Noto Sans CJK SC" w:hAnsi="Noto Sans CJK SC" w:eastAsia="Noto Sans CJK SC"/>
          <w:b/>
          <w:color w:val="465C7A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D2D2D"/>
          <w:sz w:val="21"/>
        </w:rPr>
        <w:t>日志保留策略、压缩策略与归档策略是否由脚本处理还是由日志组件处理。</w:t>
      </w:r>
    </w:p>
    <w:p w14:paraId="54E143F7">
      <w:pPr>
        <w:pStyle w:val="3"/>
        <w:pBdr>
          <w:bottom w:val="single" w:color="D3DCE8" w:sz="6" w:space="1"/>
        </w:pBdr>
      </w:pPr>
      <w:r>
        <w:rPr>
          <w:rFonts w:ascii="Noto Sans CJK SC" w:hAnsi="Noto Sans CJK SC" w:eastAsia="Noto Sans CJK SC"/>
          <w:b/>
          <w:color w:val="25456E"/>
          <w:sz w:val="31"/>
        </w:rPr>
        <w:t>附录 A 规范摘要</w:t>
      </w:r>
    </w:p>
    <w:tbl>
      <w:tblPr>
        <w:tblStyle w:val="32"/>
        <w:tblW w:w="0" w:type="auto"/>
        <w:jc w:val="center"/>
        <w:tblBorders>
          <w:top w:val="single" w:color="C8D5E4" w:sz="6" w:space="0"/>
          <w:left w:val="single" w:color="C8D5E4" w:sz="6" w:space="0"/>
          <w:bottom w:val="single" w:color="C8D5E4" w:sz="6" w:space="0"/>
          <w:right w:val="single" w:color="C8D5E4" w:sz="6" w:space="0"/>
          <w:insideH w:val="single" w:color="C8D5E4" w:sz="6" w:space="0"/>
          <w:insideV w:val="single" w:color="C8D5E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EE1B57D">
        <w:tblPrEx>
          <w:tblBorders>
            <w:top w:val="single" w:color="C8D5E4" w:sz="6" w:space="0"/>
            <w:left w:val="single" w:color="C8D5E4" w:sz="6" w:space="0"/>
            <w:bottom w:val="single" w:color="C8D5E4" w:sz="6" w:space="0"/>
            <w:right w:val="single" w:color="C8D5E4" w:sz="6" w:space="0"/>
            <w:insideH w:val="single" w:color="C8D5E4" w:sz="6" w:space="0"/>
            <w:insideV w:val="single" w:color="C8D5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EE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8072F9">
            <w:r>
              <w:rPr>
                <w:rFonts w:ascii="Noto Sans CJK SC" w:hAnsi="Noto Sans CJK SC" w:eastAsia="Noto Sans CJK SC"/>
                <w:b/>
                <w:color w:val="25456E"/>
                <w:sz w:val="21"/>
              </w:rPr>
              <w:t>必须遵守的落地规则</w:t>
            </w:r>
          </w:p>
          <w:p w14:paraId="70FA33EF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运行目录必须与仓库目录分离。</w:t>
            </w:r>
          </w:p>
          <w:p w14:paraId="4A377D14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R:\ 是默认逻辑运行根，而不是硬编码的唯一真理。</w:t>
            </w:r>
          </w:p>
          <w:p w14:paraId="7E723878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所有进程必须使用统一目录结构，但各自写入各自的日志与临时文件。</w:t>
            </w:r>
          </w:p>
          <w:p w14:paraId="3A68A3A7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配置模板可放仓库，配置实例必须位于运行时根目录。</w:t>
            </w:r>
          </w:p>
          <w:p w14:paraId="79125D55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日志、pid、lock、temp 均不得作为业务真相来源。</w:t>
            </w:r>
          </w:p>
          <w:p w14:paraId="66B14769">
            <w:pPr>
              <w:spacing w:after="0"/>
              <w:ind w:left="198" w:hanging="142"/>
            </w:pPr>
            <w:r>
              <w:rPr>
                <w:rFonts w:ascii="Noto Sans CJK SC" w:hAnsi="Noto Sans CJK SC" w:eastAsia="Noto Sans CJK SC"/>
                <w:b/>
                <w:color w:val="465C7A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共享数据文件必须显式定义写入归属与访问规则。</w:t>
            </w:r>
          </w:p>
        </w:tc>
      </w:tr>
    </w:tbl>
    <w:p w14:paraId="615F5E0C"/>
    <w:p w14:paraId="6BBE6029">
      <w:pPr>
        <w:pStyle w:val="3"/>
        <w:pBdr>
          <w:bottom w:val="single" w:color="D3DCE8" w:sz="6" w:space="1"/>
        </w:pBdr>
      </w:pPr>
      <w:r>
        <w:rPr>
          <w:rFonts w:ascii="Noto Sans CJK SC" w:hAnsi="Noto Sans CJK SC" w:eastAsia="Noto Sans CJK SC"/>
          <w:b/>
          <w:color w:val="25456E"/>
          <w:sz w:val="31"/>
        </w:rPr>
        <w:t>附录 B 推荐文件命名</w:t>
      </w:r>
    </w:p>
    <w:tbl>
      <w:tblPr>
        <w:tblStyle w:val="32"/>
        <w:tblW w:w="0" w:type="auto"/>
        <w:jc w:val="center"/>
        <w:tblBorders>
          <w:top w:val="single" w:color="C9D3E0" w:sz="6" w:space="0"/>
          <w:left w:val="single" w:color="C9D3E0" w:sz="6" w:space="0"/>
          <w:bottom w:val="single" w:color="C9D3E0" w:sz="6" w:space="0"/>
          <w:right w:val="single" w:color="C9D3E0" w:sz="6" w:space="0"/>
          <w:insideH w:val="single" w:color="C9D3E0" w:sz="6" w:space="0"/>
          <w:insideV w:val="single" w:color="C9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01279E9A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ECDBA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类别</w:t>
            </w:r>
          </w:p>
        </w:tc>
        <w:tc>
          <w:tcPr>
            <w:tcW w:w="2721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3D697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命名建议</w:t>
            </w:r>
          </w:p>
        </w:tc>
        <w:tc>
          <w:tcPr>
            <w:tcW w:w="4082" w:type="dxa"/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DA400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5456E"/>
                <w:sz w:val="19"/>
              </w:rPr>
              <w:t>说明</w:t>
            </w:r>
          </w:p>
        </w:tc>
      </w:tr>
      <w:tr w14:paraId="00CD20AC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EBF1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全局配置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17B4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appsettings.json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3622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运行根、环境、共用参数</w:t>
            </w:r>
          </w:p>
        </w:tc>
      </w:tr>
      <w:tr w14:paraId="4DAD6608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6C5E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调度配置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7552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scheduler.json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5812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调度相关占位参数</w:t>
            </w:r>
          </w:p>
        </w:tc>
      </w:tr>
      <w:tr w14:paraId="79EEFD40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D996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FA 配置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F075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fa.json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2F58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自动化投影相关占位参数</w:t>
            </w:r>
          </w:p>
        </w:tc>
      </w:tr>
      <w:tr w14:paraId="67F4E89B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8105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设备总配置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12BD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equipment.json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82EB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设备标识、模块启用清单</w:t>
            </w:r>
          </w:p>
        </w:tc>
      </w:tr>
      <w:tr w14:paraId="2C1A113D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9F9F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核心数据库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82D5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fusioncore.db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0385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平台级元数据或配置数据</w:t>
            </w:r>
          </w:p>
        </w:tc>
      </w:tr>
      <w:tr w14:paraId="62787239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DE2E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追溯数据库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1E64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trace.db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FAC15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追溯与历史记录</w:t>
            </w:r>
          </w:p>
        </w:tc>
      </w:tr>
      <w:tr w14:paraId="6439889F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4EFB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审计数据库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C49F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audit.db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FCE8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审计日志与关键操作记录</w:t>
            </w:r>
          </w:p>
        </w:tc>
      </w:tr>
      <w:tr w14:paraId="451CA88A">
        <w:tblPrEx>
          <w:tblBorders>
            <w:top w:val="single" w:color="C9D3E0" w:sz="6" w:space="0"/>
            <w:left w:val="single" w:color="C9D3E0" w:sz="6" w:space="0"/>
            <w:bottom w:val="single" w:color="C9D3E0" w:sz="6" w:space="0"/>
            <w:right w:val="single" w:color="C9D3E0" w:sz="6" w:space="0"/>
            <w:insideH w:val="single" w:color="C9D3E0" w:sz="6" w:space="0"/>
            <w:insideV w:val="single" w:color="C9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D90A4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进程日志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8952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app.log / error.log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3DCB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19"/>
              </w:rPr>
              <w:t>位于 logs\&lt;ProcessName&gt;\&lt;Date&gt;\</w:t>
            </w:r>
          </w:p>
        </w:tc>
      </w:tr>
    </w:tbl>
    <w:p w14:paraId="3A240A2E"/>
    <w:sectPr>
      <w:headerReference r:id="rId5" w:type="default"/>
      <w:footerReference r:id="rId6" w:type="default"/>
      <w:pgSz w:w="11906" w:h="16838"/>
      <w:pgMar w:top="1191" w:right="1134" w:bottom="1020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Mon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altName w:val="Times New Roman"/>
    <w:panose1 w:val="02020400000000000000"/>
    <w:charset w:val="00"/>
    <w:family w:val="auto"/>
    <w:pitch w:val="default"/>
    <w:sig w:usb0="000002D7" w:usb1="2AC73C11" w:usb2="00000012" w:usb3="00000000" w:csb0="2002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FW筑紫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E0C08">
    <w:pPr>
      <w:pStyle w:val="24"/>
      <w:jc w:val="center"/>
    </w:pPr>
    <w:r>
      <w:rPr>
        <w:rFonts w:ascii="Noto Sans CJK SC" w:hAnsi="Noto Sans CJK SC" w:eastAsia="Noto Sans CJK SC"/>
        <w:b w:val="0"/>
        <w:color w:val="666666"/>
        <w:sz w:val="16"/>
      </w:rPr>
      <w:t>FusionCore Runtime Layout Baseline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8CDAF">
    <w:pPr>
      <w:pStyle w:val="25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FC-RUNTIME-001  |  FusionCore 运行时目录与文件布局设计说明书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3771C6"/>
    <w:rsid w:val="7DC1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7" w:lineRule="auto"/>
    </w:pPr>
    <w:rPr>
      <w:rFonts w:ascii="Noto Sans CJK SC" w:hAnsi="Noto Sans CJK SC" w:eastAsia="Noto Sans CJK SC" w:cstheme="minorBidi"/>
      <w:color w:val="2D2D2D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25456E"/>
      <w:sz w:val="3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465C7A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D2D2D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5456E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40" w:after="40" w:line="259" w:lineRule="auto"/>
      <w:ind w:left="142" w:right="113"/>
    </w:pPr>
    <w:rPr>
      <w:rFonts w:ascii="Liberation Mono" w:hAnsi="Liberation Mono" w:eastAsia="Liberation Mono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1056</Words>
  <Characters>1333</Characters>
  <Lines>0</Lines>
  <Paragraphs>0</Paragraphs>
  <TotalTime>8</TotalTime>
  <ScaleCrop>false</ScaleCrop>
  <LinksUpToDate>false</LinksUpToDate>
  <CharactersWithSpaces>1380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张明</cp:lastModifiedBy>
  <dcterms:modified xsi:type="dcterms:W3CDTF">2026-03-24T02:46:57Z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eyJoZGlkIjoiYTU3MjAzOGI1ZWM1NjI3YTE0MjIzZDIwNTMwM2NhZjEiLCJ1c2VySWQiOiI2MzQzNTk1MjMifQ==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C95E3490877D4C08B482DABD6799DF46_13</vt:lpwstr>
  </property>
</Properties>
</file>