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  <w:t>Event Driven微服务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Spring-boot-axon-sample</w:t>
      </w:r>
    </w:p>
    <w:p>
      <w:p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系统架构如下所示：</w:t>
      </w:r>
    </w:p>
    <w:p>
      <w:p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object>
          <v:shape id="_x0000_i1025" o:spt="75" type="#_x0000_t75" style="height:189.2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在Task类中定义Domain，核心代码如下所示：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@Aggregate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class Task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@AggregateIdentifier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private String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//定义CommandHandler，根据CommandBus中的Command进行对应处理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@CommandHandler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public Task(CreateTaskCommand command)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//直接发送Event到EventBus中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apply(new TaskCreatedEvent(command.getId(), command.getUsername(), command.getTitle()));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@CommandHandler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void on(UnstarTaskCommand command)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apply(new TaskUnstarredEvent(command.getId()));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在TaskEntryUpdatingEventHandler中定义EventHandler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@Component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class TaskEntryUpdatingEventHandler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private final TaskEntryRepository taskEntryRepository;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@Autowired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public TaskEntryUpdatingEventHandler(TaskEntryRepository taskEntryRepository)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this.taskEntryRepository = taskEntryRepository;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//定义EventHandler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i/>
          <w:iCs/>
          <w:color w:val="FF0000"/>
          <w:sz w:val="21"/>
          <w:szCs w:val="21"/>
          <w:lang w:val="en-US" w:eastAsia="zh-CN"/>
        </w:rPr>
        <w:t>@EventHandler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void on(TaskCreatedEvent event)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//将数据写入到数据库中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TaskEntry task = new TaskEntry(event.getId(), event.getUsername(), event.getTitle(), false, false);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taskEntryRepository.save(task);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在例子上仅定义了Command的执行，并没有涉及到Query的处理。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https://github.com/avthart/spring-boot-axon-sample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AxonIQ Example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在该示例中使用Event Driven架构，实现了读写模块分离，模块之间通过Event来交互，架构如下所示：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896360" cy="3082925"/>
            <wp:effectExtent l="0" t="0" r="2540" b="3175"/>
            <wp:docPr id="1" name="图片 1" descr="CQ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Q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https://github.com/mgorav/EventDrivenMicroServiceUsingAxonIQ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6D31"/>
    <w:rsid w:val="0DC35CD2"/>
    <w:rsid w:val="18ED43AA"/>
    <w:rsid w:val="1A3D6B4F"/>
    <w:rsid w:val="25666296"/>
    <w:rsid w:val="2F2E6B77"/>
    <w:rsid w:val="42662B68"/>
    <w:rsid w:val="47A233C7"/>
    <w:rsid w:val="509D26B5"/>
    <w:rsid w:val="5785180F"/>
    <w:rsid w:val="6910144D"/>
    <w:rsid w:val="69E52F5F"/>
    <w:rsid w:val="72F3798B"/>
    <w:rsid w:val="7B97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2018-07-10T18:34:50Z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