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FOCUSED LESSON · INTERMEDIATE HIGH–ADVANCED LOW</w:t>
            </w:r>
          </w:p>
        </w:tc>
      </w:tr>
    </w:tbl>
    <w:p>
      <w:pPr>
        <w:pStyle w:val="Title"/>
        <w:spacing w:before="360"/>
      </w:pPr>
      <w:r>
        <w:t>一件不该被抢的衣服</w:t>
      </w:r>
    </w:p>
    <w:p>
      <w:pPr>
        <w:pStyle w:val="Subtitle"/>
      </w:pPr>
      <w:r>
        <w:t>《黑神话：悟空》袈裟文化任务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学生观察袈裟、追问人物、比较文化物件，完成一段有证据的中文解释。</w:t>
      </w:r>
    </w:p>
    <w:p>
      <w:pPr>
        <w:pStyle w:val="Heading1"/>
      </w:pPr>
      <w:r>
        <w:t>一、主题内容</w:t>
      </w:r>
    </w:p>
    <w:p>
      <w:r>
        <w:t>本任务围绕《黑神话：悟空》相关叙事中的袈裟展开。袈裟是一件可以观察材料、颜色、缝制方式和使用者身份的衣服；锦襕袈裟在文学叙事中又成为珍贵、收藏和争夺的对象。它同时连接修行提醒、社会眼光、个人欲望和行动后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文化理解　</w:t>
            </w:r>
            <w:r>
              <w:rPr>
                <w:rFonts w:ascii="Aptos" w:hAnsi="Aptos" w:eastAsia="等线"/>
                <w:color w:val="352A23"/>
                <w:sz w:val="21"/>
              </w:rPr>
              <w:t>物有功能，也会被人赋予身份、价格和情感。人物怎样看物，决定了他们怎样行动。</w:t>
            </w:r>
          </w:p>
        </w:tc>
      </w:tr>
    </w:tbl>
    <w:p>
      <w:pPr>
        <w:spacing w:after="0"/>
      </w:pPr>
    </w:p>
    <w:p>
      <w:pPr>
        <w:pStyle w:val="Heading1"/>
      </w:pPr>
      <w:r>
        <w:t>二、学习目标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维度</w:t>
            </w:r>
          </w:p>
        </w:tc>
        <w:tc>
          <w:tcPr>
            <w:tcW w:type="dxa" w:w="765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学习者能够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识别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说出袈裟的外观、用途和故事中的特殊价值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关系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用本来、后来、因为、所以连接物、人物和行动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互动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向金池长老与黑熊精提问，回应角色的新问题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用熟悉的文化物件说明一个相似点和一个差异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解释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完成45–60秒中文说明，并根据一条建议补说</w:t>
            </w:r>
          </w:p>
        </w:tc>
      </w:tr>
    </w:tbl>
    <w:p>
      <w:pPr>
        <w:spacing w:after="0"/>
      </w:pPr>
    </w:p>
    <w:p>
      <w:pPr>
        <w:pStyle w:val="Heading1"/>
      </w:pPr>
      <w:r>
        <w:t>三、文化事实卡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证据</w:t>
            </w:r>
          </w:p>
        </w:tc>
        <w:tc>
          <w:tcPr>
            <w:tcW w:type="dxa" w:w="5216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学生可见文本</w:t>
            </w:r>
          </w:p>
        </w:tc>
        <w:tc>
          <w:tcPr>
            <w:tcW w:type="dxa" w:w="243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来源类型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袈裟外观</w:t>
            </w:r>
          </w:p>
        </w:tc>
        <w:tc>
          <w:tcPr>
            <w:tcW w:type="dxa" w:w="52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早期佛教传统中的粪扫衣可由弃布清洗、缝成。拼接外观能提示朴素与节制。</w:t>
            </w:r>
          </w:p>
        </w:tc>
        <w:tc>
          <w:tcPr>
            <w:tcW w:type="dxa" w:w="243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博物馆藏品说明与教师改写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锦襕袈裟</w:t>
            </w:r>
          </w:p>
        </w:tc>
        <w:tc>
          <w:tcPr>
            <w:tcW w:type="dxa" w:w="5216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《西游记》把唐僧的锦襕袈裟写成缀有珍宝的特殊衣物。</w:t>
            </w:r>
          </w:p>
        </w:tc>
        <w:tc>
          <w:tcPr>
            <w:tcW w:type="dxa" w:w="243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文学原典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收藏记录</w:t>
            </w:r>
          </w:p>
        </w:tc>
        <w:tc>
          <w:tcPr>
            <w:tcW w:type="dxa" w:w="52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金池长老已经收藏许多袈裟，看见锦襕袈裟后仍想占有。</w:t>
            </w:r>
          </w:p>
        </w:tc>
        <w:tc>
          <w:tcPr>
            <w:tcW w:type="dxa" w:w="243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文学叙事与游戏人物线索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行动后果</w:t>
            </w:r>
          </w:p>
        </w:tc>
        <w:tc>
          <w:tcPr>
            <w:tcW w:type="dxa" w:w="5216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占有欲推动借看、藏留、纵火与趁火取衣。</w:t>
            </w:r>
          </w:p>
        </w:tc>
        <w:tc>
          <w:tcPr>
            <w:tcW w:type="dxa" w:w="243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文学情节概括</w:t>
            </w:r>
          </w:p>
        </w:tc>
      </w:tr>
    </w:tbl>
    <w:p>
      <w:pPr>
        <w:spacing w:after="0"/>
      </w:pPr>
    </w:p>
    <w:p>
      <w:pPr>
        <w:pStyle w:val="Heading1"/>
      </w:pPr>
      <w:r>
        <w:t>四、课堂流程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53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环节</w:t>
            </w:r>
          </w:p>
        </w:tc>
        <w:tc>
          <w:tcPr>
            <w:tcW w:type="dxa" w:w="124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时间</w:t>
            </w:r>
          </w:p>
        </w:tc>
        <w:tc>
          <w:tcPr>
            <w:tcW w:type="dxa" w:w="345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教学输入</w:t>
            </w:r>
          </w:p>
        </w:tc>
        <w:tc>
          <w:tcPr>
            <w:tcW w:type="dxa" w:w="311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口语产出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前测</w:t>
            </w:r>
          </w:p>
        </w:tc>
        <w:tc>
          <w:tcPr>
            <w:tcW w:type="dxa" w:w="124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课前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“这件衣服为什么会被抢？”；录音上限3分钟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回听并保留一个版本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Enter</w:t>
            </w:r>
          </w:p>
        </w:tc>
        <w:tc>
          <w:tcPr>
            <w:tcW w:type="dxa" w:w="124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30秒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火后禅院与焦木案台上的袈裟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接受记事任务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Discover</w:t>
            </w:r>
          </w:p>
        </w:tc>
        <w:tc>
          <w:tcPr>
            <w:tcW w:type="dxa" w:w="124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60–90秒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四条证据自由拾取；随时进入角色对话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一个发现＋一个问题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Interact</w:t>
            </w:r>
          </w:p>
        </w:tc>
        <w:tc>
          <w:tcPr>
            <w:tcW w:type="dxa" w:w="124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1–2分钟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金池长老围绕收藏、身份与欲望追问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两轮以上连续口语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Compare</w:t>
            </w:r>
          </w:p>
        </w:tc>
        <w:tc>
          <w:tcPr>
            <w:tcW w:type="dxa" w:w="124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1–2分钟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黑熊精提出“宝物归强者”；跨文化物件菜单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证据回应＋相似点和差异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Explain</w:t>
            </w:r>
          </w:p>
        </w:tc>
        <w:tc>
          <w:tcPr>
            <w:tcW w:type="dxa" w:w="124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45–60秒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本来／后来／我认为三枚提示词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完整文化解释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Reflect</w:t>
            </w:r>
          </w:p>
        </w:tc>
        <w:tc>
          <w:tcPr>
            <w:tcW w:type="dxa" w:w="124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20秒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GAI给一条建议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补说一个修改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Extend</w:t>
            </w:r>
          </w:p>
        </w:tc>
        <w:tc>
          <w:tcPr>
            <w:tcW w:type="dxa" w:w="124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课后随时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原著、文物、游戏改编、新闻四条路径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60–90秒新增说明</w:t>
            </w:r>
          </w:p>
        </w:tc>
      </w:tr>
    </w:tbl>
    <w:p>
      <w:pPr>
        <w:spacing w:after="0"/>
      </w:pPr>
    </w:p>
    <w:p>
      <w:pPr>
        <w:pStyle w:val="Heading1"/>
      </w:pPr>
      <w:r>
        <w:t>五、差异化支架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需要</w:t>
            </w:r>
          </w:p>
        </w:tc>
        <w:tc>
          <w:tcPr>
            <w:tcW w:type="dxa" w:w="453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系统提供</w:t>
            </w:r>
          </w:p>
        </w:tc>
        <w:tc>
          <w:tcPr>
            <w:tcW w:type="dxa" w:w="317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研究记录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寻找关系</w:t>
            </w:r>
          </w:p>
        </w:tc>
        <w:tc>
          <w:tcPr>
            <w:tcW w:type="dxa" w:w="453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功能／价值／人物／行动四个观察轴</w:t>
            </w:r>
          </w:p>
        </w:tc>
        <w:tc>
          <w:tcPr>
            <w:tcW w:type="dxa" w:w="317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打开时间与采用信息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组织提问</w:t>
            </w:r>
          </w:p>
        </w:tc>
        <w:tc>
          <w:tcPr>
            <w:tcW w:type="dxa" w:w="453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为什么还想要？／谁让它变得珍贵？／得到以后发生了什么？</w:t>
            </w:r>
          </w:p>
        </w:tc>
        <w:tc>
          <w:tcPr>
            <w:tcW w:type="dxa" w:w="317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提示后下一轮话语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跨文化比较</w:t>
            </w:r>
          </w:p>
        </w:tc>
        <w:tc>
          <w:tcPr>
            <w:tcW w:type="dxa" w:w="453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牛仔裤、限量运动鞋、棒球帽、学习者自选物件</w:t>
            </w:r>
          </w:p>
        </w:tc>
        <w:tc>
          <w:tcPr>
            <w:tcW w:type="dxa" w:w="317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选用物件与类比边界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连续表达</w:t>
            </w:r>
          </w:p>
        </w:tc>
        <w:tc>
          <w:tcPr>
            <w:tcW w:type="dxa" w:w="453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本来……后来……；它们都……可是……</w:t>
            </w:r>
          </w:p>
        </w:tc>
        <w:tc>
          <w:tcPr>
            <w:tcW w:type="dxa" w:w="317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连接词与自我修正</w:t>
            </w:r>
          </w:p>
        </w:tc>
      </w:tr>
    </w:tbl>
    <w:p>
      <w:pPr>
        <w:spacing w:after="0"/>
      </w:pPr>
    </w:p>
    <w:p>
      <w:r>
        <w:t>Hint入口在每个环节保持可见。提示逐层展开，学生决定使用深度。</w:t>
      </w:r>
    </w:p>
    <w:p>
      <w:pPr>
        <w:pStyle w:val="Heading1"/>
      </w:pPr>
      <w:r>
        <w:t>六、评价标准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维度</w:t>
            </w:r>
          </w:p>
        </w:tc>
        <w:tc>
          <w:tcPr>
            <w:tcW w:type="dxa" w:w="385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达标</w:t>
            </w:r>
          </w:p>
        </w:tc>
        <w:tc>
          <w:tcPr>
            <w:tcW w:type="dxa" w:w="385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发展充分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证据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提到一条具体材料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整合两条证据并说明关系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因果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连接人物与行动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解释价值、欲望与后果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互动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回应角色问题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主动追问并根据回应调整表达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说出相似或差异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说明相似、差异与类比边界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中文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形成基本连贯的话段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连接清楚，能够补充和自我修正</w:t>
            </w:r>
          </w:p>
        </w:tc>
      </w:tr>
    </w:tbl>
    <w:p>
      <w:pPr>
        <w:spacing w:after="0"/>
      </w:pPr>
    </w:p>
    <w:p>
      <w:pPr>
        <w:pStyle w:val="Heading1"/>
      </w:pPr>
      <w:r>
        <w:t>七、事实表达</w:t>
      </w:r>
    </w:p>
    <w:p>
      <w:pPr>
        <w:pStyle w:val="ListBullet"/>
        <w:ind w:left="312" w:hanging="170"/>
      </w:pPr>
      <w:r>
        <w:t>“早期佛教传统中的粪扫衣可由弃布清洗、缝成。”</w:t>
      </w:r>
    </w:p>
    <w:p>
      <w:pPr>
        <w:pStyle w:val="ListBullet"/>
        <w:ind w:left="312" w:hanging="170"/>
      </w:pPr>
      <w:r>
        <w:t>“锦襕袈裟是《西游记》文学叙事中的特殊宝衣。”</w:t>
      </w:r>
    </w:p>
    <w:p>
      <w:pPr>
        <w:pStyle w:val="ListBullet"/>
        <w:ind w:left="312" w:hanging="170"/>
      </w:pPr>
      <w:r>
        <w:t>“金池长老与黑熊精呈现两种与袈裟相关的占有行动。”</w:t>
      </w:r>
    </w:p>
    <w:p>
      <w:pPr>
        <w:pStyle w:val="ListBullet"/>
        <w:ind w:left="312" w:hanging="170"/>
      </w:pPr>
      <w:r>
        <w:t>“牛仔裤等物件帮助比较功能、身份和价格；袈裟还带有宗教身份与修行意义。”</w:t>
      </w:r>
    </w:p>
    <w:p>
      <w:pPr>
        <w:pStyle w:val="ListBullet"/>
        <w:ind w:left="312" w:hanging="170"/>
      </w:pPr>
      <w:r>
        <w:t>“游戏图像提供人物与气氛；文化事实来自标明来源的材料。”</w:t>
      </w:r>
    </w:p>
    <w:p>
      <w:pPr>
        <w:pStyle w:val="Heading1"/>
      </w:pPr>
      <w:r>
        <w:t>八、教学后延伸</w:t>
      </w:r>
    </w:p>
    <w:p>
      <w:r>
        <w:t>任务页长期保留四条扩展路径。学生按兴趣阅读一条材料，把新证据加入原来的解释。教师可比较即时解释与延后解释，观察文化理解、口语组织和类比边界的发展。</w:t>
      </w: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一件不该被抢的衣服 · 聚焦教案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