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352A23"/>
            <w:tcBorders>
              <w:top w:val="single" w:sz="0" w:color="352A23"/>
              <w:left w:val="single" w:sz="0" w:color="352A23"/>
              <w:bottom w:val="single" w:sz="0" w:color="352A23"/>
              <w:right w:val="single" w:sz="0" w:color="352A23"/>
              <w:insideH w:val="single" w:sz="0" w:color="352A23"/>
              <w:insideV w:val="single" w:sz="0" w:color="352A23"/>
            </w:tcBorders>
          </w:tcPr>
          <w:p>
            <w:pPr>
              <w:spacing w:before="160" w:after="160"/>
            </w:pPr>
            <w:r>
              <w:rPr>
                <w:rFonts w:ascii="Aptos" w:hAnsi="Aptos" w:eastAsia="等线"/>
                <w:b/>
                <w:color w:val="B58A45"/>
                <w:sz w:val="18"/>
              </w:rPr>
              <w:t>IMPLEMENTATION SPECIFICATION · 2026-08-28</w:t>
            </w:r>
          </w:p>
        </w:tc>
      </w:tr>
    </w:tbl>
    <w:p>
      <w:pPr>
        <w:pStyle w:val="Title"/>
        <w:spacing w:before="360"/>
      </w:pPr>
      <w:r>
        <w:t>袈裟文化任务：沉浸式环境架构</w:t>
      </w:r>
    </w:p>
    <w:p>
      <w:pPr>
        <w:pStyle w:val="Subtitle"/>
      </w:pPr>
      <w:r>
        <w:t>访问、画面、声音、语音、数据与移动端交接规格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958"/>
            <w:shd w:fill="A33F2C"/>
            <w:tcBorders>
              <w:top w:val="single" w:sz="0" w:color="A33F2C"/>
              <w:left w:val="single" w:sz="0" w:color="A33F2C"/>
              <w:bottom w:val="single" w:sz="0" w:color="A33F2C"/>
              <w:right w:val="single" w:sz="0" w:color="A33F2C"/>
              <w:insideH w:val="single" w:sz="0" w:color="A33F2C"/>
              <w:insideV w:val="single" w:sz="0" w:color="A33F2C"/>
            </w:tcBorders>
          </w:tcPr>
          <w:p>
            <w:pPr>
              <w:spacing w:after="0"/>
            </w:pPr>
          </w:p>
        </w:tc>
        <w:tc>
          <w:tcPr>
            <w:tcW w:type="dxa" w:w="4958"/>
            <w:shd w:fill="B58A45"/>
            <w:tcBorders>
              <w:top w:val="single" w:sz="0" w:color="B58A45"/>
              <w:left w:val="single" w:sz="0" w:color="B58A45"/>
              <w:bottom w:val="single" w:sz="0" w:color="B58A45"/>
              <w:right w:val="single" w:sz="0" w:color="B58A45"/>
              <w:insideH w:val="single" w:sz="0" w:color="B58A45"/>
              <w:insideV w:val="single" w:sz="0" w:color="B58A45"/>
            </w:tcBorders>
          </w:tcPr>
          <w:p>
            <w:pPr>
              <w:spacing w:after="0"/>
            </w:pPr>
          </w:p>
        </w:tc>
      </w:tr>
    </w:tbl>
    <w:p>
      <w:pPr>
        <w:spacing w:before="240" w:after="260"/>
      </w:pPr>
      <w:r>
        <w:rPr>
          <w:rFonts w:ascii="Aptos" w:hAnsi="Aptos" w:eastAsia="思源宋体"/>
          <w:b/>
          <w:color w:val="352A23"/>
          <w:sz w:val="23"/>
        </w:rPr>
        <w:t>同一件袈裟贯穿进入、发现、角色互动、跨文化比较、口语解释与课后延伸。</w:t>
      </w:r>
    </w:p>
    <w:p>
      <w:pPr>
        <w:pStyle w:val="Heading1"/>
      </w:pPr>
      <w:r>
        <w:t>一、正式访问地址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531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入口</w:t>
            </w:r>
          </w:p>
        </w:tc>
        <w:tc>
          <w:tcPr>
            <w:tcW w:type="dxa" w:w="5443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地址</w:t>
            </w:r>
          </w:p>
        </w:tc>
        <w:tc>
          <w:tcPr>
            <w:tcW w:type="dxa" w:w="2438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用途</w:t>
            </w:r>
          </w:p>
        </w:tc>
      </w:tr>
      <w:tr>
        <w:tc>
          <w:tcPr>
            <w:tcW w:type="dxa" w:w="153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学生端</w:t>
            </w:r>
          </w:p>
        </w:tc>
        <w:tc>
          <w:tcPr>
            <w:tcW w:type="dxa" w:w="5443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https://quest.usmandarincurriculumlab.com/heishenhuawukong.html</w:t>
            </w:r>
          </w:p>
        </w:tc>
        <w:tc>
          <w:tcPr>
            <w:tcW w:type="dxa" w:w="243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核心任务、语音角色互动、扩展阅读</w:t>
            </w:r>
          </w:p>
        </w:tc>
      </w:tr>
      <w:tr>
        <w:tc>
          <w:tcPr>
            <w:tcW w:type="dxa" w:w="153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教师端</w:t>
            </w:r>
          </w:p>
        </w:tc>
        <w:tc>
          <w:tcPr>
            <w:tcW w:type="dxa" w:w="5443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https://quest.usmandarincurriculumlab.com/teacher.html</w:t>
            </w:r>
          </w:p>
        </w:tc>
        <w:tc>
          <w:tcPr>
            <w:tcW w:type="dxa" w:w="243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会话记录、语音回听、人工编码与导出</w:t>
            </w:r>
          </w:p>
        </w:tc>
      </w:tr>
      <w:tr>
        <w:tc>
          <w:tcPr>
            <w:tcW w:type="dxa" w:w="153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登录</w:t>
            </w:r>
          </w:p>
        </w:tc>
        <w:tc>
          <w:tcPr>
            <w:tcW w:type="dxa" w:w="5443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https://quest.usmandarincurriculumlab.com/login.html</w:t>
            </w:r>
          </w:p>
        </w:tc>
        <w:tc>
          <w:tcPr>
            <w:tcW w:type="dxa" w:w="243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进入学生端或教师端</w:t>
            </w:r>
          </w:p>
        </w:tc>
      </w:tr>
    </w:tbl>
    <w:p>
      <w:pPr>
        <w:spacing w:after="0"/>
      </w:pPr>
    </w:p>
    <w:p>
      <w:pPr>
        <w:pStyle w:val="Heading1"/>
      </w:pPr>
      <w:r>
        <w:t>二、体验结构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1531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阶段</w:t>
            </w:r>
          </w:p>
        </w:tc>
        <w:tc>
          <w:tcPr>
            <w:tcW w:type="dxa" w:w="2778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主画面</w:t>
            </w:r>
          </w:p>
        </w:tc>
        <w:tc>
          <w:tcPr>
            <w:tcW w:type="dxa" w:w="3458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操作</w:t>
            </w:r>
          </w:p>
        </w:tc>
        <w:tc>
          <w:tcPr>
            <w:tcW w:type="dxa" w:w="2268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持续状态</w:t>
            </w:r>
          </w:p>
        </w:tc>
      </w:tr>
      <w:tr>
        <w:tc>
          <w:tcPr>
            <w:tcW w:type="dxa" w:w="153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Enter</w:t>
            </w:r>
          </w:p>
        </w:tc>
        <w:tc>
          <w:tcPr>
            <w:tcW w:type="dxa" w:w="277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焦木案台上的袈裟</w:t>
            </w:r>
          </w:p>
        </w:tc>
        <w:tc>
          <w:tcPr>
            <w:tcW w:type="dxa" w:w="345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输入编号；检查麦克风；选择环境声与摄像头</w:t>
            </w:r>
          </w:p>
        </w:tc>
        <w:tc>
          <w:tcPr>
            <w:tcW w:type="dxa" w:w="226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建立会话</w:t>
            </w:r>
          </w:p>
        </w:tc>
      </w:tr>
      <w:tr>
        <w:tc>
          <w:tcPr>
            <w:tcW w:type="dxa" w:w="153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Pre</w:t>
            </w:r>
          </w:p>
        </w:tc>
        <w:tc>
          <w:tcPr>
            <w:tcW w:type="dxa" w:w="277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袈裟近景</w:t>
            </w:r>
          </w:p>
        </w:tc>
        <w:tc>
          <w:tcPr>
            <w:tcW w:type="dxa" w:w="345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录音、回听、重录；最长3分钟</w:t>
            </w:r>
          </w:p>
        </w:tc>
        <w:tc>
          <w:tcPr>
            <w:tcW w:type="dxa" w:w="226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保留最终版音频与转写</w:t>
            </w:r>
          </w:p>
        </w:tc>
      </w:tr>
      <w:tr>
        <w:tc>
          <w:tcPr>
            <w:tcW w:type="dxa" w:w="153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Discover</w:t>
            </w:r>
          </w:p>
        </w:tc>
        <w:tc>
          <w:tcPr>
            <w:tcW w:type="dxa" w:w="277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袈裟外观与四条短证据</w:t>
            </w:r>
          </w:p>
        </w:tc>
        <w:tc>
          <w:tcPr>
            <w:tcW w:type="dxa" w:w="345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自由拾取；随时去问角色；随时返回</w:t>
            </w:r>
          </w:p>
        </w:tc>
        <w:tc>
          <w:tcPr>
            <w:tcW w:type="dxa" w:w="226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记录证据与问题</w:t>
            </w:r>
          </w:p>
        </w:tc>
      </w:tr>
      <w:tr>
        <w:tc>
          <w:tcPr>
            <w:tcW w:type="dxa" w:w="153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Interact</w:t>
            </w:r>
          </w:p>
        </w:tc>
        <w:tc>
          <w:tcPr>
            <w:tcW w:type="dxa" w:w="277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金池长老游戏场景</w:t>
            </w:r>
          </w:p>
        </w:tc>
        <w:tc>
          <w:tcPr>
            <w:tcW w:type="dxa" w:w="345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点击圆点开始／结束语音；重听角色；连续追问</w:t>
            </w:r>
          </w:p>
        </w:tc>
        <w:tc>
          <w:tcPr>
            <w:tcW w:type="dxa" w:w="226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保存双方语音与文本顺序</w:t>
            </w:r>
          </w:p>
        </w:tc>
      </w:tr>
      <w:tr>
        <w:tc>
          <w:tcPr>
            <w:tcW w:type="dxa" w:w="153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Compare</w:t>
            </w:r>
          </w:p>
        </w:tc>
        <w:tc>
          <w:tcPr>
            <w:tcW w:type="dxa" w:w="277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黑熊精火场游戏场景</w:t>
            </w:r>
          </w:p>
        </w:tc>
        <w:tc>
          <w:tcPr>
            <w:tcW w:type="dxa" w:w="345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语音协商；打开跨文化物件Hint</w:t>
            </w:r>
          </w:p>
        </w:tc>
        <w:tc>
          <w:tcPr>
            <w:tcW w:type="dxa" w:w="226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记录改口与比较</w:t>
            </w:r>
          </w:p>
        </w:tc>
      </w:tr>
      <w:tr>
        <w:tc>
          <w:tcPr>
            <w:tcW w:type="dxa" w:w="153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Explain</w:t>
            </w:r>
          </w:p>
        </w:tc>
        <w:tc>
          <w:tcPr>
            <w:tcW w:type="dxa" w:w="277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袈裟回到画面中心</w:t>
            </w:r>
          </w:p>
        </w:tc>
        <w:tc>
          <w:tcPr>
            <w:tcW w:type="dxa" w:w="345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语音或可选摄像头视频；回看、重说</w:t>
            </w:r>
          </w:p>
        </w:tc>
        <w:tc>
          <w:tcPr>
            <w:tcW w:type="dxa" w:w="226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保存前后版本</w:t>
            </w:r>
          </w:p>
        </w:tc>
      </w:tr>
      <w:tr>
        <w:tc>
          <w:tcPr>
            <w:tcW w:type="dxa" w:w="153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Extend</w:t>
            </w:r>
          </w:p>
        </w:tc>
        <w:tc>
          <w:tcPr>
            <w:tcW w:type="dxa" w:w="277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山外见闻资料架</w:t>
            </w:r>
          </w:p>
        </w:tc>
        <w:tc>
          <w:tcPr>
            <w:tcW w:type="dxa" w:w="345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任务后随时阅读、补录</w:t>
            </w:r>
          </w:p>
        </w:tc>
        <w:tc>
          <w:tcPr>
            <w:tcW w:type="dxa" w:w="226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材料长期开放</w:t>
            </w:r>
          </w:p>
        </w:tc>
      </w:tr>
    </w:tbl>
    <w:p>
      <w:pPr>
        <w:spacing w:after="0"/>
      </w:pPr>
    </w:p>
    <w:p>
      <w:pPr>
        <w:pStyle w:val="Heading1"/>
      </w:pPr>
      <w:r>
        <w:t>三、视觉系统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 w:val="true"/>
        </w:trPr>
        <w:tc>
          <w:tcPr>
            <w:tcW w:type="dxa" w:w="1757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项目</w:t>
            </w:r>
          </w:p>
        </w:tc>
        <w:tc>
          <w:tcPr>
            <w:tcW w:type="dxa" w:w="7654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规范</w:t>
            </w:r>
          </w:p>
        </w:tc>
      </w:tr>
      <w:tr>
        <w:tc>
          <w:tcPr>
            <w:tcW w:type="dxa" w:w="175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视觉主线</w:t>
            </w:r>
          </w:p>
        </w:tc>
        <w:tc>
          <w:tcPr>
            <w:tcW w:type="dxa" w:w="7654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焦木、残火、旧绢、暗金；袈裟承担每个阶段的视觉锚点</w:t>
            </w:r>
          </w:p>
        </w:tc>
      </w:tr>
      <w:tr>
        <w:tc>
          <w:tcPr>
            <w:tcW w:type="dxa" w:w="175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主视觉</w:t>
            </w:r>
          </w:p>
        </w:tc>
        <w:tc>
          <w:tcPr>
            <w:tcW w:type="dxa" w:w="7654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生成的袈裟物件图用于Enter、Pre、Discover与Explain；金池长老和黑熊精使用对应游戏截图</w:t>
            </w:r>
          </w:p>
        </w:tc>
      </w:tr>
      <w:tr>
        <w:tc>
          <w:tcPr>
            <w:tcW w:type="dxa" w:w="175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配色</w:t>
            </w:r>
          </w:p>
        </w:tc>
        <w:tc>
          <w:tcPr>
            <w:tcW w:type="dxa" w:w="7654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炭黑 #0B0D0C；旧纸 #E8D8BC；朱砂 #B54A32；暗金 #B88A42；灰绿 #667166</w:t>
            </w:r>
          </w:p>
        </w:tc>
      </w:tr>
      <w:tr>
        <w:tc>
          <w:tcPr>
            <w:tcW w:type="dxa" w:w="175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字体</w:t>
            </w:r>
          </w:p>
        </w:tc>
        <w:tc>
          <w:tcPr>
            <w:tcW w:type="dxa" w:w="7654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中文标题使用宋体类衬线；正文使用系统黑体；英文仅作小号环境标签</w:t>
            </w:r>
          </w:p>
        </w:tc>
      </w:tr>
      <w:tr>
        <w:tc>
          <w:tcPr>
            <w:tcW w:type="dxa" w:w="175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布局</w:t>
            </w:r>
          </w:p>
        </w:tc>
        <w:tc>
          <w:tcPr>
            <w:tcW w:type="dxa" w:w="7654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桌面端左侧任务与主视觉，右侧阶段导航和Hint；移动端单列，主要操作保持拇指可达</w:t>
            </w:r>
          </w:p>
        </w:tc>
      </w:tr>
      <w:tr>
        <w:tc>
          <w:tcPr>
            <w:tcW w:type="dxa" w:w="175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动效</w:t>
            </w:r>
          </w:p>
        </w:tc>
        <w:tc>
          <w:tcPr>
            <w:tcW w:type="dxa" w:w="7654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烟尘缓移、火光轻微呼吸、阶段淡入；单次转场180–320ms</w:t>
            </w:r>
          </w:p>
        </w:tc>
      </w:tr>
    </w:tbl>
    <w:p>
      <w:pPr>
        <w:spacing w:after="0"/>
      </w:pPr>
    </w:p>
    <w:p>
      <w:pPr>
        <w:pStyle w:val="Heading1"/>
      </w:pPr>
      <w:r>
        <w:t>四、声音与音乐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701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场景</w:t>
            </w:r>
          </w:p>
        </w:tc>
        <w:tc>
          <w:tcPr>
            <w:tcW w:type="dxa" w:w="3402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声音层</w:t>
            </w:r>
          </w:p>
        </w:tc>
        <w:tc>
          <w:tcPr>
            <w:tcW w:type="dxa" w:w="4309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行为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进入</w:t>
            </w:r>
          </w:p>
        </w:tc>
        <w:tc>
          <w:tcPr>
            <w:tcW w:type="dxa" w:w="3402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原创低风、远钟、余火</w:t>
            </w:r>
          </w:p>
        </w:tc>
        <w:tc>
          <w:tcPr>
            <w:tcW w:type="dxa" w:w="4309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用户点击“开启环境声”后播放；浏览器保持静音进入</w:t>
            </w:r>
          </w:p>
        </w:tc>
      </w:tr>
      <w:tr>
        <w:tc>
          <w:tcPr>
            <w:tcW w:type="dxa" w:w="170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发现</w:t>
            </w:r>
          </w:p>
        </w:tc>
        <w:tc>
          <w:tcPr>
            <w:tcW w:type="dxa" w:w="3402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低风＋纸张拾取声</w:t>
            </w:r>
          </w:p>
        </w:tc>
        <w:tc>
          <w:tcPr>
            <w:tcW w:type="dxa" w:w="4309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打开证据时轻响；音量低于角色语音20dB以上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金池长老</w:t>
            </w:r>
          </w:p>
        </w:tc>
        <w:tc>
          <w:tcPr>
            <w:tcW w:type="dxa" w:w="3402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苍老男声</w:t>
            </w:r>
          </w:p>
        </w:tc>
        <w:tc>
          <w:tcPr>
            <w:tcW w:type="dxa" w:w="4309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角色说话前环境声自动压低；结束后缓慢恢复</w:t>
            </w:r>
          </w:p>
        </w:tc>
      </w:tr>
      <w:tr>
        <w:tc>
          <w:tcPr>
            <w:tcW w:type="dxa" w:w="170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黑熊精</w:t>
            </w:r>
          </w:p>
        </w:tc>
        <w:tc>
          <w:tcPr>
            <w:tcW w:type="dxa" w:w="3402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低沉男声＋远火</w:t>
            </w:r>
          </w:p>
        </w:tc>
        <w:tc>
          <w:tcPr>
            <w:tcW w:type="dxa" w:w="4309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火声保持背景层；角色句子可重听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学生说话</w:t>
            </w:r>
          </w:p>
        </w:tc>
        <w:tc>
          <w:tcPr>
            <w:tcW w:type="dxa" w:w="3402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环境声与界面音归零</w:t>
            </w:r>
          </w:p>
        </w:tc>
        <w:tc>
          <w:tcPr>
            <w:tcW w:type="dxa" w:w="4309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录音开始立即静音；录音结束后等待AI回应</w:t>
            </w:r>
          </w:p>
        </w:tc>
      </w:tr>
      <w:tr>
        <w:tc>
          <w:tcPr>
            <w:tcW w:type="dxa" w:w="170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Explain</w:t>
            </w:r>
          </w:p>
        </w:tc>
        <w:tc>
          <w:tcPr>
            <w:tcW w:type="dxa" w:w="3402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全静音</w:t>
            </w:r>
          </w:p>
        </w:tc>
        <w:tc>
          <w:tcPr>
            <w:tcW w:type="dxa" w:w="4309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保留学生原声；视频录制同样执行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E9D9BE"/>
            <w:tcBorders>
              <w:top w:val="single" w:sz="5" w:color="B58A45"/>
              <w:left w:val="single" w:sz="5" w:color="B58A45"/>
              <w:bottom w:val="single" w:sz="5" w:color="B58A45"/>
              <w:right w:val="single" w:sz="5" w:color="B58A45"/>
              <w:insideH w:val="single" w:sz="5" w:color="B58A45"/>
              <w:insideV w:val="single" w:sz="5" w:color="B58A45"/>
            </w:tcBorders>
          </w:tcPr>
          <w:p>
            <w:r>
              <w:rPr>
                <w:rFonts w:ascii="Aptos" w:hAnsi="Aptos" w:eastAsia="等线"/>
                <w:b/>
                <w:color w:val="A33F2C"/>
                <w:sz w:val="21"/>
              </w:rPr>
              <w:t xml:space="preserve">音频来源　</w:t>
            </w:r>
            <w:r>
              <w:rPr>
                <w:rFonts w:ascii="Aptos" w:hAnsi="Aptos" w:eastAsia="等线"/>
                <w:color w:val="352A23"/>
                <w:sz w:val="21"/>
              </w:rPr>
              <w:t>环境声由网页实时合成，避免外部音乐文件加载和循环接缝。角色语音优先选择设备中的普通话男声；系统记录实际声音名称。</w:t>
            </w:r>
          </w:p>
        </w:tc>
      </w:tr>
    </w:tbl>
    <w:p>
      <w:pPr>
        <w:spacing w:after="0"/>
      </w:pPr>
    </w:p>
    <w:p>
      <w:pPr>
        <w:pStyle w:val="Heading1"/>
      </w:pPr>
      <w:r>
        <w:t>五、系统要求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701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项目</w:t>
            </w:r>
          </w:p>
        </w:tc>
        <w:tc>
          <w:tcPr>
            <w:tcW w:type="dxa" w:w="3685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最低要求</w:t>
            </w:r>
          </w:p>
        </w:tc>
        <w:tc>
          <w:tcPr>
            <w:tcW w:type="dxa" w:w="4025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推荐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访问</w:t>
            </w:r>
          </w:p>
        </w:tc>
        <w:tc>
          <w:tcPr>
            <w:tcW w:type="dxa" w:w="368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HTTPS；稳定网络</w:t>
            </w:r>
          </w:p>
        </w:tc>
        <w:tc>
          <w:tcPr>
            <w:tcW w:type="dxa" w:w="402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下行5 Mbps以上</w:t>
            </w:r>
          </w:p>
        </w:tc>
      </w:tr>
      <w:tr>
        <w:tc>
          <w:tcPr>
            <w:tcW w:type="dxa" w:w="170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桌面浏览器</w:t>
            </w:r>
          </w:p>
        </w:tc>
        <w:tc>
          <w:tcPr>
            <w:tcW w:type="dxa" w:w="368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Chrome或Edge近两个主版本</w:t>
            </w:r>
          </w:p>
        </w:tc>
        <w:tc>
          <w:tcPr>
            <w:tcW w:type="dxa" w:w="402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最新版Chrome或Edge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移动端</w:t>
            </w:r>
          </w:p>
        </w:tc>
        <w:tc>
          <w:tcPr>
            <w:tcW w:type="dxa" w:w="368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iOS Safari 17+；Android Chrome</w:t>
            </w:r>
          </w:p>
        </w:tc>
        <w:tc>
          <w:tcPr>
            <w:tcW w:type="dxa" w:w="402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Android Chrome最新版</w:t>
            </w:r>
          </w:p>
        </w:tc>
      </w:tr>
      <w:tr>
        <w:tc>
          <w:tcPr>
            <w:tcW w:type="dxa" w:w="170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权限</w:t>
            </w:r>
          </w:p>
        </w:tc>
        <w:tc>
          <w:tcPr>
            <w:tcW w:type="dxa" w:w="368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麦克风；摄像头可选</w:t>
            </w:r>
          </w:p>
        </w:tc>
        <w:tc>
          <w:tcPr>
            <w:tcW w:type="dxa" w:w="402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首次进入时完成权限检查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设备</w:t>
            </w:r>
          </w:p>
        </w:tc>
        <w:tc>
          <w:tcPr>
            <w:tcW w:type="dxa" w:w="368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扬声器与麦克风</w:t>
            </w:r>
          </w:p>
        </w:tc>
        <w:tc>
          <w:tcPr>
            <w:tcW w:type="dxa" w:w="402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耳机或安静环境，减少回声</w:t>
            </w:r>
          </w:p>
        </w:tc>
      </w:tr>
      <w:tr>
        <w:tc>
          <w:tcPr>
            <w:tcW w:type="dxa" w:w="170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语音识别</w:t>
            </w:r>
          </w:p>
        </w:tc>
        <w:tc>
          <w:tcPr>
            <w:tcW w:type="dxa" w:w="368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浏览器普通话识别服务可用</w:t>
            </w:r>
          </w:p>
        </w:tc>
        <w:tc>
          <w:tcPr>
            <w:tcW w:type="dxa" w:w="402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Chrome/Edge普通话识别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本地容量</w:t>
            </w:r>
          </w:p>
        </w:tc>
        <w:tc>
          <w:tcPr>
            <w:tcW w:type="dxa" w:w="368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至少100MB可用空间</w:t>
            </w:r>
          </w:p>
        </w:tc>
        <w:tc>
          <w:tcPr>
            <w:tcW w:type="dxa" w:w="402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任务结束后及时导出研究数据</w:t>
            </w:r>
          </w:p>
        </w:tc>
      </w:tr>
    </w:tbl>
    <w:p>
      <w:pPr>
        <w:spacing w:after="0"/>
      </w:pPr>
    </w:p>
    <w:p>
      <w:pPr>
        <w:pStyle w:val="Heading1"/>
      </w:pPr>
      <w:r>
        <w:t>六、语音交互</w:t>
      </w:r>
    </w:p>
    <w:p>
      <w:pPr>
        <w:pStyle w:val="ListBullet"/>
        <w:ind w:left="312" w:hanging="170"/>
      </w:pPr>
      <w:r>
        <w:t>圆点第一次点击开始录音，第二次点击结束并发送；按钮状态、计时和麦克风电平同时变化。</w:t>
      </w:r>
    </w:p>
    <w:p>
      <w:pPr>
        <w:pStyle w:val="ListBullet"/>
        <w:ind w:left="312" w:hanging="170"/>
      </w:pPr>
      <w:r>
        <w:t>学生语音以WebM保存到IndexedDB；转写进入会话记录；AI使用转写生成角色回应。</w:t>
      </w:r>
    </w:p>
    <w:p>
      <w:pPr>
        <w:pStyle w:val="ListBullet"/>
        <w:ind w:left="312" w:hanging="170"/>
      </w:pPr>
      <w:r>
        <w:t>学生对话区显示“语音已发送”和角色回复；角色每句均有重听按钮。</w:t>
      </w:r>
    </w:p>
    <w:p>
      <w:pPr>
        <w:pStyle w:val="ListBullet"/>
        <w:ind w:left="312" w:hanging="170"/>
      </w:pPr>
      <w:r>
        <w:t>前测与Explain提供回听、重录和最终版本确认；角色对话保持连续轮次。</w:t>
      </w:r>
    </w:p>
    <w:p>
      <w:pPr>
        <w:pStyle w:val="ListBullet"/>
        <w:ind w:left="312" w:hanging="170"/>
      </w:pPr>
      <w:r>
        <w:t>摄像头作为沉浸窗口单独开关；角色语音对话由圆点控制。</w:t>
      </w:r>
    </w:p>
    <w:p>
      <w:pPr>
        <w:pStyle w:val="ListBullet"/>
        <w:ind w:left="312" w:hanging="170"/>
      </w:pPr>
      <w:r>
        <w:t>识别空白时保留录音状态并引导学生再说一轮；页面保持当前阶段与历史记录。</w:t>
      </w:r>
    </w:p>
    <w:p>
      <w:pPr>
        <w:pStyle w:val="Heading1"/>
      </w:pPr>
      <w:r>
        <w:t>七、Hint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474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层级</w:t>
            </w:r>
          </w:p>
        </w:tc>
        <w:tc>
          <w:tcPr>
            <w:tcW w:type="dxa" w:w="5216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内容</w:t>
            </w:r>
          </w:p>
        </w:tc>
        <w:tc>
          <w:tcPr>
            <w:tcW w:type="dxa" w:w="2721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阶段</w:t>
            </w:r>
          </w:p>
        </w:tc>
      </w:tr>
      <w:tr>
        <w:tc>
          <w:tcPr>
            <w:tcW w:type="dxa" w:w="1474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方向</w:t>
            </w:r>
          </w:p>
        </w:tc>
        <w:tc>
          <w:tcPr>
            <w:tcW w:type="dxa" w:w="5216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功能、价值、人物、行动、后果</w:t>
            </w:r>
          </w:p>
        </w:tc>
        <w:tc>
          <w:tcPr>
            <w:tcW w:type="dxa" w:w="272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全程</w:t>
            </w:r>
          </w:p>
        </w:tc>
      </w:tr>
      <w:tr>
        <w:tc>
          <w:tcPr>
            <w:tcW w:type="dxa" w:w="1474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追问</w:t>
            </w:r>
          </w:p>
        </w:tc>
        <w:tc>
          <w:tcPr>
            <w:tcW w:type="dxa" w:w="5216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为什么还想要？谁让它珍贵？得到以后发生什么？</w:t>
            </w:r>
          </w:p>
        </w:tc>
        <w:tc>
          <w:tcPr>
            <w:tcW w:type="dxa" w:w="272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Discover／Interact</w:t>
            </w:r>
          </w:p>
        </w:tc>
      </w:tr>
      <w:tr>
        <w:tc>
          <w:tcPr>
            <w:tcW w:type="dxa" w:w="1474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比较</w:t>
            </w:r>
          </w:p>
        </w:tc>
        <w:tc>
          <w:tcPr>
            <w:tcW w:type="dxa" w:w="5216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牛仔裤、限量运动鞋、棒球帽、自选文化物件</w:t>
            </w:r>
          </w:p>
        </w:tc>
        <w:tc>
          <w:tcPr>
            <w:tcW w:type="dxa" w:w="272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Compare</w:t>
            </w:r>
          </w:p>
        </w:tc>
      </w:tr>
      <w:tr>
        <w:tc>
          <w:tcPr>
            <w:tcW w:type="dxa" w:w="1474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句框</w:t>
            </w:r>
          </w:p>
        </w:tc>
        <w:tc>
          <w:tcPr>
            <w:tcW w:type="dxa" w:w="5216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本来……后来……；它们都……可是……</w:t>
            </w:r>
          </w:p>
        </w:tc>
        <w:tc>
          <w:tcPr>
            <w:tcW w:type="dxa" w:w="272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Compare／Explain</w:t>
            </w:r>
          </w:p>
        </w:tc>
      </w:tr>
    </w:tbl>
    <w:p>
      <w:pPr>
        <w:spacing w:after="0"/>
      </w:pPr>
    </w:p>
    <w:p>
      <w:r>
        <w:t>Hint逐层展开，学生主动选择。系统记录层级、打开时间、停留时长和下一轮口语变化。</w:t>
      </w:r>
    </w:p>
    <w:p>
      <w:pPr>
        <w:pStyle w:val="Heading1"/>
      </w:pPr>
      <w:r>
        <w:t>八、数据结构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587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数据</w:t>
            </w:r>
          </w:p>
        </w:tc>
        <w:tc>
          <w:tcPr>
            <w:tcW w:type="dxa" w:w="5159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保存内容</w:t>
            </w:r>
          </w:p>
        </w:tc>
        <w:tc>
          <w:tcPr>
            <w:tcW w:type="dxa" w:w="2665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教师端</w:t>
            </w:r>
          </w:p>
        </w:tc>
      </w:tr>
      <w:tr>
        <w:tc>
          <w:tcPr>
            <w:tcW w:type="dxa" w:w="158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会话</w:t>
            </w:r>
          </w:p>
        </w:tc>
        <w:tc>
          <w:tcPr>
            <w:tcW w:type="dxa" w:w="5159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参与者编号、开始／结束时间、完成阶段</w:t>
            </w:r>
          </w:p>
        </w:tc>
        <w:tc>
          <w:tcPr>
            <w:tcW w:type="dxa" w:w="266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状态与完成度</w:t>
            </w:r>
          </w:p>
        </w:tc>
      </w:tr>
      <w:tr>
        <w:tc>
          <w:tcPr>
            <w:tcW w:type="dxa" w:w="158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前测</w:t>
            </w:r>
          </w:p>
        </w:tc>
        <w:tc>
          <w:tcPr>
            <w:tcW w:type="dxa" w:w="5159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最终录音、时长、转写、重录次数</w:t>
            </w:r>
          </w:p>
        </w:tc>
        <w:tc>
          <w:tcPr>
            <w:tcW w:type="dxa" w:w="266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回听与转写</w:t>
            </w:r>
          </w:p>
        </w:tc>
      </w:tr>
      <w:tr>
        <w:tc>
          <w:tcPr>
            <w:tcW w:type="dxa" w:w="158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证据</w:t>
            </w:r>
          </w:p>
        </w:tc>
        <w:tc>
          <w:tcPr>
            <w:tcW w:type="dxa" w:w="5159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打开顺序、停留、学习者发现与问题</w:t>
            </w:r>
          </w:p>
        </w:tc>
        <w:tc>
          <w:tcPr>
            <w:tcW w:type="dxa" w:w="266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过程分析</w:t>
            </w:r>
          </w:p>
        </w:tc>
      </w:tr>
      <w:tr>
        <w:tc>
          <w:tcPr>
            <w:tcW w:type="dxa" w:w="158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对话</w:t>
            </w:r>
          </w:p>
        </w:tc>
        <w:tc>
          <w:tcPr>
            <w:tcW w:type="dxa" w:w="5159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角色、轮次、双方文本、学生音频键、时长</w:t>
            </w:r>
          </w:p>
        </w:tc>
        <w:tc>
          <w:tcPr>
            <w:tcW w:type="dxa" w:w="266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顺序回放与编码</w:t>
            </w:r>
          </w:p>
        </w:tc>
      </w:tr>
      <w:tr>
        <w:tc>
          <w:tcPr>
            <w:tcW w:type="dxa" w:w="158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Hint</w:t>
            </w:r>
          </w:p>
        </w:tc>
        <w:tc>
          <w:tcPr>
            <w:tcW w:type="dxa" w:w="5159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阶段、层级、时间、下一轮文本</w:t>
            </w:r>
          </w:p>
        </w:tc>
        <w:tc>
          <w:tcPr>
            <w:tcW w:type="dxa" w:w="266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支架使用分析</w:t>
            </w:r>
          </w:p>
        </w:tc>
      </w:tr>
      <w:tr>
        <w:tc>
          <w:tcPr>
            <w:tcW w:type="dxa" w:w="158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解释</w:t>
            </w:r>
          </w:p>
        </w:tc>
        <w:tc>
          <w:tcPr>
            <w:tcW w:type="dxa" w:w="5159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初次与补说语音／视频、转写、语言标记</w:t>
            </w:r>
          </w:p>
        </w:tc>
        <w:tc>
          <w:tcPr>
            <w:tcW w:type="dxa" w:w="266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前后对照</w:t>
            </w:r>
          </w:p>
        </w:tc>
      </w:tr>
      <w:tr>
        <w:tc>
          <w:tcPr>
            <w:tcW w:type="dxa" w:w="158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延伸</w:t>
            </w:r>
          </w:p>
        </w:tc>
        <w:tc>
          <w:tcPr>
            <w:tcW w:type="dxa" w:w="5159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材料选择、返回时间、新增口语</w:t>
            </w:r>
          </w:p>
        </w:tc>
        <w:tc>
          <w:tcPr>
            <w:tcW w:type="dxa" w:w="266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延后学习分析</w:t>
            </w:r>
          </w:p>
        </w:tc>
      </w:tr>
    </w:tbl>
    <w:p>
      <w:pPr>
        <w:spacing w:after="0"/>
      </w:pPr>
    </w:p>
    <w:p>
      <w:pPr>
        <w:pStyle w:val="Heading1"/>
      </w:pPr>
      <w:r>
        <w:t>九、移动端</w:t>
      </w:r>
    </w:p>
    <w:p>
      <w:pPr>
        <w:pStyle w:val="ListBullet"/>
        <w:ind w:left="312" w:hanging="170"/>
      </w:pPr>
      <w:r>
        <w:t>视口使用100svh；键盘弹出时主要录音按钮保持可见。</w:t>
      </w:r>
    </w:p>
    <w:p>
      <w:pPr>
        <w:pStyle w:val="ListBullet"/>
        <w:ind w:left="312" w:hanging="170"/>
      </w:pPr>
      <w:r>
        <w:t>触控目标达到44×44px；底部操作区避开iPhone安全区域。</w:t>
      </w:r>
    </w:p>
    <w:p>
      <w:pPr>
        <w:pStyle w:val="ListBullet"/>
        <w:ind w:left="312" w:hanging="170"/>
      </w:pPr>
      <w:r>
        <w:t>摄像头窗口保持16:9，学生可折叠；对话历史独立滚动。</w:t>
      </w:r>
    </w:p>
    <w:p>
      <w:pPr>
        <w:pStyle w:val="ListBullet"/>
        <w:ind w:left="312" w:hanging="170"/>
      </w:pPr>
      <w:r>
        <w:t>背景图采用响应式裁切；袈裟在窄屏中保持可见。</w:t>
      </w:r>
    </w:p>
    <w:p>
      <w:pPr>
        <w:pStyle w:val="ListBullet"/>
        <w:ind w:left="312" w:hanging="170"/>
      </w:pPr>
      <w:r>
        <w:t>页面切入后台时停止环境声并暂停摄像头预览。</w:t>
      </w:r>
    </w:p>
    <w:p>
      <w:pPr>
        <w:pStyle w:val="Heading1"/>
      </w:pPr>
      <w:r>
        <w:t>十、验收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 w:val="true"/>
        </w:trPr>
        <w:tc>
          <w:tcPr>
            <w:tcW w:type="dxa" w:w="1757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检查</w:t>
            </w:r>
          </w:p>
        </w:tc>
        <w:tc>
          <w:tcPr>
            <w:tcW w:type="dxa" w:w="7654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通过标准</w:t>
            </w:r>
          </w:p>
        </w:tc>
      </w:tr>
      <w:tr>
        <w:tc>
          <w:tcPr>
            <w:tcW w:type="dxa" w:w="175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地址</w:t>
            </w:r>
          </w:p>
        </w:tc>
        <w:tc>
          <w:tcPr>
            <w:tcW w:type="dxa" w:w="7654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学生端、教师端与登录地址可访问</w:t>
            </w:r>
          </w:p>
        </w:tc>
      </w:tr>
      <w:tr>
        <w:tc>
          <w:tcPr>
            <w:tcW w:type="dxa" w:w="175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内容</w:t>
            </w:r>
          </w:p>
        </w:tc>
        <w:tc>
          <w:tcPr>
            <w:tcW w:type="dxa" w:w="7654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页面围绕袈裟、金池长老、黑熊精与跨文化物件展开</w:t>
            </w:r>
          </w:p>
        </w:tc>
      </w:tr>
      <w:tr>
        <w:tc>
          <w:tcPr>
            <w:tcW w:type="dxa" w:w="175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声音</w:t>
            </w:r>
          </w:p>
        </w:tc>
        <w:tc>
          <w:tcPr>
            <w:tcW w:type="dxa" w:w="7654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环境声需用户开启；学生说话时静音；角色句子可重听</w:t>
            </w:r>
          </w:p>
        </w:tc>
      </w:tr>
      <w:tr>
        <w:tc>
          <w:tcPr>
            <w:tcW w:type="dxa" w:w="175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录音</w:t>
            </w:r>
          </w:p>
        </w:tc>
        <w:tc>
          <w:tcPr>
            <w:tcW w:type="dxa" w:w="7654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桌面与手机均可开始、结束、保存；前测可回听重录</w:t>
            </w:r>
          </w:p>
        </w:tc>
      </w:tr>
      <w:tr>
        <w:tc>
          <w:tcPr>
            <w:tcW w:type="dxa" w:w="175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AI</w:t>
            </w:r>
          </w:p>
        </w:tc>
        <w:tc>
          <w:tcPr>
            <w:tcW w:type="dxa" w:w="7654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两名角色回应当前学生话语，每轮一个问题</w:t>
            </w:r>
          </w:p>
        </w:tc>
      </w:tr>
      <w:tr>
        <w:tc>
          <w:tcPr>
            <w:tcW w:type="dxa" w:w="175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导航</w:t>
            </w:r>
          </w:p>
        </w:tc>
        <w:tc>
          <w:tcPr>
            <w:tcW w:type="dxa" w:w="7654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每个阶段可返回；历史与已选证据保留</w:t>
            </w:r>
          </w:p>
        </w:tc>
      </w:tr>
      <w:tr>
        <w:tc>
          <w:tcPr>
            <w:tcW w:type="dxa" w:w="175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Hint</w:t>
            </w:r>
          </w:p>
        </w:tc>
        <w:tc>
          <w:tcPr>
            <w:tcW w:type="dxa" w:w="7654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全程可打开；逐层显示；使用进入研究记录</w:t>
            </w:r>
          </w:p>
        </w:tc>
      </w:tr>
      <w:tr>
        <w:tc>
          <w:tcPr>
            <w:tcW w:type="dxa" w:w="175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延伸</w:t>
            </w:r>
          </w:p>
        </w:tc>
        <w:tc>
          <w:tcPr>
            <w:tcW w:type="dxa" w:w="7654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任务完成后资料架持续开放</w:t>
            </w:r>
          </w:p>
        </w:tc>
      </w:tr>
      <w:tr>
        <w:tc>
          <w:tcPr>
            <w:tcW w:type="dxa" w:w="175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移动端</w:t>
            </w:r>
          </w:p>
        </w:tc>
        <w:tc>
          <w:tcPr>
            <w:tcW w:type="dxa" w:w="7654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390×844与430×932视口无横向溢出，操作区无遮挡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20" w:right="1162" w:bottom="964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等线"/>
        <w:color w:val="73685E"/>
        <w:sz w:val="16"/>
      </w:rPr>
      <w:t>BYU MANDARIN · 袈裟文化任务 · 环境架构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100"/>
    </w:pPr>
    <w:rPr>
      <w:rFonts w:ascii="Aptos" w:hAnsi="Aptos" w:eastAsia="等线"/>
      <w:color w:val="352A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 w:eastAsia="思源宋体"/>
      <w:b/>
      <w:bCs/>
      <w:color w:val="A33F2C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思源宋体"/>
      <w:b/>
      <w:bCs/>
      <w:color w:val="765B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 w:eastAsia="思源宋体"/>
      <w:b/>
      <w:bCs/>
      <w:color w:val="5261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思源宋体"/>
      <w:b/>
      <w:color w:val="352A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40" w:after="100"/>
    </w:pPr>
    <w:rPr>
      <w:rFonts w:asciiTheme="majorHAnsi" w:eastAsiaTheme="majorEastAsia" w:hAnsiTheme="majorHAnsi" w:cstheme="majorBidi" w:ascii="Aptos Display" w:hAnsi="Aptos Display" w:eastAsia="思源宋体"/>
      <w:b/>
      <w:i/>
      <w:iCs/>
      <w:color w:val="A33F2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