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352A23"/>
            <w:tcBorders>
              <w:top w:val="single" w:sz="0" w:color="352A23"/>
              <w:left w:val="single" w:sz="0" w:color="352A23"/>
              <w:bottom w:val="single" w:sz="0" w:color="352A23"/>
              <w:right w:val="single" w:sz="0" w:color="352A23"/>
              <w:insideH w:val="single" w:sz="0" w:color="352A23"/>
              <w:insideV w:val="single" w:sz="0" w:color="352A23"/>
            </w:tcBorders>
          </w:tcPr>
          <w:p>
            <w:pPr>
              <w:spacing w:before="160" w:after="160"/>
            </w:pPr>
            <w:r>
              <w:rPr>
                <w:rFonts w:ascii="Aptos" w:hAnsi="Aptos" w:eastAsia="等线"/>
                <w:b/>
                <w:color w:val="B58A45"/>
                <w:sz w:val="18"/>
              </w:rPr>
              <w:t>EXTENSION READING · TEACHER</w:t>
            </w:r>
          </w:p>
        </w:tc>
      </w:tr>
    </w:tbl>
    <w:p>
      <w:pPr>
        <w:pStyle w:val="Title"/>
        <w:spacing w:before="360"/>
      </w:pPr>
      <w:r>
        <w:t>袈裟主题扩展阅读材料包</w:t>
      </w:r>
    </w:p>
    <w:p>
      <w:pPr>
        <w:pStyle w:val="Subtitle"/>
      </w:pPr>
      <w:r>
        <w:t>任务完成后持续开放的四条阅读路径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c>
          <w:tcPr>
            <w:tcW w:type="dxa" w:w="4958"/>
            <w:shd w:fill="A33F2C"/>
            <w:tcBorders>
              <w:top w:val="single" w:sz="0" w:color="A33F2C"/>
              <w:left w:val="single" w:sz="0" w:color="A33F2C"/>
              <w:bottom w:val="single" w:sz="0" w:color="A33F2C"/>
              <w:right w:val="single" w:sz="0" w:color="A33F2C"/>
              <w:insideH w:val="single" w:sz="0" w:color="A33F2C"/>
              <w:insideV w:val="single" w:sz="0" w:color="A33F2C"/>
            </w:tcBorders>
          </w:tcPr>
          <w:p>
            <w:pPr>
              <w:spacing w:after="0"/>
            </w:pPr>
          </w:p>
        </w:tc>
        <w:tc>
          <w:tcPr>
            <w:tcW w:type="dxa" w:w="4958"/>
            <w:shd w:fill="B58A45"/>
            <w:tcBorders>
              <w:top w:val="single" w:sz="0" w:color="B58A45"/>
              <w:left w:val="single" w:sz="0" w:color="B58A45"/>
              <w:bottom w:val="single" w:sz="0" w:color="B58A45"/>
              <w:right w:val="single" w:sz="0" w:color="B58A45"/>
              <w:insideH w:val="single" w:sz="0" w:color="B58A45"/>
              <w:insideV w:val="single" w:sz="0" w:color="B58A45"/>
            </w:tcBorders>
          </w:tcPr>
          <w:p>
            <w:pPr>
              <w:spacing w:after="0"/>
            </w:pPr>
          </w:p>
        </w:tc>
      </w:tr>
    </w:tbl>
    <w:p>
      <w:pPr>
        <w:spacing w:before="240" w:after="260"/>
      </w:pPr>
      <w:r>
        <w:rPr>
          <w:rFonts w:ascii="Aptos" w:hAnsi="Aptos" w:eastAsia="思源宋体"/>
          <w:b/>
          <w:color w:val="352A23"/>
          <w:sz w:val="23"/>
        </w:rPr>
        <w:t>学生每次选择一条材料，把新证据转化为60–90秒中文口语说明。</w:t>
      </w:r>
    </w:p>
    <w:p>
      <w:pPr>
        <w:pStyle w:val="Heading1"/>
      </w:pPr>
      <w:r>
        <w:t>一、阅读结构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</w:trPr>
        <w:tc>
          <w:tcPr>
            <w:tcW w:type="dxa" w:w="1417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路径</w:t>
            </w:r>
          </w:p>
        </w:tc>
        <w:tc>
          <w:tcPr>
            <w:tcW w:type="dxa" w:w="3118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材料</w:t>
            </w:r>
          </w:p>
        </w:tc>
        <w:tc>
          <w:tcPr>
            <w:tcW w:type="dxa" w:w="3572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问题</w:t>
            </w:r>
          </w:p>
        </w:tc>
        <w:tc>
          <w:tcPr>
            <w:tcW w:type="dxa" w:w="1871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建议</w:t>
            </w:r>
          </w:p>
        </w:tc>
      </w:tr>
      <w:tr>
        <w:tc>
          <w:tcPr>
            <w:tcW w:type="dxa" w:w="141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原著</w:t>
            </w:r>
          </w:p>
        </w:tc>
        <w:tc>
          <w:tcPr>
            <w:tcW w:type="dxa" w:w="311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《西游记》第十六回</w:t>
            </w:r>
          </w:p>
        </w:tc>
        <w:tc>
          <w:tcPr>
            <w:tcW w:type="dxa" w:w="3572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喜欢在哪一个行动中转成伤害？</w:t>
            </w:r>
          </w:p>
        </w:tc>
        <w:tc>
          <w:tcPr>
            <w:tcW w:type="dxa" w:w="187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IH–AL；5–8分钟</w:t>
            </w:r>
          </w:p>
        </w:tc>
      </w:tr>
      <w:tr>
        <w:tc>
          <w:tcPr>
            <w:tcW w:type="dxa" w:w="1417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文物</w:t>
            </w:r>
          </w:p>
        </w:tc>
        <w:tc>
          <w:tcPr>
            <w:tcW w:type="dxa" w:w="311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博物馆袈裟藏品页</w:t>
            </w:r>
          </w:p>
        </w:tc>
        <w:tc>
          <w:tcPr>
            <w:tcW w:type="dxa" w:w="3572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外观、材料和意义怎样连接？</w:t>
            </w:r>
          </w:p>
        </w:tc>
        <w:tc>
          <w:tcPr>
            <w:tcW w:type="dxa" w:w="187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IH–AL；4–6分钟</w:t>
            </w:r>
          </w:p>
        </w:tc>
      </w:tr>
      <w:tr>
        <w:tc>
          <w:tcPr>
            <w:tcW w:type="dxa" w:w="141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改编</w:t>
            </w:r>
          </w:p>
        </w:tc>
        <w:tc>
          <w:tcPr>
            <w:tcW w:type="dxa" w:w="311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游戏动画评论</w:t>
            </w:r>
          </w:p>
        </w:tc>
        <w:tc>
          <w:tcPr>
            <w:tcW w:type="dxa" w:w="3572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视觉改编怎样呈现欲望？</w:t>
            </w:r>
          </w:p>
        </w:tc>
        <w:tc>
          <w:tcPr>
            <w:tcW w:type="dxa" w:w="187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AL；5–8分钟</w:t>
            </w:r>
          </w:p>
        </w:tc>
      </w:tr>
      <w:tr>
        <w:tc>
          <w:tcPr>
            <w:tcW w:type="dxa" w:w="1417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比较</w:t>
            </w:r>
          </w:p>
        </w:tc>
        <w:tc>
          <w:tcPr>
            <w:tcW w:type="dxa" w:w="311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牛仔裤文化史与新闻</w:t>
            </w:r>
          </w:p>
        </w:tc>
        <w:tc>
          <w:tcPr>
            <w:tcW w:type="dxa" w:w="3572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功能怎样转成身份与价格？</w:t>
            </w:r>
          </w:p>
        </w:tc>
        <w:tc>
          <w:tcPr>
            <w:tcW w:type="dxa" w:w="187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IH–AL；6–10分钟</w:t>
            </w:r>
          </w:p>
        </w:tc>
      </w:tr>
    </w:tbl>
    <w:p>
      <w:pPr>
        <w:spacing w:after="0"/>
      </w:pPr>
    </w:p>
    <w:p>
      <w:r>
        <w:t>输入可使用中文、英文或图像；最终产出使用中文。学生在任务完成页、个人历史记录和教师指定的课后入口中持续访问材料。</w:t>
      </w:r>
    </w:p>
    <w:p>
      <w:pPr>
        <w:pStyle w:val="Heading1"/>
      </w:pPr>
      <w:r>
        <w:t>二、四条路径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</w:trPr>
        <w:tc>
          <w:tcPr>
            <w:tcW w:type="dxa" w:w="1417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路径</w:t>
            </w:r>
          </w:p>
        </w:tc>
        <w:tc>
          <w:tcPr>
            <w:tcW w:type="dxa" w:w="3798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教师导读</w:t>
            </w:r>
          </w:p>
        </w:tc>
        <w:tc>
          <w:tcPr>
            <w:tcW w:type="dxa" w:w="3288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口语任务</w:t>
            </w:r>
          </w:p>
        </w:tc>
        <w:tc>
          <w:tcPr>
            <w:tcW w:type="dxa" w:w="1757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词语</w:t>
            </w:r>
          </w:p>
        </w:tc>
      </w:tr>
      <w:tr>
        <w:tc>
          <w:tcPr>
            <w:tcW w:type="dxa" w:w="141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A 原著</w:t>
            </w:r>
          </w:p>
        </w:tc>
        <w:tc>
          <w:tcPr>
            <w:tcW w:type="dxa" w:w="379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金池长老从借看走向藏留与纵火；黑熊精在火中取走袈裟。</w:t>
            </w:r>
          </w:p>
        </w:tc>
        <w:tc>
          <w:tcPr>
            <w:tcW w:type="dxa" w:w="328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用本来、后来、因此说明行动变化。</w:t>
            </w:r>
          </w:p>
        </w:tc>
        <w:tc>
          <w:tcPr>
            <w:tcW w:type="dxa" w:w="175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借看、归还、占有、纵火、后果</w:t>
            </w:r>
          </w:p>
        </w:tc>
      </w:tr>
      <w:tr>
        <w:tc>
          <w:tcPr>
            <w:tcW w:type="dxa" w:w="1417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B 文物</w:t>
            </w:r>
          </w:p>
        </w:tc>
        <w:tc>
          <w:tcPr>
            <w:tcW w:type="dxa" w:w="379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一件藏品用精细织造模仿弃布拼接和针脚。</w:t>
            </w:r>
          </w:p>
        </w:tc>
        <w:tc>
          <w:tcPr>
            <w:tcW w:type="dxa" w:w="328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说明看起来与实际上，并提出一个文化问题。</w:t>
            </w:r>
          </w:p>
        </w:tc>
        <w:tc>
          <w:tcPr>
            <w:tcW w:type="dxa" w:w="1757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弃布、缝成、模仿、织物、外观</w:t>
            </w:r>
          </w:p>
        </w:tc>
      </w:tr>
      <w:tr>
        <w:tc>
          <w:tcPr>
            <w:tcW w:type="dxa" w:w="141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C 改编</w:t>
            </w:r>
          </w:p>
        </w:tc>
        <w:tc>
          <w:tcPr>
            <w:tcW w:type="dxa" w:w="379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游戏动画用袈裟的移动、包围和火焰呈现金池长老的欲望。</w:t>
            </w:r>
          </w:p>
        </w:tc>
        <w:tc>
          <w:tcPr>
            <w:tcW w:type="dxa" w:w="328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比较原著行动与游戏画面。</w:t>
            </w:r>
          </w:p>
        </w:tc>
        <w:tc>
          <w:tcPr>
            <w:tcW w:type="dxa" w:w="175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改编、视觉、象征、保留、增加</w:t>
            </w:r>
          </w:p>
        </w:tc>
      </w:tr>
      <w:tr>
        <w:tc>
          <w:tcPr>
            <w:tcW w:type="dxa" w:w="1417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D 比较</w:t>
            </w:r>
          </w:p>
        </w:tc>
        <w:tc>
          <w:tcPr>
            <w:tcW w:type="dxa" w:w="379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牛仔裤从劳动服进入时尚、身份与价格表达。</w:t>
            </w:r>
          </w:p>
        </w:tc>
        <w:tc>
          <w:tcPr>
            <w:tcW w:type="dxa" w:w="328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说明一个相似点、一个差异和类比边界。</w:t>
            </w:r>
          </w:p>
        </w:tc>
        <w:tc>
          <w:tcPr>
            <w:tcW w:type="dxa" w:w="1757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耐穿、劳动者、身份、价格、类比</w:t>
            </w:r>
          </w:p>
        </w:tc>
      </w:tr>
    </w:tbl>
    <w:p>
      <w:pPr>
        <w:spacing w:after="0"/>
      </w:pPr>
    </w:p>
    <w:p>
      <w:pPr>
        <w:pStyle w:val="Heading1"/>
      </w:pPr>
      <w:r>
        <w:t>三、口语提交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E9D9BE"/>
            <w:tcBorders>
              <w:top w:val="single" w:sz="5" w:color="B58A45"/>
              <w:left w:val="single" w:sz="5" w:color="B58A45"/>
              <w:bottom w:val="single" w:sz="5" w:color="B58A45"/>
              <w:right w:val="single" w:sz="5" w:color="B58A45"/>
              <w:insideH w:val="single" w:sz="5" w:color="B58A45"/>
              <w:insideV w:val="single" w:sz="5" w:color="B58A45"/>
            </w:tcBorders>
          </w:tcPr>
          <w:p>
            <w:r>
              <w:rPr>
                <w:rFonts w:ascii="Aptos" w:hAnsi="Aptos" w:eastAsia="等线"/>
                <w:b/>
                <w:color w:val="A33F2C"/>
                <w:sz w:val="21"/>
              </w:rPr>
              <w:t xml:space="preserve">统一提示　</w:t>
            </w:r>
            <w:r>
              <w:rPr>
                <w:rFonts w:ascii="Aptos" w:hAnsi="Aptos" w:eastAsia="等线"/>
                <w:color w:val="352A23"/>
                <w:sz w:val="21"/>
              </w:rPr>
              <w:t>我读到／看到……。这让我重新理解……。它和……有一点像，因为……。这个比较的边界在……。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1701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维度</w:t>
            </w:r>
          </w:p>
        </w:tc>
        <w:tc>
          <w:tcPr>
            <w:tcW w:type="dxa" w:w="3855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达标</w:t>
            </w:r>
          </w:p>
        </w:tc>
        <w:tc>
          <w:tcPr>
            <w:tcW w:type="dxa" w:w="3855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发展充分</w:t>
            </w:r>
          </w:p>
        </w:tc>
      </w:tr>
      <w:tr>
        <w:tc>
          <w:tcPr>
            <w:tcW w:type="dxa" w:w="170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证据</w:t>
            </w:r>
          </w:p>
        </w:tc>
        <w:tc>
          <w:tcPr>
            <w:tcW w:type="dxa" w:w="3855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准确使用一条材料</w:t>
            </w:r>
          </w:p>
        </w:tc>
        <w:tc>
          <w:tcPr>
            <w:tcW w:type="dxa" w:w="3855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连接两条来源</w:t>
            </w:r>
          </w:p>
        </w:tc>
      </w:tr>
      <w:tr>
        <w:tc>
          <w:tcPr>
            <w:tcW w:type="dxa" w:w="170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解释</w:t>
            </w:r>
          </w:p>
        </w:tc>
        <w:tc>
          <w:tcPr>
            <w:tcW w:type="dxa" w:w="3855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说明人物行动或物件意义</w:t>
            </w:r>
          </w:p>
        </w:tc>
        <w:tc>
          <w:tcPr>
            <w:tcW w:type="dxa" w:w="3855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说明物、行动与价值观的关系</w:t>
            </w:r>
          </w:p>
        </w:tc>
      </w:tr>
      <w:tr>
        <w:tc>
          <w:tcPr>
            <w:tcW w:type="dxa" w:w="170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比较</w:t>
            </w:r>
          </w:p>
        </w:tc>
        <w:tc>
          <w:tcPr>
            <w:tcW w:type="dxa" w:w="3855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相似点与差异</w:t>
            </w:r>
          </w:p>
        </w:tc>
        <w:tc>
          <w:tcPr>
            <w:tcW w:type="dxa" w:w="3855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类比帮助与类比边界</w:t>
            </w:r>
          </w:p>
        </w:tc>
      </w:tr>
      <w:tr>
        <w:tc>
          <w:tcPr>
            <w:tcW w:type="dxa" w:w="170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中文</w:t>
            </w:r>
          </w:p>
        </w:tc>
        <w:tc>
          <w:tcPr>
            <w:tcW w:type="dxa" w:w="3855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形成连续话段</w:t>
            </w:r>
          </w:p>
        </w:tc>
        <w:tc>
          <w:tcPr>
            <w:tcW w:type="dxa" w:w="3855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能够补充、自我修正和追问</w:t>
            </w:r>
          </w:p>
        </w:tc>
      </w:tr>
    </w:tbl>
    <w:p>
      <w:pPr>
        <w:spacing w:after="0"/>
      </w:pPr>
    </w:p>
    <w:p>
      <w:pPr>
        <w:pStyle w:val="Heading1"/>
      </w:pPr>
      <w:r>
        <w:t>四、来源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</w:tcPr>
          <w:p>
            <w:r>
              <w:rPr>
                <w:rFonts w:ascii="Aptos" w:hAnsi="Aptos" w:eastAsia="等线"/>
                <w:b/>
                <w:color w:val="A33F2C"/>
                <w:sz w:val="20"/>
              </w:rPr>
              <w:t>《西游记》第十六回</w:t>
              <w:br/>
            </w:r>
            <w:r>
              <w:rPr>
                <w:rFonts w:ascii="Aptos" w:hAnsi="Aptos" w:eastAsia="等线"/>
                <w:color w:val="765B32"/>
                <w:sz w:val="18"/>
              </w:rPr>
              <w:t>文学原典｜情节与人物行动</w:t>
              <w:br/>
            </w:r>
            <w:r>
              <w:rPr>
                <w:rFonts w:ascii="Aptos" w:hAnsi="Aptos" w:eastAsia="等线"/>
                <w:color w:val="3F6485"/>
                <w:sz w:val="16"/>
              </w:rPr>
              <w:t>https://zh.wikisource.org/wiki/%E8%A5%BF%E9%81%8A%E8%A8%98/%E7%AC%AC016%E5%9B%9E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</w:tcPr>
          <w:p>
            <w:r>
              <w:rPr>
                <w:rFonts w:ascii="Aptos" w:hAnsi="Aptos" w:eastAsia="等线"/>
                <w:b/>
                <w:color w:val="A33F2C"/>
                <w:sz w:val="20"/>
              </w:rPr>
              <w:t>京都国立博物馆：犍陀穀糸袈裟</w:t>
              <w:br/>
            </w:r>
            <w:r>
              <w:rPr>
                <w:rFonts w:ascii="Aptos" w:hAnsi="Aptos" w:eastAsia="等线"/>
                <w:color w:val="765B32"/>
                <w:sz w:val="18"/>
              </w:rPr>
              <w:t>博物馆藏品页｜粪扫衣传统与仿制外观</w:t>
              <w:br/>
            </w:r>
            <w:r>
              <w:rPr>
                <w:rFonts w:ascii="Aptos" w:hAnsi="Aptos" w:eastAsia="等线"/>
                <w:color w:val="3F6485"/>
                <w:sz w:val="16"/>
              </w:rPr>
              <w:t>https://www.kyohaku.go.jp/jp/collection/meihin/senshoku/item05/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</w:tcPr>
          <w:p>
            <w:r>
              <w:rPr>
                <w:rFonts w:ascii="Aptos" w:hAnsi="Aptos" w:eastAsia="等线"/>
                <w:b/>
                <w:color w:val="A33F2C"/>
                <w:sz w:val="20"/>
              </w:rPr>
              <w:t>《黑神话：悟空》动画短片评论</w:t>
              <w:br/>
            </w:r>
            <w:r>
              <w:rPr>
                <w:rFonts w:ascii="Aptos" w:hAnsi="Aptos" w:eastAsia="等线"/>
                <w:color w:val="765B32"/>
                <w:sz w:val="18"/>
              </w:rPr>
              <w:t>媒体评论｜游戏视觉改编</w:t>
              <w:br/>
            </w:r>
            <w:r>
              <w:rPr>
                <w:rFonts w:ascii="Aptos" w:hAnsi="Aptos" w:eastAsia="等线"/>
                <w:color w:val="3F6485"/>
                <w:sz w:val="16"/>
              </w:rPr>
              <w:t>https://www.jiemian.com/article/11631724.html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</w:tcPr>
          <w:p>
            <w:r>
              <w:rPr>
                <w:rFonts w:ascii="Aptos" w:hAnsi="Aptos" w:eastAsia="等线"/>
                <w:b/>
                <w:color w:val="A33F2C"/>
                <w:sz w:val="20"/>
              </w:rPr>
              <w:t>Smithsonian: The Origin of Blue Jeans</w:t>
              <w:br/>
            </w:r>
            <w:r>
              <w:rPr>
                <w:rFonts w:ascii="Aptos" w:hAnsi="Aptos" w:eastAsia="等线"/>
                <w:color w:val="765B32"/>
                <w:sz w:val="18"/>
              </w:rPr>
              <w:t>博物馆杂志｜工作服进入日常时尚</w:t>
              <w:br/>
            </w:r>
            <w:r>
              <w:rPr>
                <w:rFonts w:ascii="Aptos" w:hAnsi="Aptos" w:eastAsia="等线"/>
                <w:color w:val="3F6485"/>
                <w:sz w:val="16"/>
              </w:rPr>
              <w:t>https://www.smithsonianmag.com/smithsonian-institution/the-origin-of-blue-jeans-89612175/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</w:tcPr>
          <w:p>
            <w:r>
              <w:rPr>
                <w:rFonts w:ascii="Aptos" w:hAnsi="Aptos" w:eastAsia="等线"/>
                <w:b/>
                <w:color w:val="A33F2C"/>
                <w:sz w:val="20"/>
              </w:rPr>
              <w:t>Smithsonian: How Denim Became a Political Symbol of the 1960s</w:t>
              <w:br/>
            </w:r>
            <w:r>
              <w:rPr>
                <w:rFonts w:ascii="Aptos" w:hAnsi="Aptos" w:eastAsia="等线"/>
                <w:color w:val="765B32"/>
                <w:sz w:val="18"/>
              </w:rPr>
              <w:t>历史文化文章｜阶级、性别与社会运动</w:t>
              <w:br/>
            </w:r>
            <w:r>
              <w:rPr>
                <w:rFonts w:ascii="Aptos" w:hAnsi="Aptos" w:eastAsia="等线"/>
                <w:color w:val="3F6485"/>
                <w:sz w:val="16"/>
              </w:rPr>
              <w:t>https://www.smithsonianmag.com/arts-culture/denim-political-symbol-1960s-180976241/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</w:tcPr>
          <w:p>
            <w:r>
              <w:rPr>
                <w:rFonts w:ascii="Aptos" w:hAnsi="Aptos" w:eastAsia="等线"/>
                <w:b/>
                <w:color w:val="A33F2C"/>
                <w:sz w:val="20"/>
              </w:rPr>
              <w:t>AP 2026: Blue jeans have been a common thread</w:t>
              <w:br/>
            </w:r>
            <w:r>
              <w:rPr>
                <w:rFonts w:ascii="Aptos" w:hAnsi="Aptos" w:eastAsia="等线"/>
                <w:color w:val="765B32"/>
                <w:sz w:val="18"/>
              </w:rPr>
              <w:t>通讯社新闻｜当代文化解释与多元身份</w:t>
              <w:br/>
            </w:r>
            <w:r>
              <w:rPr>
                <w:rFonts w:ascii="Aptos" w:hAnsi="Aptos" w:eastAsia="等线"/>
                <w:color w:val="3F6485"/>
                <w:sz w:val="16"/>
              </w:rPr>
              <w:t>https://apnews.com/article/0cc01b7efb06bf27fd8c0c0cb2d1cc23</w:t>
            </w:r>
          </w:p>
        </w:tc>
      </w:tr>
    </w:tbl>
    <w:p>
      <w:pPr>
        <w:spacing w:after="0"/>
      </w:pPr>
    </w:p>
    <w:p>
      <w:pPr>
        <w:pStyle w:val="Heading1"/>
      </w:pPr>
      <w:r>
        <w:t>五、更新</w:t>
      </w:r>
    </w:p>
    <w:p>
      <w:pPr>
        <w:pStyle w:val="ListBullet"/>
        <w:ind w:left="312" w:hanging="170"/>
      </w:pPr>
      <w:r>
        <w:t>新闻链接每学期检查；历史与博物馆资料每学年检查。</w:t>
      </w:r>
    </w:p>
    <w:p>
      <w:pPr>
        <w:pStyle w:val="ListBullet"/>
        <w:ind w:left="312" w:hanging="170"/>
      </w:pPr>
      <w:r>
        <w:t>教师改写保留来源标题、机构、日期、类型和链接。</w:t>
      </w:r>
    </w:p>
    <w:p>
      <w:pPr>
        <w:pStyle w:val="ListBullet"/>
        <w:ind w:left="312" w:hanging="170"/>
      </w:pPr>
      <w:r>
        <w:t>学生页每条路径保留一项主材料，控制信息密度。</w:t>
      </w:r>
    </w:p>
    <w:p>
      <w:pPr>
        <w:pStyle w:val="ListBullet"/>
        <w:ind w:left="312" w:hanging="170"/>
      </w:pPr>
      <w:r>
        <w:t>扩展材料持续回到袈裟、价值、欲望与行动后果。</w:t>
      </w:r>
    </w:p>
    <w:sectPr w:rsidR="00FC693F" w:rsidRPr="0006063C" w:rsidSect="00034616">
      <w:footerReference w:type="default" r:id="rId9"/>
      <w:pgSz w:w="12240" w:h="15840"/>
      <w:pgMar w:top="1020" w:right="1162" w:bottom="964" w:left="11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等线"/>
        <w:color w:val="73685E"/>
        <w:sz w:val="16"/>
      </w:rPr>
      <w:t>BYU MANDARIN · 袈裟主题 · 扩展阅读教师版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1" w:lineRule="auto" w:after="100"/>
    </w:pPr>
    <w:rPr>
      <w:rFonts w:ascii="Aptos" w:hAnsi="Aptos" w:eastAsia="等线"/>
      <w:color w:val="352A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 w:eastAsia="思源宋体"/>
      <w:b/>
      <w:bCs/>
      <w:color w:val="A33F2C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思源宋体"/>
      <w:b/>
      <w:bCs/>
      <w:color w:val="765B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 w:eastAsia="思源宋体"/>
      <w:b/>
      <w:bCs/>
      <w:color w:val="52615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思源宋体"/>
      <w:b/>
      <w:color w:val="352A2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40" w:after="100"/>
    </w:pPr>
    <w:rPr>
      <w:rFonts w:asciiTheme="majorHAnsi" w:eastAsiaTheme="majorEastAsia" w:hAnsiTheme="majorHAnsi" w:cstheme="majorBidi" w:ascii="Aptos Display" w:hAnsi="Aptos Display" w:eastAsia="思源宋体"/>
      <w:b/>
      <w:i/>
      <w:iCs/>
      <w:color w:val="A33F2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