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352A23"/>
            <w:tcBorders>
              <w:top w:val="single" w:sz="0" w:color="352A23"/>
              <w:left w:val="single" w:sz="0" w:color="352A23"/>
              <w:bottom w:val="single" w:sz="0" w:color="352A23"/>
              <w:right w:val="single" w:sz="0" w:color="352A23"/>
              <w:insideH w:val="single" w:sz="0" w:color="352A23"/>
              <w:insideV w:val="single" w:sz="0" w:color="352A23"/>
            </w:tcBorders>
          </w:tcPr>
          <w:p>
            <w:pPr>
              <w:spacing w:before="160" w:after="160"/>
            </w:pPr>
            <w:r>
              <w:rPr>
                <w:rFonts w:ascii="Aptos" w:hAnsi="Aptos" w:eastAsia="等线"/>
                <w:b/>
                <w:color w:val="B58A45"/>
                <w:sz w:val="18"/>
              </w:rPr>
              <w:t>EXTENSION READING · STUDENT</w:t>
            </w:r>
          </w:p>
        </w:tc>
      </w:tr>
    </w:tbl>
    <w:p>
      <w:pPr>
        <w:pStyle w:val="Title"/>
        <w:spacing w:before="360"/>
      </w:pPr>
      <w:r>
        <w:t>山外见闻：袈裟主题选读</w:t>
      </w:r>
    </w:p>
    <w:p>
      <w:pPr>
        <w:pStyle w:val="Subtitle"/>
      </w:pPr>
      <w:r>
        <w:t>四选一 · 任务完成后随时回来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958"/>
            <w:shd w:fill="A33F2C"/>
            <w:tcBorders>
              <w:top w:val="single" w:sz="0" w:color="A33F2C"/>
              <w:left w:val="single" w:sz="0" w:color="A33F2C"/>
              <w:bottom w:val="single" w:sz="0" w:color="A33F2C"/>
              <w:right w:val="single" w:sz="0" w:color="A33F2C"/>
              <w:insideH w:val="single" w:sz="0" w:color="A33F2C"/>
              <w:insideV w:val="single" w:sz="0" w:color="A33F2C"/>
            </w:tcBorders>
          </w:tcPr>
          <w:p>
            <w:pPr>
              <w:spacing w:after="0"/>
            </w:pPr>
          </w:p>
        </w:tc>
        <w:tc>
          <w:tcPr>
            <w:tcW w:type="dxa" w:w="4958"/>
            <w:shd w:fill="B58A45"/>
            <w:tcBorders>
              <w:top w:val="single" w:sz="0" w:color="B58A45"/>
              <w:left w:val="single" w:sz="0" w:color="B58A45"/>
              <w:bottom w:val="single" w:sz="0" w:color="B58A45"/>
              <w:right w:val="single" w:sz="0" w:color="B58A45"/>
              <w:insideH w:val="single" w:sz="0" w:color="B58A45"/>
              <w:insideV w:val="single" w:sz="0" w:color="B58A45"/>
            </w:tcBorders>
          </w:tcPr>
          <w:p>
            <w:pPr>
              <w:spacing w:after="0"/>
            </w:pPr>
          </w:p>
        </w:tc>
      </w:tr>
    </w:tbl>
    <w:p>
      <w:pPr>
        <w:spacing w:before="240" w:after="260"/>
      </w:pPr>
      <w:r>
        <w:rPr>
          <w:rFonts w:ascii="Aptos" w:hAnsi="Aptos" w:eastAsia="思源宋体"/>
          <w:b/>
          <w:color w:val="352A23"/>
          <w:sz w:val="23"/>
        </w:rPr>
        <w:t>选择一条材料，带着一条新证据回到故事，用中文说明你的新理解。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1361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选择</w:t>
            </w:r>
          </w:p>
        </w:tc>
        <w:tc>
          <w:tcPr>
            <w:tcW w:type="dxa" w:w="3118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你会发现</w:t>
            </w:r>
          </w:p>
        </w:tc>
        <w:tc>
          <w:tcPr>
            <w:tcW w:type="dxa" w:w="3685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读后要说</w:t>
            </w:r>
          </w:p>
        </w:tc>
        <w:tc>
          <w:tcPr>
            <w:tcW w:type="dxa" w:w="1757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时间</w:t>
            </w:r>
          </w:p>
        </w:tc>
      </w:tr>
      <w:tr>
        <w:tc>
          <w:tcPr>
            <w:tcW w:type="dxa" w:w="136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A 原著</w:t>
            </w:r>
          </w:p>
        </w:tc>
        <w:tc>
          <w:tcPr>
            <w:tcW w:type="dxa" w:w="311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喜欢怎样变成占有和伤害</w:t>
            </w:r>
          </w:p>
        </w:tc>
        <w:tc>
          <w:tcPr>
            <w:tcW w:type="dxa" w:w="368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哪个行动改变了事情？</w:t>
            </w:r>
          </w:p>
        </w:tc>
        <w:tc>
          <w:tcPr>
            <w:tcW w:type="dxa" w:w="175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5–8分钟</w:t>
            </w:r>
          </w:p>
        </w:tc>
      </w:tr>
      <w:tr>
        <w:tc>
          <w:tcPr>
            <w:tcW w:type="dxa" w:w="136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B 文物</w:t>
            </w:r>
          </w:p>
        </w:tc>
        <w:tc>
          <w:tcPr>
            <w:tcW w:type="dxa" w:w="311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“像弃布”怎样成为一种外观</w:t>
            </w:r>
          </w:p>
        </w:tc>
        <w:tc>
          <w:tcPr>
            <w:tcW w:type="dxa" w:w="368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材料和意义怎样连接？</w:t>
            </w:r>
          </w:p>
        </w:tc>
        <w:tc>
          <w:tcPr>
            <w:tcW w:type="dxa" w:w="175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4–6分钟</w:t>
            </w:r>
          </w:p>
        </w:tc>
      </w:tr>
      <w:tr>
        <w:tc>
          <w:tcPr>
            <w:tcW w:type="dxa" w:w="136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C 改编</w:t>
            </w:r>
          </w:p>
        </w:tc>
        <w:tc>
          <w:tcPr>
            <w:tcW w:type="dxa" w:w="311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游戏怎样让欲望变成画面</w:t>
            </w:r>
          </w:p>
        </w:tc>
        <w:tc>
          <w:tcPr>
            <w:tcW w:type="dxa" w:w="368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它保留和增加了什么？</w:t>
            </w:r>
          </w:p>
        </w:tc>
        <w:tc>
          <w:tcPr>
            <w:tcW w:type="dxa" w:w="175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5–8分钟</w:t>
            </w:r>
          </w:p>
        </w:tc>
      </w:tr>
      <w:tr>
        <w:tc>
          <w:tcPr>
            <w:tcW w:type="dxa" w:w="136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D 比较</w:t>
            </w:r>
          </w:p>
        </w:tc>
        <w:tc>
          <w:tcPr>
            <w:tcW w:type="dxa" w:w="311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工作服怎样获得身份与价格</w:t>
            </w:r>
          </w:p>
        </w:tc>
        <w:tc>
          <w:tcPr>
            <w:tcW w:type="dxa" w:w="368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哪里相似，哪里不同？</w:t>
            </w:r>
          </w:p>
        </w:tc>
        <w:tc>
          <w:tcPr>
            <w:tcW w:type="dxa" w:w="175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6–10分钟</w:t>
            </w:r>
          </w:p>
        </w:tc>
      </w:tr>
    </w:tbl>
    <w:p>
      <w:pPr>
        <w:spacing w:after="0"/>
      </w:pPr>
    </w:p>
    <w:p>
      <w:pPr>
        <w:pStyle w:val="Heading1"/>
      </w:pPr>
      <w:r>
        <w:t>A｜读原著</w:t>
      </w:r>
    </w:p>
    <w:p>
      <w:r>
        <w:t>金池长老见到锦襕袈裟后，先要求借看，后来想把它留下，并接受纵火夺衣的主意。黑熊精看到袈裟后也把它带走。找出一个让喜欢转成伤害的行动。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</w:tcPr>
          <w:p>
            <w:r>
              <w:rPr>
                <w:rFonts w:ascii="Aptos" w:hAnsi="Aptos" w:eastAsia="等线"/>
                <w:b/>
                <w:color w:val="A33F2C"/>
                <w:sz w:val="20"/>
              </w:rPr>
              <w:t>《西游记》第十六回</w:t>
              <w:br/>
            </w:r>
            <w:r>
              <w:rPr>
                <w:rFonts w:ascii="Aptos" w:hAnsi="Aptos" w:eastAsia="等线"/>
                <w:color w:val="765B32"/>
                <w:sz w:val="18"/>
              </w:rPr>
              <w:t>文学原典｜借看、归还、占有、纵火、后果</w:t>
              <w:br/>
            </w:r>
            <w:r>
              <w:rPr>
                <w:rFonts w:ascii="Aptos" w:hAnsi="Aptos" w:eastAsia="等线"/>
                <w:color w:val="3F6485"/>
                <w:sz w:val="16"/>
              </w:rPr>
              <w:t>https://zh.wikisource.org/wiki/%E8%A5%BF%E9%81%8A%E8%A8%98/%E7%AC%AC016%E5%9B%9E</w:t>
            </w:r>
          </w:p>
        </w:tc>
      </w:tr>
    </w:tbl>
    <w:p>
      <w:pPr>
        <w:spacing w:after="0"/>
      </w:pPr>
    </w:p>
    <w:p>
      <w:pPr>
        <w:pStyle w:val="Heading1"/>
      </w:pPr>
      <w:r>
        <w:t>B｜看文物</w:t>
      </w:r>
    </w:p>
    <w:p>
      <w:r>
        <w:t>博物馆的一件袈裟看起来像由许多旧布缝成。藏品用精细织造技术模仿拼布和针脚。思考人们为什么认真做出“像弃布”的样子。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</w:tcPr>
          <w:p>
            <w:r>
              <w:rPr>
                <w:rFonts w:ascii="Aptos" w:hAnsi="Aptos" w:eastAsia="等线"/>
                <w:b/>
                <w:color w:val="A33F2C"/>
                <w:sz w:val="20"/>
              </w:rPr>
              <w:t>京都国立博物馆袈裟藏品页</w:t>
              <w:br/>
            </w:r>
            <w:r>
              <w:rPr>
                <w:rFonts w:ascii="Aptos" w:hAnsi="Aptos" w:eastAsia="等线"/>
                <w:color w:val="765B32"/>
                <w:sz w:val="18"/>
              </w:rPr>
              <w:t>博物馆物证｜弃布、缝成、模仿、织物、外观</w:t>
              <w:br/>
            </w:r>
            <w:r>
              <w:rPr>
                <w:rFonts w:ascii="Aptos" w:hAnsi="Aptos" w:eastAsia="等线"/>
                <w:color w:val="3F6485"/>
                <w:sz w:val="16"/>
              </w:rPr>
              <w:t>https://www.kyohaku.go.jp/jp/collection/meihin/senshoku/item05/</w:t>
            </w:r>
          </w:p>
        </w:tc>
      </w:tr>
    </w:tbl>
    <w:p>
      <w:pPr>
        <w:spacing w:after="0"/>
      </w:pPr>
    </w:p>
    <w:p>
      <w:pPr>
        <w:pStyle w:val="Heading1"/>
      </w:pPr>
      <w:r>
        <w:t>C｜看游戏改编</w:t>
      </w:r>
    </w:p>
    <w:p>
      <w:r>
        <w:t>评论者关注游戏动画中会移动、包围人物并与火焰连在一起的袈裟。比较原著中的人物行动和游戏增加的视觉画面。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</w:tcPr>
          <w:p>
            <w:r>
              <w:rPr>
                <w:rFonts w:ascii="Aptos" w:hAnsi="Aptos" w:eastAsia="等线"/>
                <w:b/>
                <w:color w:val="A33F2C"/>
                <w:sz w:val="20"/>
              </w:rPr>
              <w:t>游戏动画短片评论</w:t>
              <w:br/>
            </w:r>
            <w:r>
              <w:rPr>
                <w:rFonts w:ascii="Aptos" w:hAnsi="Aptos" w:eastAsia="等线"/>
                <w:color w:val="765B32"/>
                <w:sz w:val="18"/>
              </w:rPr>
              <w:t>媒体评论｜改编、视觉、象征、保留、增加</w:t>
              <w:br/>
            </w:r>
            <w:r>
              <w:rPr>
                <w:rFonts w:ascii="Aptos" w:hAnsi="Aptos" w:eastAsia="等线"/>
                <w:color w:val="3F6485"/>
                <w:sz w:val="16"/>
              </w:rPr>
              <w:t>https://www.jiemian.com/article/11631724.html</w:t>
            </w:r>
          </w:p>
        </w:tc>
      </w:tr>
    </w:tbl>
    <w:p>
      <w:pPr>
        <w:spacing w:after="0"/>
      </w:pPr>
    </w:p>
    <w:p>
      <w:pPr>
        <w:pStyle w:val="Heading1"/>
      </w:pPr>
      <w:r>
        <w:t>D｜比较文化物件</w:t>
      </w:r>
    </w:p>
    <w:p>
      <w:r>
        <w:t>牛仔裤最初重视结实耐穿，后来也能表达时尚、反叛、身份或价格。你也可以选择限量运动鞋、棒球帽或自己文化中的物件。说明它和袈裟的相似点、差异和比较边界。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</w:tcPr>
          <w:p>
            <w:r>
              <w:rPr>
                <w:rFonts w:ascii="Aptos" w:hAnsi="Aptos" w:eastAsia="等线"/>
                <w:b/>
                <w:color w:val="A33F2C"/>
                <w:sz w:val="20"/>
              </w:rPr>
              <w:t>Smithsonian: The Origin of Blue Jeans</w:t>
              <w:br/>
            </w:r>
            <w:r>
              <w:rPr>
                <w:rFonts w:ascii="Aptos" w:hAnsi="Aptos" w:eastAsia="等线"/>
                <w:color w:val="765B32"/>
                <w:sz w:val="18"/>
              </w:rPr>
              <w:t>博物馆杂志｜耐穿、劳动者、身份、价格、类比</w:t>
              <w:br/>
            </w:r>
            <w:r>
              <w:rPr>
                <w:rFonts w:ascii="Aptos" w:hAnsi="Aptos" w:eastAsia="等线"/>
                <w:color w:val="3F6485"/>
                <w:sz w:val="16"/>
              </w:rPr>
              <w:t>https://www.smithsonianmag.com/smithsonian-institution/the-origin-of-blue-jeans-89612175/</w:t>
            </w:r>
          </w:p>
        </w:tc>
      </w:tr>
    </w:tbl>
    <w:p>
      <w:pPr>
        <w:spacing w:after="0"/>
      </w:pPr>
    </w:p>
    <w:p>
      <w:pPr>
        <w:pStyle w:val="Heading1"/>
      </w:pPr>
      <w:r>
        <w:t>录一段60–90秒中文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E9D9BE"/>
            <w:tcBorders>
              <w:top w:val="single" w:sz="5" w:color="B58A45"/>
              <w:left w:val="single" w:sz="5" w:color="B58A45"/>
              <w:bottom w:val="single" w:sz="5" w:color="B58A45"/>
              <w:right w:val="single" w:sz="5" w:color="B58A45"/>
              <w:insideH w:val="single" w:sz="5" w:color="B58A45"/>
              <w:insideV w:val="single" w:sz="5" w:color="B58A45"/>
            </w:tcBorders>
          </w:tcPr>
          <w:p>
            <w:r>
              <w:rPr>
                <w:rFonts w:ascii="Aptos" w:hAnsi="Aptos" w:eastAsia="等线"/>
                <w:b/>
                <w:color w:val="A33F2C"/>
                <w:sz w:val="21"/>
              </w:rPr>
              <w:t xml:space="preserve">提示　</w:t>
            </w:r>
            <w:r>
              <w:rPr>
                <w:rFonts w:ascii="Aptos" w:hAnsi="Aptos" w:eastAsia="等线"/>
                <w:color w:val="352A23"/>
                <w:sz w:val="21"/>
              </w:rPr>
              <w:t>我读到／看到……。这让我重新理解……。它和……有一点像，因为……。这个比较的边界在……。</w:t>
            </w:r>
          </w:p>
        </w:tc>
      </w:tr>
    </w:tbl>
    <w:p>
      <w:pPr>
        <w:spacing w:after="0"/>
      </w:pPr>
    </w:p>
    <w:p>
      <w:r>
        <w:t>提交一条材料证据和你的解释。比较路径再加入一个相似点和一个差异。</w:t>
      </w:r>
    </w:p>
    <w:sectPr w:rsidR="00FC693F" w:rsidRPr="0006063C" w:rsidSect="00034616">
      <w:footerReference w:type="default" r:id="rId9"/>
      <w:pgSz w:w="12240" w:h="15840"/>
      <w:pgMar w:top="1020" w:right="1162" w:bottom="964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等线"/>
        <w:color w:val="73685E"/>
        <w:sz w:val="16"/>
      </w:rPr>
      <w:t>BYU MANDARIN · 山外见闻 · 学生选读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100"/>
    </w:pPr>
    <w:rPr>
      <w:rFonts w:ascii="Aptos" w:hAnsi="Aptos" w:eastAsia="等线"/>
      <w:color w:val="352A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 w:eastAsia="思源宋体"/>
      <w:b/>
      <w:bCs/>
      <w:color w:val="A33F2C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思源宋体"/>
      <w:b/>
      <w:bCs/>
      <w:color w:val="765B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 w:eastAsia="思源宋体"/>
      <w:b/>
      <w:bCs/>
      <w:color w:val="5261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思源宋体"/>
      <w:b/>
      <w:color w:val="352A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40" w:after="100"/>
    </w:pPr>
    <w:rPr>
      <w:rFonts w:asciiTheme="majorHAnsi" w:eastAsiaTheme="majorEastAsia" w:hAnsiTheme="majorHAnsi" w:cstheme="majorBidi" w:ascii="Aptos Display" w:hAnsi="Aptos Display" w:eastAsia="思源宋体"/>
      <w:b/>
      <w:i/>
      <w:iCs/>
      <w:color w:val="A33F2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