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352A23"/>
            <w:tcBorders>
              <w:top w:val="single" w:sz="0" w:color="352A23"/>
              <w:left w:val="single" w:sz="0" w:color="352A23"/>
              <w:bottom w:val="single" w:sz="0" w:color="352A23"/>
              <w:right w:val="single" w:sz="0" w:color="352A23"/>
              <w:insideH w:val="single" w:sz="0" w:color="352A23"/>
              <w:insideV w:val="single" w:sz="0" w:color="352A23"/>
            </w:tcBorders>
          </w:tcPr>
          <w:p>
            <w:pPr>
              <w:spacing w:before="160" w:after="160"/>
            </w:pPr>
            <w:r>
              <w:rPr>
                <w:rFonts w:ascii="Aptos" w:hAnsi="Aptos" w:eastAsia="等线"/>
                <w:b/>
                <w:color w:val="B58A45"/>
                <w:sz w:val="18"/>
              </w:rPr>
              <w:t>PEDAGOGICAL REVIEW</w:t>
            </w:r>
          </w:p>
        </w:tc>
      </w:tr>
    </w:tbl>
    <w:p>
      <w:pPr>
        <w:pStyle w:val="Title"/>
        <w:spacing w:before="360"/>
      </w:pPr>
      <w:r>
        <w:t>袈裟主题教学价值</w:t>
      </w:r>
    </w:p>
    <w:p>
      <w:pPr>
        <w:pStyle w:val="Subtitle"/>
      </w:pPr>
      <w:r>
        <w:t>吸引力、文化深度与跨文化表达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958"/>
            <w:shd w:fill="A33F2C"/>
            <w:tcBorders>
              <w:top w:val="single" w:sz="0" w:color="A33F2C"/>
              <w:left w:val="single" w:sz="0" w:color="A33F2C"/>
              <w:bottom w:val="single" w:sz="0" w:color="A33F2C"/>
              <w:right w:val="single" w:sz="0" w:color="A33F2C"/>
              <w:insideH w:val="single" w:sz="0" w:color="A33F2C"/>
              <w:insideV w:val="single" w:sz="0" w:color="A33F2C"/>
            </w:tcBorders>
          </w:tcPr>
          <w:p>
            <w:pPr>
              <w:spacing w:after="0"/>
            </w:pPr>
          </w:p>
        </w:tc>
        <w:tc>
          <w:tcPr>
            <w:tcW w:type="dxa" w:w="4958"/>
            <w:shd w:fill="B58A45"/>
            <w:tcBorders>
              <w:top w:val="single" w:sz="0" w:color="B58A45"/>
              <w:left w:val="single" w:sz="0" w:color="B58A45"/>
              <w:bottom w:val="single" w:sz="0" w:color="B58A45"/>
              <w:right w:val="single" w:sz="0" w:color="B58A45"/>
              <w:insideH w:val="single" w:sz="0" w:color="B58A45"/>
              <w:insideV w:val="single" w:sz="0" w:color="B58A45"/>
            </w:tcBorders>
          </w:tcPr>
          <w:p>
            <w:pPr>
              <w:spacing w:after="0"/>
            </w:pPr>
          </w:p>
        </w:tc>
      </w:tr>
    </w:tbl>
    <w:p>
      <w:pPr>
        <w:spacing w:before="240" w:after="260"/>
      </w:pPr>
      <w:r>
        <w:rPr>
          <w:rFonts w:ascii="Aptos" w:hAnsi="Aptos" w:eastAsia="思源宋体"/>
          <w:b/>
          <w:color w:val="352A23"/>
          <w:sz w:val="23"/>
        </w:rPr>
        <w:t>一件可观察的衣服承载修行身份、文学珍宝、收藏欲望和行动后果，适合中高级学习者形成有证据的口语解释。</w:t>
      </w:r>
    </w:p>
    <w:p>
      <w:pPr>
        <w:pStyle w:val="Heading1"/>
      </w:pPr>
      <w:r>
        <w:t>一、教学价值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70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维度</w:t>
            </w:r>
          </w:p>
        </w:tc>
        <w:tc>
          <w:tcPr>
            <w:tcW w:type="dxa" w:w="4082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价值</w:t>
            </w:r>
          </w:p>
        </w:tc>
        <w:tc>
          <w:tcPr>
            <w:tcW w:type="dxa" w:w="3628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课堂表现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具体</w:t>
            </w:r>
          </w:p>
        </w:tc>
        <w:tc>
          <w:tcPr>
            <w:tcW w:type="dxa" w:w="4082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材料、颜色、拼接、佩用者都可观察</w:t>
            </w:r>
          </w:p>
        </w:tc>
        <w:tc>
          <w:tcPr>
            <w:tcW w:type="dxa" w:w="362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学生从可见特征开始说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矛盾</w:t>
            </w:r>
          </w:p>
        </w:tc>
        <w:tc>
          <w:tcPr>
            <w:tcW w:type="dxa" w:w="4082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少欲提醒与珍贵宝物集中在同一件衣服</w:t>
            </w:r>
          </w:p>
        </w:tc>
        <w:tc>
          <w:tcPr>
            <w:tcW w:type="dxa" w:w="362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学生使用本来、后来、可是解释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角色</w:t>
            </w:r>
          </w:p>
        </w:tc>
        <w:tc>
          <w:tcPr>
            <w:tcW w:type="dxa" w:w="4082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金池长老与黑熊精体现不同占有理由</w:t>
            </w:r>
          </w:p>
        </w:tc>
        <w:tc>
          <w:tcPr>
            <w:tcW w:type="dxa" w:w="362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学生追问、反驳、协商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跨文化</w:t>
            </w:r>
          </w:p>
        </w:tc>
        <w:tc>
          <w:tcPr>
            <w:tcW w:type="dxa" w:w="4082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衣服常同时承担功能、身份与价格</w:t>
            </w:r>
          </w:p>
        </w:tc>
        <w:tc>
          <w:tcPr>
            <w:tcW w:type="dxa" w:w="362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学生比较熟悉物件并说明边界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语言</w:t>
            </w:r>
          </w:p>
        </w:tc>
        <w:tc>
          <w:tcPr>
            <w:tcW w:type="dxa" w:w="4082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常用词可以表达复杂判断</w:t>
            </w:r>
          </w:p>
        </w:tc>
        <w:tc>
          <w:tcPr>
            <w:tcW w:type="dxa" w:w="362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认知深度高于词汇负担</w:t>
            </w:r>
          </w:p>
        </w:tc>
      </w:tr>
    </w:tbl>
    <w:p>
      <w:pPr>
        <w:spacing w:after="0"/>
      </w:pPr>
    </w:p>
    <w:p>
      <w:pPr>
        <w:pStyle w:val="Heading1"/>
      </w:pPr>
      <w:r>
        <w:t>二、文化深度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70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3P</w:t>
            </w:r>
          </w:p>
        </w:tc>
        <w:tc>
          <w:tcPr>
            <w:tcW w:type="dxa" w:w="4309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内容</w:t>
            </w:r>
          </w:p>
        </w:tc>
        <w:tc>
          <w:tcPr>
            <w:tcW w:type="dxa" w:w="3402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核心问题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Product</w:t>
            </w:r>
          </w:p>
        </w:tc>
        <w:tc>
          <w:tcPr>
            <w:tcW w:type="dxa" w:w="4309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粪扫衣传统、拼接外观、文学中的锦襕袈裟</w:t>
            </w:r>
          </w:p>
        </w:tc>
        <w:tc>
          <w:tcPr>
            <w:tcW w:type="dxa" w:w="3402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同类衣物为什么呈现不同价值？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Practice</w:t>
            </w:r>
          </w:p>
        </w:tc>
        <w:tc>
          <w:tcPr>
            <w:tcW w:type="dxa" w:w="4309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穿着、收藏、展示、借看、占有</w:t>
            </w:r>
          </w:p>
        </w:tc>
        <w:tc>
          <w:tcPr>
            <w:tcW w:type="dxa" w:w="3402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人怎样通过行动赋予物意义？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Perspective</w:t>
            </w:r>
          </w:p>
        </w:tc>
        <w:tc>
          <w:tcPr>
            <w:tcW w:type="dxa" w:w="4309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少欲、身份、他人眼光、价值与欲望</w:t>
            </w:r>
          </w:p>
        </w:tc>
        <w:tc>
          <w:tcPr>
            <w:tcW w:type="dxa" w:w="3402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欲望来自物，还是来自看物的人？</w:t>
            </w:r>
          </w:p>
        </w:tc>
      </w:tr>
    </w:tbl>
    <w:p>
      <w:pPr>
        <w:spacing w:after="0"/>
      </w:pPr>
    </w:p>
    <w:p>
      <w:pPr>
        <w:pStyle w:val="Heading1"/>
      </w:pPr>
      <w:r>
        <w:t>三、跨文化比较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70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物件</w:t>
            </w:r>
          </w:p>
        </w:tc>
        <w:tc>
          <w:tcPr>
            <w:tcW w:type="dxa" w:w="4082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可比较处</w:t>
            </w:r>
          </w:p>
        </w:tc>
        <w:tc>
          <w:tcPr>
            <w:tcW w:type="dxa" w:w="3628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差异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牛仔裤</w:t>
            </w:r>
          </w:p>
        </w:tc>
        <w:tc>
          <w:tcPr>
            <w:tcW w:type="dxa" w:w="4082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工作服进入大众时尚，也可代表身份与价格</w:t>
            </w:r>
          </w:p>
        </w:tc>
        <w:tc>
          <w:tcPr>
            <w:tcW w:type="dxa" w:w="362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原始功能是耐穿；宗教意义不同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限量运动鞋</w:t>
            </w:r>
          </w:p>
        </w:tc>
        <w:tc>
          <w:tcPr>
            <w:tcW w:type="dxa" w:w="4082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功能物品进入收藏与争抢</w:t>
            </w:r>
          </w:p>
        </w:tc>
        <w:tc>
          <w:tcPr>
            <w:tcW w:type="dxa" w:w="362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商业稀缺与品牌机制更突出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棒球帽</w:t>
            </w:r>
          </w:p>
        </w:tc>
        <w:tc>
          <w:tcPr>
            <w:tcW w:type="dxa" w:w="4082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遮阳用品可表示球队、地区和群体身份</w:t>
            </w:r>
          </w:p>
        </w:tc>
        <w:tc>
          <w:tcPr>
            <w:tcW w:type="dxa" w:w="362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公共群体认同更突出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学生自选</w:t>
            </w:r>
          </w:p>
        </w:tc>
        <w:tc>
          <w:tcPr>
            <w:tcW w:type="dxa" w:w="4082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连接个人文化经验</w:t>
            </w:r>
          </w:p>
        </w:tc>
        <w:tc>
          <w:tcPr>
            <w:tcW w:type="dxa" w:w="362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需要说明选择依据和类比边界</w:t>
            </w:r>
          </w:p>
        </w:tc>
      </w:tr>
    </w:tbl>
    <w:p>
      <w:pPr>
        <w:spacing w:after="0"/>
      </w:pPr>
    </w:p>
    <w:p>
      <w:pPr>
        <w:pStyle w:val="Heading1"/>
      </w:pPr>
      <w:r>
        <w:t>四、预期产出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E9D9BE"/>
            <w:tcBorders>
              <w:top w:val="single" w:sz="5" w:color="B58A45"/>
              <w:left w:val="single" w:sz="5" w:color="B58A45"/>
              <w:bottom w:val="single" w:sz="5" w:color="B58A45"/>
              <w:right w:val="single" w:sz="5" w:color="B58A45"/>
              <w:insideH w:val="single" w:sz="5" w:color="B58A45"/>
              <w:insideV w:val="single" w:sz="5" w:color="B58A4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1"/>
              </w:rPr>
              <w:t xml:space="preserve">达标　</w:t>
            </w:r>
            <w:r>
              <w:rPr>
                <w:rFonts w:ascii="Aptos" w:hAnsi="Aptos" w:eastAsia="等线"/>
                <w:color w:val="352A23"/>
                <w:sz w:val="21"/>
              </w:rPr>
              <w:t>学生说出袈裟的原来意义、人物后来赋予的价值、一条行动后果，以及一个跨文化物件的相似点和差异。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E2E7DD"/>
            <w:tcBorders>
              <w:top w:val="single" w:sz="5" w:color="B58A45"/>
              <w:left w:val="single" w:sz="5" w:color="B58A45"/>
              <w:bottom w:val="single" w:sz="5" w:color="B58A45"/>
              <w:right w:val="single" w:sz="5" w:color="B58A45"/>
              <w:insideH w:val="single" w:sz="5" w:color="B58A45"/>
              <w:insideV w:val="single" w:sz="5" w:color="B58A4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1"/>
              </w:rPr>
              <w:t xml:space="preserve">发展充分　</w:t>
            </w:r>
            <w:r>
              <w:rPr>
                <w:rFonts w:ascii="Aptos" w:hAnsi="Aptos" w:eastAsia="等线"/>
                <w:color w:val="352A23"/>
                <w:sz w:val="21"/>
              </w:rPr>
              <w:t>学生使用两条证据，回应角色观点，指出类比边界，并在补说中调整中文表达。</w:t>
            </w:r>
          </w:p>
        </w:tc>
      </w:tr>
    </w:tbl>
    <w:p>
      <w:pPr>
        <w:spacing w:after="0"/>
      </w:pPr>
    </w:p>
    <w:p>
      <w:pPr>
        <w:pStyle w:val="Heading1"/>
      </w:pPr>
      <w:r>
        <w:t>五、研究观察</w:t>
      </w:r>
    </w:p>
    <w:p>
      <w:pPr>
        <w:pStyle w:val="ListBullet"/>
        <w:ind w:left="312" w:hanging="170"/>
      </w:pPr>
      <w:r>
        <w:t>识别文化物件向解释文化关系的发展。</w:t>
      </w:r>
    </w:p>
    <w:p>
      <w:pPr>
        <w:pStyle w:val="ListBullet"/>
        <w:ind w:left="312" w:hanging="170"/>
      </w:pPr>
      <w:r>
        <w:t>角色追问引发的口语长度、追问方式和自我修正。</w:t>
      </w:r>
    </w:p>
    <w:p>
      <w:pPr>
        <w:pStyle w:val="ListBullet"/>
        <w:ind w:left="312" w:hanging="170"/>
      </w:pPr>
      <w:r>
        <w:t>Hint使用前后话语在证据、因果和比较上的变化。</w:t>
      </w:r>
    </w:p>
    <w:p>
      <w:pPr>
        <w:pStyle w:val="ListBullet"/>
        <w:ind w:left="312" w:hanging="170"/>
      </w:pPr>
      <w:r>
        <w:t>即时解释与扩展阅读后解释之间的变化。</w:t>
      </w:r>
    </w:p>
    <w:p>
      <w:pPr>
        <w:pStyle w:val="ListBullet"/>
        <w:ind w:left="312" w:hanging="170"/>
      </w:pPr>
      <w:r>
        <w:t>学生对游戏叙事、文学文本与文化事实来源的区分。</w:t>
      </w:r>
    </w:p>
    <w:sectPr w:rsidR="00FC693F" w:rsidRPr="0006063C" w:rsidSect="00034616">
      <w:footerReference w:type="default" r:id="rId9"/>
      <w:pgSz w:w="12240" w:h="15840"/>
      <w:pgMar w:top="1020" w:right="1162" w:bottom="964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color w:val="73685E"/>
        <w:sz w:val="16"/>
      </w:rPr>
      <w:t>BYU MANDARIN · 袈裟主题 · 教案审议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00"/>
    </w:pPr>
    <w:rPr>
      <w:rFonts w:ascii="Aptos" w:hAnsi="Aptos" w:eastAsia="等线"/>
      <w:color w:val="352A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 w:eastAsia="思源宋体"/>
      <w:b/>
      <w:bCs/>
      <w:color w:val="A33F2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思源宋体"/>
      <w:b/>
      <w:bCs/>
      <w:color w:val="765B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 w:eastAsia="思源宋体"/>
      <w:b/>
      <w:bCs/>
      <w:color w:val="5261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思源宋体"/>
      <w:b/>
      <w:color w:val="352A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40" w:after="100"/>
    </w:pPr>
    <w:rPr>
      <w:rFonts w:asciiTheme="majorHAnsi" w:eastAsiaTheme="majorEastAsia" w:hAnsiTheme="majorHAnsi" w:cstheme="majorBidi" w:ascii="Aptos Display" w:hAnsi="Aptos Display" w:eastAsia="思源宋体"/>
      <w:b/>
      <w:i/>
      <w:iCs/>
      <w:color w:val="A33F2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