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352A23"/>
            <w:tcBorders>
              <w:top w:val="single" w:sz="0" w:color="352A23"/>
              <w:left w:val="single" w:sz="0" w:color="352A23"/>
              <w:bottom w:val="single" w:sz="0" w:color="352A23"/>
              <w:right w:val="single" w:sz="0" w:color="352A23"/>
              <w:insideH w:val="single" w:sz="0" w:color="352A23"/>
              <w:insideV w:val="single" w:sz="0" w:color="352A23"/>
            </w:tcBorders>
          </w:tcPr>
          <w:p>
            <w:pPr>
              <w:spacing w:before="160" w:after="160"/>
            </w:pPr>
            <w:r>
              <w:rPr>
                <w:rFonts w:ascii="Aptos" w:hAnsi="Aptos" w:eastAsia="等线"/>
                <w:b/>
                <w:color w:val="B58A45"/>
                <w:sz w:val="18"/>
              </w:rPr>
              <w:t>BLACK MYTH: WUKONG · CULTURAL QUEST 01</w:t>
            </w:r>
          </w:p>
        </w:tc>
      </w:tr>
    </w:tbl>
    <w:p>
      <w:pPr>
        <w:pStyle w:val="Title"/>
        <w:spacing w:before="360"/>
      </w:pPr>
      <w:r>
        <w:t>一件衣服，两种欲望</w:t>
      </w:r>
    </w:p>
    <w:p>
      <w:pPr>
        <w:pStyle w:val="Subtitle"/>
      </w:pPr>
      <w:r>
        <w:t>GAI角色对话与三分钟现场演示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597"/>
      </w:tblGrid>
      <w:tr>
        <w:tc>
          <w:tcPr>
            <w:tcW w:type="dxa" w:w="4958"/>
            <w:shd w:fill="A33F2C"/>
            <w:tcBorders>
              <w:top w:val="single" w:sz="0" w:color="A33F2C"/>
              <w:left w:val="single" w:sz="0" w:color="A33F2C"/>
              <w:bottom w:val="single" w:sz="0" w:color="A33F2C"/>
              <w:right w:val="single" w:sz="0" w:color="A33F2C"/>
              <w:insideH w:val="single" w:sz="0" w:color="A33F2C"/>
              <w:insideV w:val="single" w:sz="0" w:color="A33F2C"/>
            </w:tcBorders>
          </w:tcPr>
          <w:p>
            <w:pPr>
              <w:spacing w:after="0"/>
            </w:pPr>
          </w:p>
        </w:tc>
        <w:tc>
          <w:tcPr>
            <w:tcW w:type="dxa" w:w="4958"/>
            <w:shd w:fill="B58A45"/>
            <w:tcBorders>
              <w:top w:val="single" w:sz="0" w:color="B58A45"/>
              <w:left w:val="single" w:sz="0" w:color="B58A45"/>
              <w:bottom w:val="single" w:sz="0" w:color="B58A45"/>
              <w:right w:val="single" w:sz="0" w:color="B58A45"/>
              <w:insideH w:val="single" w:sz="0" w:color="B58A45"/>
              <w:insideV w:val="single" w:sz="0" w:color="B58A45"/>
            </w:tcBorders>
          </w:tcPr>
          <w:p>
            <w:pPr>
              <w:spacing w:after="0"/>
            </w:pPr>
          </w:p>
        </w:tc>
      </w:tr>
    </w:tbl>
    <w:p>
      <w:pPr>
        <w:spacing w:before="240" w:after="260"/>
      </w:pPr>
      <w:r>
        <w:rPr>
          <w:rFonts w:ascii="Aptos" w:hAnsi="Aptos" w:eastAsia="思源宋体"/>
          <w:b/>
          <w:color w:val="352A23"/>
          <w:sz w:val="23"/>
        </w:rPr>
        <w:t>学生进入火后的观音禅院，以“记事人”的身份追查袈裟在金池长老与黑熊精眼中的意义。</w:t>
      </w:r>
    </w:p>
    <w:p>
      <w:pPr>
        <w:pStyle w:val="Heading1"/>
      </w:pPr>
      <w:r>
        <w:t>一、核心矛盾</w:t>
      </w:r>
    </w:p>
    <w:p>
      <w:r>
        <w:t>袈裟承担修行身份与少欲提醒；《西游记》中的锦襕袈裟又以珍贵材料和文学想象吸引观看、收藏与争夺。金池长老收藏袈裟，仍然想占有唐僧的锦襕袈裟；黑熊精趁火取走袈裟，又把它视为值得展示的宝物。学生围绕同一件衣服追问：价值从哪里来，喜欢怎样转成占有，占有怎样推动伤害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E9D9BE"/>
            <w:tcBorders>
              <w:top w:val="single" w:sz="5" w:color="B58A45"/>
              <w:left w:val="single" w:sz="5" w:color="B58A45"/>
              <w:bottom w:val="single" w:sz="5" w:color="B58A45"/>
              <w:right w:val="single" w:sz="5" w:color="B58A45"/>
              <w:insideH w:val="single" w:sz="5" w:color="B58A45"/>
              <w:insideV w:val="single" w:sz="5" w:color="B58A45"/>
            </w:tcBorders>
          </w:tcPr>
          <w:p>
            <w:r>
              <w:rPr>
                <w:rFonts w:ascii="Aptos" w:hAnsi="Aptos" w:eastAsia="等线"/>
                <w:b/>
                <w:color w:val="A33F2C"/>
                <w:sz w:val="21"/>
              </w:rPr>
              <w:t xml:space="preserve">演示主问题　</w:t>
            </w:r>
            <w:r>
              <w:rPr>
                <w:rFonts w:ascii="Aptos" w:hAnsi="Aptos" w:eastAsia="等线"/>
                <w:color w:val="352A23"/>
                <w:sz w:val="21"/>
              </w:rPr>
              <w:t>一件提醒人放下欲望的衣服，为什么会成为欲望的中心？</w:t>
            </w:r>
          </w:p>
        </w:tc>
      </w:tr>
    </w:tbl>
    <w:p>
      <w:pPr>
        <w:spacing w:after="0"/>
      </w:pPr>
    </w:p>
    <w:p>
      <w:pPr>
        <w:pStyle w:val="Heading1"/>
      </w:pPr>
      <w:r>
        <w:t>二、学习者与语言表现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58"/>
        <w:gridCol w:w="4958"/>
      </w:tblGrid>
      <w:tr>
        <w:trPr>
          <w:tblHeader w:val="true"/>
        </w:trPr>
        <w:tc>
          <w:tcPr>
            <w:tcW w:type="dxa" w:w="1757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项目</w:t>
            </w:r>
          </w:p>
        </w:tc>
        <w:tc>
          <w:tcPr>
            <w:tcW w:type="dxa" w:w="7654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要求</w:t>
            </w:r>
          </w:p>
        </w:tc>
      </w:tr>
      <w:tr>
        <w:tc>
          <w:tcPr>
            <w:tcW w:type="dxa" w:w="1757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对象</w:t>
            </w:r>
          </w:p>
        </w:tc>
        <w:tc>
          <w:tcPr>
            <w:tcW w:type="dxa" w:w="7654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美国大学 Intermediate High–Advanced Low 中文学习者</w:t>
            </w:r>
          </w:p>
        </w:tc>
      </w:tr>
      <w:tr>
        <w:tc>
          <w:tcPr>
            <w:tcW w:type="dxa" w:w="1757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词汇</w:t>
            </w:r>
          </w:p>
        </w:tc>
        <w:tc>
          <w:tcPr>
            <w:tcW w:type="dxa" w:w="7654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袈裟、衣服、珍贵、收藏、占有、放下、欲望、价值、身份、后果</w:t>
            </w:r>
          </w:p>
        </w:tc>
      </w:tr>
      <w:tr>
        <w:tc>
          <w:tcPr>
            <w:tcW w:type="dxa" w:w="1757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句法</w:t>
            </w:r>
          </w:p>
        </w:tc>
        <w:tc>
          <w:tcPr>
            <w:tcW w:type="dxa" w:w="7654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本来……后来……；因为……所以……；它们都……可是……；这个例子能说明……</w:t>
            </w:r>
          </w:p>
        </w:tc>
      </w:tr>
      <w:tr>
        <w:tc>
          <w:tcPr>
            <w:tcW w:type="dxa" w:w="1757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口语</w:t>
            </w:r>
          </w:p>
        </w:tc>
        <w:tc>
          <w:tcPr>
            <w:tcW w:type="dxa" w:w="7654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提问、追问、回应角色、比较物件、完成45–60秒文化解释</w:t>
            </w:r>
          </w:p>
        </w:tc>
      </w:tr>
      <w:tr>
        <w:tc>
          <w:tcPr>
            <w:tcW w:type="dxa" w:w="1757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思维</w:t>
            </w:r>
          </w:p>
        </w:tc>
        <w:tc>
          <w:tcPr>
            <w:tcW w:type="dxa" w:w="7654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从物的外观进入人物行动，再形成有关价值与欲望的判断</w:t>
            </w:r>
          </w:p>
        </w:tc>
      </w:tr>
    </w:tbl>
    <w:p>
      <w:pPr>
        <w:spacing w:after="0"/>
      </w:pPr>
    </w:p>
    <w:p>
      <w:pPr>
        <w:pStyle w:val="Heading1"/>
      </w:pPr>
      <w:r>
        <w:t>三、三分钟演示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</w:trPr>
        <w:tc>
          <w:tcPr>
            <w:tcW w:type="dxa" w:w="1304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时间</w:t>
            </w:r>
          </w:p>
        </w:tc>
        <w:tc>
          <w:tcPr>
            <w:tcW w:type="dxa" w:w="1417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体验</w:t>
            </w:r>
          </w:p>
        </w:tc>
        <w:tc>
          <w:tcPr>
            <w:tcW w:type="dxa" w:w="3458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画面与声音</w:t>
            </w:r>
          </w:p>
        </w:tc>
        <w:tc>
          <w:tcPr>
            <w:tcW w:type="dxa" w:w="3231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学习者行动</w:t>
            </w:r>
          </w:p>
        </w:tc>
      </w:tr>
      <w:tr>
        <w:tc>
          <w:tcPr>
            <w:tcW w:type="dxa" w:w="1304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0:00–0:25</w:t>
            </w:r>
          </w:p>
        </w:tc>
        <w:tc>
          <w:tcPr>
            <w:tcW w:type="dxa" w:w="1417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Enter</w:t>
            </w:r>
          </w:p>
        </w:tc>
        <w:tc>
          <w:tcPr>
            <w:tcW w:type="dxa" w:w="345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焦木案台上的袈裟；低风、远钟、余火</w:t>
            </w:r>
          </w:p>
        </w:tc>
        <w:tc>
          <w:tcPr>
            <w:tcW w:type="dxa" w:w="323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接受记事任务，选择是否开启环境声与摄像头</w:t>
            </w:r>
          </w:p>
        </w:tc>
      </w:tr>
      <w:tr>
        <w:tc>
          <w:tcPr>
            <w:tcW w:type="dxa" w:w="1304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0:25–0:55</w:t>
            </w:r>
          </w:p>
        </w:tc>
        <w:tc>
          <w:tcPr>
            <w:tcW w:type="dxa" w:w="1417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Discover</w:t>
            </w:r>
          </w:p>
        </w:tc>
        <w:tc>
          <w:tcPr>
            <w:tcW w:type="dxa" w:w="3458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袈裟外观、收藏记录、人物行动三条短证据</w:t>
            </w:r>
          </w:p>
        </w:tc>
        <w:tc>
          <w:tcPr>
            <w:tcW w:type="dxa" w:w="3231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拾取一条证据，说出一个发现或疑问</w:t>
            </w:r>
          </w:p>
        </w:tc>
      </w:tr>
      <w:tr>
        <w:tc>
          <w:tcPr>
            <w:tcW w:type="dxa" w:w="1304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0:55–1:35</w:t>
            </w:r>
          </w:p>
        </w:tc>
        <w:tc>
          <w:tcPr>
            <w:tcW w:type="dxa" w:w="1417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Interact</w:t>
            </w:r>
          </w:p>
        </w:tc>
        <w:tc>
          <w:tcPr>
            <w:tcW w:type="dxa" w:w="345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金池长老苍老男声；环境声自动压低</w:t>
            </w:r>
          </w:p>
        </w:tc>
        <w:tc>
          <w:tcPr>
            <w:tcW w:type="dxa" w:w="323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连续语音对话；追问他为何仍想要这件衣服</w:t>
            </w:r>
          </w:p>
        </w:tc>
      </w:tr>
      <w:tr>
        <w:tc>
          <w:tcPr>
            <w:tcW w:type="dxa" w:w="1304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1:35–2:05</w:t>
            </w:r>
          </w:p>
        </w:tc>
        <w:tc>
          <w:tcPr>
            <w:tcW w:type="dxa" w:w="1417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Compare</w:t>
            </w:r>
          </w:p>
        </w:tc>
        <w:tc>
          <w:tcPr>
            <w:tcW w:type="dxa" w:w="3458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黑熊精低沉男声；火光增强</w:t>
            </w:r>
          </w:p>
        </w:tc>
        <w:tc>
          <w:tcPr>
            <w:tcW w:type="dxa" w:w="3231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用证据回应“宝物就该归最强的人”</w:t>
            </w:r>
          </w:p>
        </w:tc>
      </w:tr>
      <w:tr>
        <w:tc>
          <w:tcPr>
            <w:tcW w:type="dxa" w:w="1304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2:05–2:45</w:t>
            </w:r>
          </w:p>
        </w:tc>
        <w:tc>
          <w:tcPr>
            <w:tcW w:type="dxa" w:w="1417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Explain</w:t>
            </w:r>
          </w:p>
        </w:tc>
        <w:tc>
          <w:tcPr>
            <w:tcW w:type="dxa" w:w="345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镜头回到袈裟；背景完全静音</w:t>
            </w:r>
          </w:p>
        </w:tc>
        <w:tc>
          <w:tcPr>
            <w:tcW w:type="dxa" w:w="323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完成45–60秒解释</w:t>
            </w:r>
          </w:p>
        </w:tc>
      </w:tr>
      <w:tr>
        <w:tc>
          <w:tcPr>
            <w:tcW w:type="dxa" w:w="1304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2:45–3:00</w:t>
            </w:r>
          </w:p>
        </w:tc>
        <w:tc>
          <w:tcPr>
            <w:tcW w:type="dxa" w:w="1417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Reflect</w:t>
            </w:r>
          </w:p>
        </w:tc>
        <w:tc>
          <w:tcPr>
            <w:tcW w:type="dxa" w:w="3458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系统显示一条口语建议</w:t>
            </w:r>
          </w:p>
        </w:tc>
        <w:tc>
          <w:tcPr>
            <w:tcW w:type="dxa" w:w="3231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补说15–20秒；进入持续开放的资料架</w:t>
            </w:r>
          </w:p>
        </w:tc>
      </w:tr>
    </w:tbl>
    <w:p>
      <w:pPr>
        <w:spacing w:after="0"/>
      </w:pPr>
    </w:p>
    <w:p>
      <w:pPr>
        <w:pStyle w:val="Heading1"/>
      </w:pPr>
      <w:r>
        <w:t>四、角色对话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</w:trPr>
        <w:tc>
          <w:tcPr>
            <w:tcW w:type="dxa" w:w="1701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角色</w:t>
            </w:r>
          </w:p>
        </w:tc>
        <w:tc>
          <w:tcPr>
            <w:tcW w:type="dxa" w:w="3061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开场</w:t>
            </w:r>
          </w:p>
        </w:tc>
        <w:tc>
          <w:tcPr>
            <w:tcW w:type="dxa" w:w="3118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追问方向</w:t>
            </w:r>
          </w:p>
        </w:tc>
        <w:tc>
          <w:tcPr>
            <w:tcW w:type="dxa" w:w="1984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语音</w:t>
            </w:r>
          </w:p>
        </w:tc>
      </w:tr>
      <w:tr>
        <w:tc>
          <w:tcPr>
            <w:tcW w:type="dxa" w:w="170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金池长老</w:t>
            </w:r>
          </w:p>
        </w:tc>
        <w:tc>
          <w:tcPr>
            <w:tcW w:type="dxa" w:w="306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我守了二百多年，也见过许多袈裟。你说，我为什么偏偏忘不了这一件？</w:t>
            </w:r>
          </w:p>
        </w:tc>
        <w:tc>
          <w:tcPr>
            <w:tcW w:type="dxa" w:w="3118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收藏、身份、他人眼光、喜欢与占有</w:t>
            </w:r>
          </w:p>
        </w:tc>
        <w:tc>
          <w:tcPr>
            <w:tcW w:type="dxa" w:w="1984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苍老、缓慢、短句；每轮一句回应和一个问题</w:t>
            </w:r>
          </w:p>
        </w:tc>
      </w:tr>
      <w:tr>
        <w:tc>
          <w:tcPr>
            <w:tcW w:type="dxa" w:w="1701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黑熊精</w:t>
            </w:r>
          </w:p>
        </w:tc>
        <w:tc>
          <w:tcPr>
            <w:tcW w:type="dxa" w:w="3061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既然人人都说它是宝物，强者拿走它，有什么错？</w:t>
            </w:r>
          </w:p>
        </w:tc>
        <w:tc>
          <w:tcPr>
            <w:tcW w:type="dxa" w:w="3118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物的价值、行动后果、拥有资格、比较边界</w:t>
            </w:r>
          </w:p>
        </w:tc>
        <w:tc>
          <w:tcPr>
            <w:tcW w:type="dxa" w:w="1984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低沉、直接、略带不服；愿意根据证据改口</w:t>
            </w:r>
          </w:p>
        </w:tc>
      </w:tr>
    </w:tbl>
    <w:p>
      <w:pPr>
        <w:spacing w:after="0"/>
      </w:pPr>
    </w:p>
    <w:p>
      <w:r>
        <w:t>AI先回应学生刚说的话，再推进一个问题。学生可反复追问；角色每句回应均可重听。页面保留完整的语音轮次、转写、角色回应和时间顺序。</w:t>
      </w:r>
    </w:p>
    <w:p>
      <w:pPr>
        <w:pStyle w:val="Heading1"/>
      </w:pPr>
      <w:r>
        <w:t>五、随时提示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58"/>
        <w:gridCol w:w="4958"/>
      </w:tblGrid>
      <w:tr>
        <w:trPr>
          <w:tblHeader w:val="true"/>
        </w:trPr>
        <w:tc>
          <w:tcPr>
            <w:tcW w:type="dxa" w:w="1701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层级</w:t>
            </w:r>
          </w:p>
        </w:tc>
        <w:tc>
          <w:tcPr>
            <w:tcW w:type="dxa" w:w="7710"/>
            <w:shd w:fill="765B32"/>
            <w:tcBorders>
              <w:top w:val="single" w:sz="5" w:color="765B32"/>
              <w:left w:val="single" w:sz="5" w:color="765B32"/>
              <w:bottom w:val="single" w:sz="5" w:color="765B32"/>
              <w:right w:val="single" w:sz="5" w:color="765B32"/>
              <w:insideH w:val="single" w:sz="5" w:color="765B32"/>
              <w:insideV w:val="single" w:sz="5" w:color="765B32"/>
            </w:tcBorders>
            <w:vAlign w:val="center"/>
          </w:tcPr>
          <w:p>
            <w:r>
              <w:rPr>
                <w:rFonts w:ascii="Aptos" w:hAnsi="Aptos" w:eastAsia="等线"/>
                <w:b/>
                <w:color w:val="FFF9ED"/>
                <w:sz w:val="18"/>
              </w:rPr>
              <w:t>提示</w:t>
            </w:r>
          </w:p>
        </w:tc>
      </w:tr>
      <w:tr>
        <w:tc>
          <w:tcPr>
            <w:tcW w:type="dxa" w:w="170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方向</w:t>
            </w:r>
          </w:p>
        </w:tc>
        <w:tc>
          <w:tcPr>
            <w:tcW w:type="dxa" w:w="7710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看看这件衣服原来的功能、后来获得的价值、想得到它的人和行动后果。</w:t>
            </w:r>
          </w:p>
        </w:tc>
      </w:tr>
      <w:tr>
        <w:tc>
          <w:tcPr>
            <w:tcW w:type="dxa" w:w="1701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追问</w:t>
            </w:r>
          </w:p>
        </w:tc>
        <w:tc>
          <w:tcPr>
            <w:tcW w:type="dxa" w:w="7710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你已经有很多件，为什么还想要这一件？／你喜欢的是衣服，还是别人看你的方式？</w:t>
            </w:r>
          </w:p>
        </w:tc>
      </w:tr>
      <w:tr>
        <w:tc>
          <w:tcPr>
            <w:tcW w:type="dxa" w:w="1701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比较</w:t>
            </w:r>
          </w:p>
        </w:tc>
        <w:tc>
          <w:tcPr>
            <w:tcW w:type="dxa" w:w="7710"/>
            <w:shd w:fill="F7F0E3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牛仔裤／限量运动鞋／棒球帽／你文化中的一件物品。</w:t>
            </w:r>
          </w:p>
        </w:tc>
      </w:tr>
      <w:tr>
        <w:tc>
          <w:tcPr>
            <w:tcW w:type="dxa" w:w="1701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组织</w:t>
            </w:r>
          </w:p>
        </w:tc>
        <w:tc>
          <w:tcPr>
            <w:tcW w:type="dxa" w:w="7710"/>
            <w:shd w:fill="EFE2CE"/>
            <w:tcBorders>
              <w:top w:val="single" w:sz="5" w:color="C7AD85"/>
              <w:left w:val="single" w:sz="5" w:color="C7AD85"/>
              <w:bottom w:val="single" w:sz="5" w:color="C7AD85"/>
              <w:right w:val="single" w:sz="5" w:color="C7AD85"/>
              <w:insideH w:val="single" w:sz="5" w:color="C7AD85"/>
              <w:insideV w:val="single" w:sz="5" w:color="C7AD85"/>
            </w:tcBorders>
            <w:vAlign w:val="top"/>
          </w:tcPr>
          <w:p>
            <w:pPr>
              <w:spacing w:after="40" w:line="276" w:lineRule="auto"/>
            </w:pPr>
            <w:r>
              <w:rPr>
                <w:rFonts w:ascii="Aptos" w:hAnsi="Aptos" w:eastAsia="等线"/>
                <w:color w:val="352A23"/>
                <w:sz w:val="18"/>
              </w:rPr>
              <w:t>本来……后来……我认为……／它们都……可是……</w:t>
            </w:r>
          </w:p>
        </w:tc>
      </w:tr>
    </w:tbl>
    <w:p>
      <w:pPr>
        <w:spacing w:after="0"/>
      </w:pPr>
    </w:p>
    <w:p>
      <w:pPr>
        <w:pStyle w:val="Heading1"/>
      </w:pPr>
      <w:r>
        <w:t>六、预期口语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16"/>
      </w:tblGrid>
      <w:tr>
        <w:tc>
          <w:tcPr>
            <w:tcW w:type="dxa" w:w="9916"/>
            <w:shd w:fill="E6D7BF"/>
            <w:tcBorders>
              <w:top w:val="single" w:sz="5" w:color="B58A45"/>
              <w:left w:val="single" w:sz="5" w:color="B58A45"/>
              <w:bottom w:val="single" w:sz="5" w:color="B58A45"/>
              <w:right w:val="single" w:sz="5" w:color="B58A45"/>
              <w:insideH w:val="single" w:sz="5" w:color="B58A45"/>
              <w:insideV w:val="single" w:sz="5" w:color="B58A45"/>
            </w:tcBorders>
          </w:tcPr>
          <w:p>
            <w:r>
              <w:rPr>
                <w:rFonts w:ascii="Aptos" w:hAnsi="Aptos" w:eastAsia="等线"/>
                <w:b/>
                <w:color w:val="A33F2C"/>
                <w:sz w:val="21"/>
              </w:rPr>
              <w:t xml:space="preserve">教师参照　</w:t>
            </w:r>
            <w:r>
              <w:rPr>
                <w:rFonts w:ascii="Aptos" w:hAnsi="Aptos" w:eastAsia="等线"/>
                <w:color w:val="352A23"/>
                <w:sz w:val="21"/>
              </w:rPr>
              <w:t>袈裟本来可以提醒人少一点欲望。锦襕袈裟看起来很珍贵，金池长老已经收藏了很多件，还是想得到它。牛仔裤也会从工作服变成身份和价格的象征；它的原来功能和袈裟不同。衣服会有意义，人也会把欲望放进衣服里。</w:t>
            </w:r>
          </w:p>
        </w:tc>
      </w:tr>
    </w:tbl>
    <w:p>
      <w:pPr>
        <w:spacing w:after="0"/>
      </w:pPr>
    </w:p>
    <w:p>
      <w:r>
        <w:t>这段话用于判断任务难度。学生保留自己的用词、证据顺序和文化例子。</w:t>
      </w:r>
    </w:p>
    <w:p>
      <w:pPr>
        <w:pStyle w:val="Heading1"/>
      </w:pPr>
      <w:r>
        <w:t>七、研究记录</w:t>
      </w:r>
    </w:p>
    <w:p>
      <w:pPr>
        <w:pStyle w:val="ListBullet"/>
        <w:ind w:left="312" w:hanging="170"/>
      </w:pPr>
      <w:r>
        <w:t>前测录音45–60秒，最长3分钟；学生可回听、重录并保留最终版本。</w:t>
      </w:r>
    </w:p>
    <w:p>
      <w:pPr>
        <w:pStyle w:val="ListBullet"/>
        <w:ind w:left="312" w:hanging="170"/>
      </w:pPr>
      <w:r>
        <w:t>对话过程保存学生原始语音、自动转写、AI角色回复、提示使用和轮次时间。</w:t>
      </w:r>
    </w:p>
    <w:p>
      <w:pPr>
        <w:pStyle w:val="ListBullet"/>
        <w:ind w:left="312" w:hanging="170"/>
      </w:pPr>
      <w:r>
        <w:t>Explain保存45–60秒语音或可选视频；学生可回看、重说。</w:t>
      </w:r>
    </w:p>
    <w:p>
      <w:pPr>
        <w:pStyle w:val="ListBullet"/>
        <w:ind w:left="312" w:hanging="170"/>
      </w:pPr>
      <w:r>
        <w:t>前后文化解释比较关注证据、因果、跨文化比较、限定表达和口语连贯性。</w:t>
      </w:r>
    </w:p>
    <w:p>
      <w:pPr>
        <w:pStyle w:val="ListBullet"/>
        <w:ind w:left="312" w:hanging="170"/>
      </w:pPr>
      <w:r>
        <w:t>任务完成后记录扩展阅读选择与新增60–90秒口语说明。</w:t>
      </w:r>
    </w:p>
    <w:sectPr w:rsidR="00FC693F" w:rsidRPr="0006063C" w:rsidSect="00034616">
      <w:footerReference w:type="default" r:id="rId9"/>
      <w:pgSz w:w="12240" w:h="15840"/>
      <w:pgMar w:top="1020" w:right="1162" w:bottom="964" w:left="116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等线"/>
        <w:color w:val="73685E"/>
        <w:sz w:val="16"/>
      </w:rPr>
      <w:t>BYU MANDARIN · 袈裟文化任务 · 对话与演示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1" w:lineRule="auto" w:after="100"/>
    </w:pPr>
    <w:rPr>
      <w:rFonts w:ascii="Aptos" w:hAnsi="Aptos" w:eastAsia="等线"/>
      <w:color w:val="352A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Aptos Display" w:hAnsi="Aptos Display" w:eastAsia="思源宋体"/>
      <w:b/>
      <w:bCs/>
      <w:color w:val="A33F2C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 w:eastAsia="思源宋体"/>
      <w:b/>
      <w:bCs/>
      <w:color w:val="765B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 w:eastAsia="思源宋体"/>
      <w:b/>
      <w:bCs/>
      <w:color w:val="52615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思源宋体"/>
      <w:b/>
      <w:color w:val="352A2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40" w:after="100"/>
    </w:pPr>
    <w:rPr>
      <w:rFonts w:asciiTheme="majorHAnsi" w:eastAsiaTheme="majorEastAsia" w:hAnsiTheme="majorHAnsi" w:cstheme="majorBidi" w:ascii="Aptos Display" w:hAnsi="Aptos Display" w:eastAsia="思源宋体"/>
      <w:b/>
      <w:i/>
      <w:iCs/>
      <w:color w:val="A33F2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