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3B302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B78B3E"/>
                <w:sz w:val="19"/>
              </w:rPr>
              <w:t>EXTENSION READING · TEACHER</w:t>
            </w:r>
          </w:p>
        </w:tc>
      </w:tr>
    </w:tbl>
    <w:p>
      <w:pPr>
        <w:spacing w:before="160" w:after="20" w:line="240" w:lineRule="auto"/>
      </w:pPr>
      <w:r>
        <w:rPr>
          <w:rFonts w:ascii="Aptos" w:hAnsi="Aptos" w:eastAsia="Noto Sans CJK SC"/>
          <w:b/>
          <w:color w:val="202020"/>
          <w:sz w:val="46"/>
        </w:rPr>
        <w:t>小西天主题扩展阅读材料包</w:t>
      </w:r>
    </w:p>
    <w:p>
      <w:pPr>
        <w:spacing w:before="0" w:after="100" w:line="240" w:lineRule="auto"/>
      </w:pPr>
      <w:r>
        <w:rPr>
          <w:rFonts w:ascii="Aptos" w:hAnsi="Aptos" w:eastAsia="Noto Sans CJK SC"/>
          <w:b/>
          <w:i/>
          <w:color w:val="A53E2A"/>
          <w:sz w:val="22"/>
        </w:rPr>
        <w:t>任务完成后持续开放的证据路径与教师备课清单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944"/>
            <w:shd w:fill="A53E2A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>
              <w:t xml:space="preserve"> </w:t>
            </w:r>
          </w:p>
        </w:tc>
        <w:tc>
          <w:tcPr>
            <w:tcW w:type="dxa" w:w="1656"/>
            <w:shd w:fill="B78B3E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>
              <w:t xml:space="preserve"> </w:t>
            </w:r>
          </w:p>
        </w:tc>
        <w:tc>
          <w:tcPr>
            <w:tcW w:type="dxa" w:w="6048"/>
            <w:shd w:fill="B78B3E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>
              <w:t xml:space="preserve"> </w:t>
            </w:r>
          </w:p>
        </w:tc>
      </w:tr>
    </w:tbl>
    <w:p>
      <w:pPr>
        <w:spacing w:before="120" w:after="100" w:line="300" w:lineRule="auto"/>
      </w:pPr>
      <w:r>
        <w:rPr>
          <w:rFonts w:ascii="Aptos" w:hAnsi="Aptos" w:eastAsia="Noto Sans CJK SC"/>
          <w:b/>
          <w:color w:val="2E2E2E"/>
          <w:sz w:val="21"/>
        </w:rPr>
        <w:t>教师版｜事实核验、课堂改写、角色边界、跨文化比较</w:t>
      </w:r>
    </w:p>
    <w:p>
      <w:r>
        <w:rPr>
          <w:rFonts w:ascii="Aptos" w:hAnsi="Aptos" w:eastAsia="Noto Sans CJK SC"/>
          <w:b/>
          <w:sz w:val="21"/>
        </w:rPr>
        <w:t>教师先建立“来源库”，再把材料压缩为学生可使用的事实卡。输入可以是中文、英文、图像或数据；学生最终必须把新证据转化为中文口语说明。</w:t>
      </w:r>
    </w:p>
    <w:p>
      <w:pPr>
        <w:pStyle w:val="Heading1"/>
      </w:pPr>
      <w:r>
        <w:t>一、阅读结构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44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7A6335"/>
          </w:tcPr>
          <w:p>
            <w:pPr>
              <w:spacing w:before="0" w:after="0" w:line="276" w:lineRule="auto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路径</w:t>
            </w:r>
          </w:p>
        </w:tc>
        <w:tc>
          <w:tcPr>
            <w:tcW w:type="dxa" w:w="324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7A6335"/>
          </w:tcPr>
          <w:p>
            <w:pPr>
              <w:spacing w:before="0" w:after="0" w:line="276" w:lineRule="auto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核心材料</w:t>
            </w:r>
          </w:p>
        </w:tc>
        <w:tc>
          <w:tcPr>
            <w:tcW w:type="dxa" w:w="360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7A6335"/>
          </w:tcPr>
          <w:p>
            <w:pPr>
              <w:spacing w:before="0" w:after="0" w:line="276" w:lineRule="auto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教师要解决的问题</w:t>
            </w:r>
          </w:p>
        </w:tc>
        <w:tc>
          <w:tcPr>
            <w:tcW w:type="dxa" w:w="144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7A6335"/>
          </w:tcPr>
          <w:p>
            <w:pPr>
              <w:spacing w:before="0" w:after="0" w:line="276" w:lineRule="auto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建议</w:t>
            </w:r>
          </w:p>
        </w:tc>
      </w:tr>
      <w:tr>
        <w:tc>
          <w:tcPr>
            <w:tcW w:type="dxa" w:w="144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 w:eastAsia="Noto Sans CJK SC"/>
                <w:b w:val="0"/>
                <w:color w:val="2E2E2E"/>
                <w:sz w:val="18"/>
              </w:rPr>
              <w:t>A 古寺</w:t>
            </w:r>
          </w:p>
        </w:tc>
        <w:tc>
          <w:tcPr>
            <w:tcW w:type="dxa" w:w="324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 w:eastAsia="Noto Sans CJK SC"/>
                <w:b w:val="0"/>
                <w:color w:val="2E2E2E"/>
                <w:sz w:val="18"/>
              </w:rPr>
              <w:t>国家典籍博物馆/文博资料</w:t>
            </w:r>
          </w:p>
        </w:tc>
        <w:tc>
          <w:tcPr>
            <w:tcW w:type="dxa" w:w="360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 w:eastAsia="Noto Sans CJK SC"/>
                <w:b w:val="0"/>
                <w:color w:val="2E2E2E"/>
                <w:sz w:val="18"/>
              </w:rPr>
              <w:t>小西天“值得保护”的事实依据是什么？</w:t>
            </w:r>
          </w:p>
        </w:tc>
        <w:tc>
          <w:tcPr>
            <w:tcW w:type="dxa" w:w="144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 w:eastAsia="Noto Sans CJK SC"/>
                <w:b w:val="0"/>
                <w:color w:val="2E2E2E"/>
                <w:sz w:val="18"/>
              </w:rPr>
              <w:t>核心；先读</w:t>
            </w:r>
          </w:p>
        </w:tc>
      </w:tr>
      <w:tr>
        <w:tc>
          <w:tcPr>
            <w:tcW w:type="dxa" w:w="144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AF6F0"/>
          </w:tcPr>
          <w:p>
            <w:pPr>
              <w:spacing w:before="0" w:after="0" w:line="276" w:lineRule="auto"/>
            </w:pPr>
            <w:r>
              <w:rPr>
                <w:rFonts w:ascii="Aptos" w:hAnsi="Aptos" w:eastAsia="Noto Sans CJK SC"/>
                <w:b w:val="0"/>
                <w:color w:val="2E2E2E"/>
                <w:sz w:val="18"/>
              </w:rPr>
              <w:t>B 游戏</w:t>
            </w:r>
          </w:p>
        </w:tc>
        <w:tc>
          <w:tcPr>
            <w:tcW w:type="dxa" w:w="324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AF6F0"/>
          </w:tcPr>
          <w:p>
            <w:pPr>
              <w:spacing w:before="0" w:after="0" w:line="276" w:lineRule="auto"/>
            </w:pPr>
            <w:r>
              <w:rPr>
                <w:rFonts w:ascii="Aptos" w:hAnsi="Aptos" w:eastAsia="Noto Sans CJK SC"/>
                <w:b w:val="0"/>
                <w:color w:val="2E2E2E"/>
                <w:sz w:val="18"/>
              </w:rPr>
              <w:t>人民日报关于《黑神话》与山西古建</w:t>
            </w:r>
          </w:p>
        </w:tc>
        <w:tc>
          <w:tcPr>
            <w:tcW w:type="dxa" w:w="360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AF6F0"/>
          </w:tcPr>
          <w:p>
            <w:pPr>
              <w:spacing w:before="0" w:after="0" w:line="276" w:lineRule="auto"/>
            </w:pPr>
            <w:r>
              <w:rPr>
                <w:rFonts w:ascii="Aptos" w:hAnsi="Aptos" w:eastAsia="Noto Sans CJK SC"/>
                <w:b w:val="0"/>
                <w:color w:val="2E2E2E"/>
                <w:sz w:val="18"/>
              </w:rPr>
              <w:t>数字媒介怎样把真实遗产重新带入公共视野？</w:t>
            </w:r>
          </w:p>
        </w:tc>
        <w:tc>
          <w:tcPr>
            <w:tcW w:type="dxa" w:w="144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AF6F0"/>
          </w:tcPr>
          <w:p>
            <w:pPr>
              <w:spacing w:before="0" w:after="0" w:line="276" w:lineRule="auto"/>
            </w:pPr>
            <w:r>
              <w:rPr>
                <w:rFonts w:ascii="Aptos" w:hAnsi="Aptos" w:eastAsia="Noto Sans CJK SC"/>
                <w:b w:val="0"/>
                <w:color w:val="2E2E2E"/>
                <w:sz w:val="18"/>
              </w:rPr>
              <w:t>核心；先读</w:t>
            </w:r>
          </w:p>
        </w:tc>
      </w:tr>
      <w:tr>
        <w:tc>
          <w:tcPr>
            <w:tcW w:type="dxa" w:w="144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 w:eastAsia="Noto Sans CJK SC"/>
                <w:b w:val="0"/>
                <w:color w:val="2E2E2E"/>
                <w:sz w:val="18"/>
              </w:rPr>
              <w:t>C 流量与回应</w:t>
            </w:r>
          </w:p>
        </w:tc>
        <w:tc>
          <w:tcPr>
            <w:tcW w:type="dxa" w:w="324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 w:eastAsia="Noto Sans CJK SC"/>
                <w:b w:val="0"/>
                <w:color w:val="2E2E2E"/>
                <w:sz w:val="18"/>
              </w:rPr>
              <w:t>社会工作部＋中国旅游新闻网＋2026山西官方资料</w:t>
            </w:r>
          </w:p>
        </w:tc>
        <w:tc>
          <w:tcPr>
            <w:tcW w:type="dxa" w:w="360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 w:eastAsia="Noto Sans CJK SC"/>
                <w:b w:val="0"/>
                <w:color w:val="2E2E2E"/>
                <w:sz w:val="18"/>
              </w:rPr>
              <w:t>游客激增后，当地怎样从应急服务走向长期保护？</w:t>
            </w:r>
          </w:p>
        </w:tc>
        <w:tc>
          <w:tcPr>
            <w:tcW w:type="dxa" w:w="144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 w:eastAsia="Noto Sans CJK SC"/>
                <w:b w:val="0"/>
                <w:color w:val="2E2E2E"/>
                <w:sz w:val="18"/>
              </w:rPr>
              <w:t>核心；先读</w:t>
            </w:r>
          </w:p>
        </w:tc>
      </w:tr>
      <w:tr>
        <w:tc>
          <w:tcPr>
            <w:tcW w:type="dxa" w:w="144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AF6F0"/>
          </w:tcPr>
          <w:p>
            <w:pPr>
              <w:spacing w:before="0" w:after="0" w:line="276" w:lineRule="auto"/>
            </w:pPr>
            <w:r>
              <w:rPr>
                <w:rFonts w:ascii="Aptos" w:hAnsi="Aptos" w:eastAsia="Noto Sans CJK SC"/>
                <w:b w:val="0"/>
                <w:color w:val="2E2E2E"/>
                <w:sz w:val="18"/>
              </w:rPr>
              <w:t>D 比较</w:t>
            </w:r>
          </w:p>
        </w:tc>
        <w:tc>
          <w:tcPr>
            <w:tcW w:type="dxa" w:w="324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AF6F0"/>
          </w:tcPr>
          <w:p>
            <w:pPr>
              <w:spacing w:before="0" w:after="0" w:line="276" w:lineRule="auto"/>
            </w:pPr>
            <w:r>
              <w:rPr>
                <w:rFonts w:ascii="Aptos" w:hAnsi="Aptos" w:eastAsia="Noto Sans CJK SC"/>
                <w:b w:val="0"/>
                <w:color w:val="2E2E2E"/>
                <w:sz w:val="18"/>
              </w:rPr>
              <w:t>美国NPS＋UNESCO游客管理资料</w:t>
            </w:r>
          </w:p>
        </w:tc>
        <w:tc>
          <w:tcPr>
            <w:tcW w:type="dxa" w:w="360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AF6F0"/>
          </w:tcPr>
          <w:p>
            <w:pPr>
              <w:spacing w:before="0" w:after="0" w:line="276" w:lineRule="auto"/>
            </w:pPr>
            <w:r>
              <w:rPr>
                <w:rFonts w:ascii="Aptos" w:hAnsi="Aptos" w:eastAsia="Noto Sans CJK SC"/>
                <w:b w:val="0"/>
                <w:color w:val="2E2E2E"/>
                <w:sz w:val="18"/>
              </w:rPr>
              <w:t>预约、分流、社区参与有哪些跨文化共同问题？</w:t>
            </w:r>
          </w:p>
        </w:tc>
        <w:tc>
          <w:tcPr>
            <w:tcW w:type="dxa" w:w="144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AF6F0"/>
          </w:tcPr>
          <w:p>
            <w:pPr>
              <w:spacing w:before="0" w:after="0" w:line="276" w:lineRule="auto"/>
            </w:pPr>
            <w:r>
              <w:rPr>
                <w:rFonts w:ascii="Aptos" w:hAnsi="Aptos" w:eastAsia="Noto Sans CJK SC"/>
                <w:b w:val="0"/>
                <w:color w:val="2E2E2E"/>
                <w:sz w:val="18"/>
              </w:rPr>
              <w:t>比较；按需</w:t>
            </w:r>
          </w:p>
        </w:tc>
      </w:tr>
    </w:tbl>
    <w:p>
      <w:pPr>
        <w:pStyle w:val="Heading1"/>
      </w:pPr>
      <w:r>
        <w:t>二、四条路径：教师导读与学生转化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115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7A6335"/>
          </w:tcPr>
          <w:p>
            <w:pPr>
              <w:spacing w:before="0" w:after="0" w:line="276" w:lineRule="auto"/>
            </w:pPr>
            <w:r>
              <w:rPr>
                <w:rFonts w:ascii="Aptos" w:hAnsi="Aptos" w:eastAsia="Noto Sans CJK SC"/>
                <w:b/>
                <w:color w:val="FFFFFF"/>
                <w:sz w:val="16"/>
              </w:rPr>
              <w:t>路径</w:t>
            </w:r>
          </w:p>
        </w:tc>
        <w:tc>
          <w:tcPr>
            <w:tcW w:type="dxa" w:w="324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7A6335"/>
          </w:tcPr>
          <w:p>
            <w:pPr>
              <w:spacing w:before="0" w:after="0" w:line="276" w:lineRule="auto"/>
            </w:pPr>
            <w:r>
              <w:rPr>
                <w:rFonts w:ascii="Aptos" w:hAnsi="Aptos" w:eastAsia="Noto Sans CJK SC"/>
                <w:b/>
                <w:color w:val="FFFFFF"/>
                <w:sz w:val="16"/>
              </w:rPr>
              <w:t>教师导读</w:t>
            </w:r>
          </w:p>
        </w:tc>
        <w:tc>
          <w:tcPr>
            <w:tcW w:type="dxa" w:w="360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7A6335"/>
          </w:tcPr>
          <w:p>
            <w:pPr>
              <w:spacing w:before="0" w:after="0" w:line="276" w:lineRule="auto"/>
            </w:pPr>
            <w:r>
              <w:rPr>
                <w:rFonts w:ascii="Aptos" w:hAnsi="Aptos" w:eastAsia="Noto Sans CJK SC"/>
                <w:b/>
                <w:color w:val="FFFFFF"/>
                <w:sz w:val="16"/>
              </w:rPr>
              <w:t>学生可见改写重点</w:t>
            </w:r>
          </w:p>
        </w:tc>
        <w:tc>
          <w:tcPr>
            <w:tcW w:type="dxa" w:w="223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7A6335"/>
          </w:tcPr>
          <w:p>
            <w:pPr>
              <w:spacing w:before="0" w:after="0" w:line="276" w:lineRule="auto"/>
            </w:pPr>
            <w:r>
              <w:rPr>
                <w:rFonts w:ascii="Aptos" w:hAnsi="Aptos" w:eastAsia="Noto Sans CJK SC"/>
                <w:b/>
                <w:color w:val="FFFFFF"/>
                <w:sz w:val="16"/>
              </w:rPr>
              <w:t>口语任务</w:t>
            </w:r>
          </w:p>
        </w:tc>
        <w:tc>
          <w:tcPr>
            <w:tcW w:type="dxa" w:w="194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7A6335"/>
          </w:tcPr>
          <w:p>
            <w:pPr>
              <w:spacing w:before="0" w:after="0" w:line="276" w:lineRule="auto"/>
            </w:pPr>
            <w:r>
              <w:rPr>
                <w:rFonts w:ascii="Aptos" w:hAnsi="Aptos" w:eastAsia="Noto Sans CJK SC"/>
                <w:b/>
                <w:color w:val="FFFFFF"/>
                <w:sz w:val="16"/>
              </w:rPr>
              <w:t>词语</w:t>
            </w:r>
          </w:p>
        </w:tc>
      </w:tr>
      <w:tr>
        <w:tc>
          <w:tcPr>
            <w:tcW w:type="dxa" w:w="115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 w:eastAsia="Noto Sans CJK SC"/>
                <w:b w:val="0"/>
                <w:color w:val="2E2E2E"/>
                <w:sz w:val="16"/>
              </w:rPr>
              <w:t>A 古寺</w:t>
            </w:r>
          </w:p>
        </w:tc>
        <w:tc>
          <w:tcPr>
            <w:tcW w:type="dxa" w:w="324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 w:eastAsia="Noto Sans CJK SC"/>
                <w:b w:val="0"/>
                <w:color w:val="2E2E2E"/>
                <w:sz w:val="16"/>
              </w:rPr>
              <w:t>从“景点”回到文化遗产本体：明代塑像、悬塑空间、文物价值。</w:t>
            </w:r>
          </w:p>
        </w:tc>
        <w:tc>
          <w:tcPr>
            <w:tcW w:type="dxa" w:w="360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 w:eastAsia="Noto Sans CJK SC"/>
                <w:b w:val="0"/>
                <w:color w:val="2E2E2E"/>
                <w:sz w:val="16"/>
              </w:rPr>
              <w:t>小西天原名千佛庵，保存1978尊明代塑像，以满堂悬塑闻名。</w:t>
            </w:r>
          </w:p>
        </w:tc>
        <w:tc>
          <w:tcPr>
            <w:tcW w:type="dxa" w:w="223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 w:eastAsia="Noto Sans CJK SC"/>
                <w:b w:val="0"/>
                <w:color w:val="2E2E2E"/>
                <w:sz w:val="16"/>
              </w:rPr>
              <w:t>说明“为什么即使没有游戏也值得去”。</w:t>
            </w:r>
          </w:p>
        </w:tc>
        <w:tc>
          <w:tcPr>
            <w:tcW w:type="dxa" w:w="194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 w:eastAsia="Noto Sans CJK SC"/>
                <w:b w:val="0"/>
                <w:color w:val="2E2E2E"/>
                <w:sz w:val="16"/>
              </w:rPr>
              <w:t>悬塑、保存、文物、空间、价值</w:t>
            </w:r>
          </w:p>
        </w:tc>
      </w:tr>
      <w:tr>
        <w:tc>
          <w:tcPr>
            <w:tcW w:type="dxa" w:w="115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AF6F0"/>
          </w:tcPr>
          <w:p>
            <w:pPr>
              <w:spacing w:before="0" w:after="0" w:line="276" w:lineRule="auto"/>
            </w:pPr>
            <w:r>
              <w:rPr>
                <w:rFonts w:ascii="Aptos" w:hAnsi="Aptos" w:eastAsia="Noto Sans CJK SC"/>
                <w:b w:val="0"/>
                <w:color w:val="2E2E2E"/>
                <w:sz w:val="16"/>
              </w:rPr>
              <w:t>B 游戏</w:t>
            </w:r>
          </w:p>
        </w:tc>
        <w:tc>
          <w:tcPr>
            <w:tcW w:type="dxa" w:w="324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AF6F0"/>
          </w:tcPr>
          <w:p>
            <w:pPr>
              <w:spacing w:before="0" w:after="0" w:line="276" w:lineRule="auto"/>
            </w:pPr>
            <w:r>
              <w:rPr>
                <w:rFonts w:ascii="Aptos" w:hAnsi="Aptos" w:eastAsia="Noto Sans CJK SC"/>
                <w:b w:val="0"/>
                <w:color w:val="2E2E2E"/>
                <w:sz w:val="16"/>
              </w:rPr>
              <w:t>关注真实古建怎样进入游戏，而不是介绍玩法。</w:t>
            </w:r>
          </w:p>
        </w:tc>
        <w:tc>
          <w:tcPr>
            <w:tcW w:type="dxa" w:w="360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AF6F0"/>
          </w:tcPr>
          <w:p>
            <w:pPr>
              <w:spacing w:before="0" w:after="0" w:line="276" w:lineRule="auto"/>
            </w:pPr>
            <w:r>
              <w:rPr>
                <w:rFonts w:ascii="Aptos" w:hAnsi="Aptos" w:eastAsia="Noto Sans CJK SC"/>
                <w:b w:val="0"/>
                <w:color w:val="2E2E2E"/>
                <w:sz w:val="16"/>
              </w:rPr>
              <w:t>国内36处取景地中27处来自山西；大量古建、雕塑来自实景复刻或建模。</w:t>
            </w:r>
          </w:p>
        </w:tc>
        <w:tc>
          <w:tcPr>
            <w:tcW w:type="dxa" w:w="223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AF6F0"/>
          </w:tcPr>
          <w:p>
            <w:pPr>
              <w:spacing w:before="0" w:after="0" w:line="276" w:lineRule="auto"/>
            </w:pPr>
            <w:r>
              <w:rPr>
                <w:rFonts w:ascii="Aptos" w:hAnsi="Aptos" w:eastAsia="Noto Sans CJK SC"/>
                <w:b w:val="0"/>
                <w:color w:val="2E2E2E"/>
                <w:sz w:val="16"/>
              </w:rPr>
              <w:t>用“原来—后来”解释传统文化怎样被重新看见。</w:t>
            </w:r>
          </w:p>
        </w:tc>
        <w:tc>
          <w:tcPr>
            <w:tcW w:type="dxa" w:w="194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AF6F0"/>
          </w:tcPr>
          <w:p>
            <w:pPr>
              <w:spacing w:before="0" w:after="0" w:line="276" w:lineRule="auto"/>
            </w:pPr>
            <w:r>
              <w:rPr>
                <w:rFonts w:ascii="Aptos" w:hAnsi="Aptos" w:eastAsia="Noto Sans CJK SC"/>
                <w:b w:val="0"/>
                <w:color w:val="2E2E2E"/>
                <w:sz w:val="16"/>
              </w:rPr>
              <w:t>取景、复刻、建模、传播、重新看见</w:t>
            </w:r>
          </w:p>
        </w:tc>
      </w:tr>
      <w:tr>
        <w:tc>
          <w:tcPr>
            <w:tcW w:type="dxa" w:w="115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 w:eastAsia="Noto Sans CJK SC"/>
                <w:b w:val="0"/>
                <w:color w:val="2E2E2E"/>
                <w:sz w:val="16"/>
              </w:rPr>
              <w:t>C 流量与回应</w:t>
            </w:r>
          </w:p>
        </w:tc>
        <w:tc>
          <w:tcPr>
            <w:tcW w:type="dxa" w:w="324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 w:eastAsia="Noto Sans CJK SC"/>
                <w:b w:val="0"/>
                <w:color w:val="2E2E2E"/>
                <w:sz w:val="16"/>
              </w:rPr>
              <w:t>把2024“突然爆红”与2026“持续治理”连成时间线。</w:t>
            </w:r>
          </w:p>
        </w:tc>
        <w:tc>
          <w:tcPr>
            <w:tcW w:type="dxa" w:w="360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 w:eastAsia="Noto Sans CJK SC"/>
                <w:b w:val="0"/>
                <w:color w:val="2E2E2E"/>
                <w:sz w:val="16"/>
              </w:rPr>
              <w:t>日均三四百→国庆1万+；志愿服务、预约限流、接驳；后续增加微环境监测。</w:t>
            </w:r>
          </w:p>
        </w:tc>
        <w:tc>
          <w:tcPr>
            <w:tcW w:type="dxa" w:w="223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 w:eastAsia="Noto Sans CJK SC"/>
                <w:b w:val="0"/>
                <w:color w:val="2E2E2E"/>
                <w:sz w:val="16"/>
              </w:rPr>
              <w:t>评价一个措施，并说明它帮助谁、可能影响谁。</w:t>
            </w:r>
          </w:p>
        </w:tc>
        <w:tc>
          <w:tcPr>
            <w:tcW w:type="dxa" w:w="194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 w:eastAsia="Noto Sans CJK SC"/>
                <w:b w:val="0"/>
                <w:color w:val="2E2E2E"/>
                <w:sz w:val="16"/>
              </w:rPr>
              <w:t>承载、预约、分流、志愿者、监测</w:t>
            </w:r>
          </w:p>
        </w:tc>
      </w:tr>
      <w:tr>
        <w:tc>
          <w:tcPr>
            <w:tcW w:type="dxa" w:w="115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AF6F0"/>
          </w:tcPr>
          <w:p>
            <w:pPr>
              <w:spacing w:before="0" w:after="0" w:line="276" w:lineRule="auto"/>
            </w:pPr>
            <w:r>
              <w:rPr>
                <w:rFonts w:ascii="Aptos" w:hAnsi="Aptos" w:eastAsia="Noto Sans CJK SC"/>
                <w:b w:val="0"/>
                <w:color w:val="2E2E2E"/>
                <w:sz w:val="16"/>
              </w:rPr>
              <w:t>D 比较</w:t>
            </w:r>
          </w:p>
        </w:tc>
        <w:tc>
          <w:tcPr>
            <w:tcW w:type="dxa" w:w="324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AF6F0"/>
          </w:tcPr>
          <w:p>
            <w:pPr>
              <w:spacing w:before="0" w:after="0" w:line="276" w:lineRule="auto"/>
            </w:pPr>
            <w:r>
              <w:rPr>
                <w:rFonts w:ascii="Aptos" w:hAnsi="Aptos" w:eastAsia="Noto Sans CJK SC"/>
                <w:b w:val="0"/>
                <w:color w:val="2E2E2E"/>
                <w:sz w:val="16"/>
              </w:rPr>
              <w:t>NPS/UNESCO不作为“美国答案”，只作为另一种游客管理证据。</w:t>
            </w:r>
          </w:p>
        </w:tc>
        <w:tc>
          <w:tcPr>
            <w:tcW w:type="dxa" w:w="360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AF6F0"/>
          </w:tcPr>
          <w:p>
            <w:pPr>
              <w:spacing w:before="0" w:after="0" w:line="276" w:lineRule="auto"/>
            </w:pPr>
            <w:r>
              <w:rPr>
                <w:rFonts w:ascii="Aptos" w:hAnsi="Aptos" w:eastAsia="Noto Sans CJK SC"/>
                <w:b w:val="0"/>
                <w:color w:val="2E2E2E"/>
                <w:sz w:val="16"/>
              </w:rPr>
              <w:t>热门地点也会用预约、交通管理和游客行为引导，在进入机会、体验与资源保护间权衡。</w:t>
            </w:r>
          </w:p>
        </w:tc>
        <w:tc>
          <w:tcPr>
            <w:tcW w:type="dxa" w:w="223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AF6F0"/>
          </w:tcPr>
          <w:p>
            <w:pPr>
              <w:spacing w:before="0" w:after="0" w:line="276" w:lineRule="auto"/>
            </w:pPr>
            <w:r>
              <w:rPr>
                <w:rFonts w:ascii="Aptos" w:hAnsi="Aptos" w:eastAsia="Noto Sans CJK SC"/>
                <w:b w:val="0"/>
                <w:color w:val="2E2E2E"/>
                <w:sz w:val="16"/>
              </w:rPr>
              <w:t>说相似、差异，并指出类比边界。</w:t>
            </w:r>
          </w:p>
        </w:tc>
        <w:tc>
          <w:tcPr>
            <w:tcW w:type="dxa" w:w="194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AF6F0"/>
          </w:tcPr>
          <w:p>
            <w:pPr>
              <w:spacing w:before="0" w:after="0" w:line="276" w:lineRule="auto"/>
            </w:pPr>
            <w:r>
              <w:rPr>
                <w:rFonts w:ascii="Aptos" w:hAnsi="Aptos" w:eastAsia="Noto Sans CJK SC"/>
                <w:b w:val="0"/>
                <w:color w:val="2E2E2E"/>
                <w:sz w:val="16"/>
              </w:rPr>
              <w:t>预约、拥挤、资源、体验、边界</w:t>
            </w:r>
          </w:p>
        </w:tc>
      </w:tr>
    </w:tbl>
    <w:p>
      <w:pPr>
        <w:pStyle w:val="Heading1"/>
      </w:pPr>
      <w:r>
        <w:t>三、教师核心阅读清单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BF8F2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r>
              <w:rPr>
                <w:rFonts w:ascii="Aptos" w:hAnsi="Aptos" w:eastAsia="Noto Sans CJK SC"/>
                <w:b/>
                <w:color w:val="A53E2A"/>
                <w:sz w:val="20"/>
              </w:rPr>
              <w:t>“既往未来——小西天文物撷珍与悬塑艺术特展”开展公告</w:t>
            </w:r>
          </w:p>
          <w:p>
            <w:pPr>
              <w:spacing w:before="0" w:after="40" w:line="300" w:lineRule="auto"/>
            </w:pPr>
            <w:r>
              <w:rPr>
                <w:rFonts w:ascii="Aptos" w:hAnsi="Aptos" w:eastAsia="Noto Sans CJK SC"/>
                <w:color w:val="6A625B"/>
                <w:sz w:val="18"/>
              </w:rPr>
              <w:t>国家典籍博物馆 / 北京市政府门户｜2025-12-17｜核心</w:t>
            </w:r>
          </w:p>
          <w:p>
            <w:pPr>
              <w:spacing w:before="0" w:after="40" w:line="300" w:lineRule="auto"/>
            </w:pPr>
            <w:r>
              <w:rPr>
                <w:rFonts w:ascii="Aptos" w:hAnsi="Aptos" w:eastAsia="Noto Sans CJK SC"/>
                <w:b/>
                <w:sz w:val="19"/>
              </w:rPr>
              <w:t>教学用途：</w:t>
            </w:r>
            <w:r>
              <w:rPr>
                <w:rFonts w:ascii="Aptos" w:hAnsi="Aptos" w:eastAsia="Noto Sans CJK SC"/>
                <w:sz w:val="19"/>
              </w:rPr>
              <w:t>确认小西天本体信息；用于事实卡A。</w:t>
            </w:r>
          </w:p>
          <w:p>
            <w:pPr>
              <w:spacing w:before="0" w:after="40" w:line="300" w:lineRule="auto"/>
            </w:pPr>
            <w:r>
              <w:rPr>
                <w:rFonts w:ascii="Aptos" w:hAnsi="Aptos" w:eastAsia="Noto Sans CJK SC"/>
                <w:b/>
                <w:sz w:val="19"/>
              </w:rPr>
              <w:t>可提取信息：</w:t>
            </w:r>
            <w:r>
              <w:rPr>
                <w:rFonts w:ascii="Aptos" w:hAnsi="Aptos" w:eastAsia="Noto Sans CJK SC"/>
                <w:sz w:val="19"/>
              </w:rPr>
              <w:t>小西天原名千佛庵；保存1978尊明代塑像；“中国悬塑艺术博物馆”。</w:t>
            </w:r>
          </w:p>
          <w:p>
            <w:pPr>
              <w:spacing w:before="0" w:after="0" w:line="300" w:lineRule="auto"/>
            </w:pPr>
            <w:hyperlink r:id="rId10">
              <w:r>
                <w:rPr>
                  <w:color w:val="2E5D7B"/>
                  <w:u w:val="single"/>
                  <w:sz w:val="17"/>
                  <w:szCs w:val="17"/>
                  <w:rFonts w:ascii="Aptos" w:hAnsi="Aptos" w:eastAsia="Noto Sans CJK SC"/>
                </w:rPr>
                <w:t>https://www.beijing.gov.cn/renwen/zt/gjdjbwg/yw/202512/t20251217_4347718.html</w:t>
              </w:r>
            </w:hyperlink>
            <w:r>
              <w:t/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BF8F2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r>
              <w:rPr>
                <w:rFonts w:ascii="Aptos" w:hAnsi="Aptos" w:eastAsia="Noto Sans CJK SC"/>
                <w:b/>
                <w:color w:val="A53E2A"/>
                <w:sz w:val="20"/>
              </w:rPr>
              <w:t>探寻古刹文脉 传承千年文明——《小西天的前世今生》专题讲座</w:t>
            </w:r>
          </w:p>
          <w:p>
            <w:pPr>
              <w:spacing w:before="0" w:after="40" w:line="300" w:lineRule="auto"/>
            </w:pPr>
            <w:r>
              <w:rPr>
                <w:rFonts w:ascii="Aptos" w:hAnsi="Aptos" w:eastAsia="Noto Sans CJK SC"/>
                <w:color w:val="6A625B"/>
                <w:sz w:val="18"/>
              </w:rPr>
              <w:t>湖南省文物局 / 长沙博物馆｜2026-07-03｜背景</w:t>
            </w:r>
          </w:p>
          <w:p>
            <w:pPr>
              <w:spacing w:before="0" w:after="40" w:line="300" w:lineRule="auto"/>
            </w:pPr>
            <w:r>
              <w:rPr>
                <w:rFonts w:ascii="Aptos" w:hAnsi="Aptos" w:eastAsia="Noto Sans CJK SC"/>
                <w:b/>
                <w:sz w:val="19"/>
              </w:rPr>
              <w:t>教学用途：</w:t>
            </w:r>
            <w:r>
              <w:rPr>
                <w:rFonts w:ascii="Aptos" w:hAnsi="Aptos" w:eastAsia="Noto Sans CJK SC"/>
                <w:sz w:val="19"/>
              </w:rPr>
              <w:t>补充小西天布局、悬塑工艺、保护历程；教师背景阅读，不全部下放给学生。</w:t>
            </w:r>
          </w:p>
          <w:p>
            <w:pPr>
              <w:spacing w:before="0" w:after="40" w:line="300" w:lineRule="auto"/>
            </w:pPr>
            <w:r>
              <w:rPr>
                <w:rFonts w:ascii="Aptos" w:hAnsi="Aptos" w:eastAsia="Noto Sans CJK SC"/>
                <w:b/>
                <w:sz w:val="19"/>
              </w:rPr>
              <w:t>可提取信息：</w:t>
            </w:r>
            <w:r>
              <w:rPr>
                <w:rFonts w:ascii="Aptos" w:hAnsi="Aptos" w:eastAsia="Noto Sans CJK SC"/>
                <w:sz w:val="19"/>
              </w:rPr>
              <w:t>依山而建的布局；悬塑工艺与天然矿物颜料；1914年以来保护历程及现代科技进入文保。</w:t>
            </w:r>
          </w:p>
          <w:p>
            <w:pPr>
              <w:spacing w:before="0" w:after="0" w:line="300" w:lineRule="auto"/>
            </w:pPr>
            <w:hyperlink r:id="rId11">
              <w:r>
                <w:rPr>
                  <w:color w:val="2E5D7B"/>
                  <w:u w:val="single"/>
                  <w:sz w:val="17"/>
                  <w:szCs w:val="17"/>
                  <w:rFonts w:ascii="Aptos" w:hAnsi="Aptos" w:eastAsia="Noto Sans CJK SC"/>
                </w:rPr>
                <w:t>https://wwj.hunan.gov.cn/wwj/c100310/c100311/202607/t20260706_34020374.html</w:t>
              </w:r>
            </w:hyperlink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BF8F2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r>
              <w:rPr>
                <w:rFonts w:ascii="Aptos" w:hAnsi="Aptos" w:eastAsia="Noto Sans CJK SC"/>
                <w:b/>
                <w:color w:val="A53E2A"/>
                <w:sz w:val="20"/>
              </w:rPr>
              <w:t>国产游戏提升山西文旅热度</w:t>
            </w:r>
          </w:p>
          <w:p>
            <w:pPr>
              <w:spacing w:before="0" w:after="40" w:line="300" w:lineRule="auto"/>
            </w:pPr>
            <w:r>
              <w:rPr>
                <w:rFonts w:ascii="Aptos" w:hAnsi="Aptos" w:eastAsia="Noto Sans CJK SC"/>
                <w:color w:val="6A625B"/>
                <w:sz w:val="18"/>
              </w:rPr>
              <w:t>人民日报/人民网｜2024-08-22｜核心</w:t>
            </w:r>
          </w:p>
          <w:p>
            <w:pPr>
              <w:spacing w:before="0" w:after="40" w:line="300" w:lineRule="auto"/>
            </w:pPr>
            <w:r>
              <w:rPr>
                <w:rFonts w:ascii="Aptos" w:hAnsi="Aptos" w:eastAsia="Noto Sans CJK SC"/>
                <w:b/>
                <w:sz w:val="19"/>
              </w:rPr>
              <w:t>教学用途：</w:t>
            </w:r>
            <w:r>
              <w:rPr>
                <w:rFonts w:ascii="Aptos" w:hAnsi="Aptos" w:eastAsia="Noto Sans CJK SC"/>
                <w:sz w:val="19"/>
              </w:rPr>
              <w:t>确认游戏—山西古建关系；用于事实卡B。</w:t>
            </w:r>
          </w:p>
          <w:p>
            <w:pPr>
              <w:spacing w:before="0" w:after="40" w:line="300" w:lineRule="auto"/>
            </w:pPr>
            <w:r>
              <w:rPr>
                <w:rFonts w:ascii="Aptos" w:hAnsi="Aptos" w:eastAsia="Noto Sans CJK SC"/>
                <w:b/>
                <w:sz w:val="19"/>
              </w:rPr>
              <w:t>可提取信息：</w:t>
            </w:r>
            <w:r>
              <w:rPr>
                <w:rFonts w:ascii="Aptos" w:hAnsi="Aptos" w:eastAsia="Noto Sans CJK SC"/>
                <w:sz w:val="19"/>
              </w:rPr>
              <w:t>36处取景地中27处来自山西；古刹、古塔、雕塑等大量来自实景复刻或建模。</w:t>
            </w:r>
          </w:p>
          <w:p>
            <w:pPr>
              <w:spacing w:before="0" w:after="0" w:line="300" w:lineRule="auto"/>
            </w:pPr>
            <w:hyperlink r:id="rId12">
              <w:r>
                <w:rPr>
                  <w:color w:val="2E5D7B"/>
                  <w:u w:val="single"/>
                  <w:sz w:val="17"/>
                  <w:szCs w:val="17"/>
                  <w:rFonts w:ascii="Aptos" w:hAnsi="Aptos" w:eastAsia="Noto Sans CJK SC"/>
                </w:rPr>
                <w:t>https://finance.people.com.cn/n1/2024/0822/c1004-40303633.html</w:t>
              </w:r>
            </w:hyperlink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BF8F2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r>
              <w:rPr>
                <w:rFonts w:ascii="Aptos" w:hAnsi="Aptos" w:eastAsia="Noto Sans CJK SC"/>
                <w:b/>
                <w:color w:val="A53E2A"/>
                <w:sz w:val="20"/>
              </w:rPr>
              <w:t>“跟着悟空游山西”吸引海内外游客</w:t>
            </w:r>
          </w:p>
          <w:p>
            <w:pPr>
              <w:spacing w:before="0" w:after="40" w:line="300" w:lineRule="auto"/>
            </w:pPr>
            <w:r>
              <w:rPr>
                <w:rFonts w:ascii="Aptos" w:hAnsi="Aptos" w:eastAsia="Noto Sans CJK SC"/>
                <w:color w:val="6A625B"/>
                <w:sz w:val="18"/>
              </w:rPr>
              <w:t>人民日报海外版｜2024-09-04｜背景</w:t>
            </w:r>
          </w:p>
          <w:p>
            <w:pPr>
              <w:spacing w:before="0" w:after="40" w:line="300" w:lineRule="auto"/>
            </w:pPr>
            <w:r>
              <w:rPr>
                <w:rFonts w:ascii="Aptos" w:hAnsi="Aptos" w:eastAsia="Noto Sans CJK SC"/>
                <w:b/>
                <w:sz w:val="19"/>
              </w:rPr>
              <w:t>教学用途：</w:t>
            </w:r>
            <w:r>
              <w:rPr>
                <w:rFonts w:ascii="Aptos" w:hAnsi="Aptos" w:eastAsia="Noto Sans CJK SC"/>
                <w:sz w:val="19"/>
              </w:rPr>
              <w:t>理解“游戏+文旅”从注意力到旅游产品与公共服务的转化。</w:t>
            </w:r>
          </w:p>
          <w:p>
            <w:pPr>
              <w:spacing w:before="0" w:after="40" w:line="300" w:lineRule="auto"/>
            </w:pPr>
            <w:r>
              <w:rPr>
                <w:rFonts w:ascii="Aptos" w:hAnsi="Aptos" w:eastAsia="Noto Sans CJK SC"/>
                <w:b/>
                <w:sz w:val="19"/>
              </w:rPr>
              <w:t>可提取信息：</w:t>
            </w:r>
            <w:r>
              <w:rPr>
                <w:rFonts w:ascii="Aptos" w:hAnsi="Aptos" w:eastAsia="Noto Sans CJK SC"/>
                <w:sz w:val="19"/>
              </w:rPr>
              <w:t>游戏上线3天后，27个涉文物景点游客与门票收入均出现增长；山西推出“跟着悟空游山西”主题活动。</w:t>
            </w:r>
          </w:p>
          <w:p>
            <w:pPr>
              <w:spacing w:before="0" w:after="0" w:line="300" w:lineRule="auto"/>
            </w:pPr>
            <w:hyperlink r:id="rId13">
              <w:r>
                <w:rPr>
                  <w:color w:val="2E5D7B"/>
                  <w:u w:val="single"/>
                  <w:sz w:val="17"/>
                  <w:szCs w:val="17"/>
                  <w:rFonts w:ascii="Aptos" w:hAnsi="Aptos" w:eastAsia="Noto Sans CJK SC"/>
                </w:rPr>
                <w:t>https://paper.people.com.cn/hwbwap/html/2024-09/04/content_26078569.htm</w:t>
              </w:r>
            </w:hyperlink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BF8F2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r>
              <w:rPr>
                <w:rFonts w:ascii="Aptos" w:hAnsi="Aptos" w:eastAsia="Noto Sans CJK SC"/>
                <w:b/>
                <w:color w:val="A53E2A"/>
                <w:sz w:val="20"/>
              </w:rPr>
              <w:t>志愿“红”点亮“隰”游行</w:t>
            </w:r>
          </w:p>
          <w:p>
            <w:pPr>
              <w:spacing w:before="0" w:after="40" w:line="300" w:lineRule="auto"/>
            </w:pPr>
            <w:r>
              <w:rPr>
                <w:rFonts w:ascii="Aptos" w:hAnsi="Aptos" w:eastAsia="Noto Sans CJK SC"/>
                <w:color w:val="6A625B"/>
                <w:sz w:val="18"/>
              </w:rPr>
              <w:t>中共中央社会工作部网站 / 中国社区报｜2024-10-17｜核心</w:t>
            </w:r>
          </w:p>
          <w:p>
            <w:pPr>
              <w:spacing w:before="0" w:after="40" w:line="300" w:lineRule="auto"/>
            </w:pPr>
            <w:r>
              <w:rPr>
                <w:rFonts w:ascii="Aptos" w:hAnsi="Aptos" w:eastAsia="Noto Sans CJK SC"/>
                <w:b/>
                <w:sz w:val="19"/>
              </w:rPr>
              <w:t>教学用途：</w:t>
            </w:r>
            <w:r>
              <w:rPr>
                <w:rFonts w:ascii="Aptos" w:hAnsi="Aptos" w:eastAsia="Noto Sans CJK SC"/>
                <w:sz w:val="19"/>
              </w:rPr>
              <w:t>确认游客增长、县域压力与社会参与；用于事实卡C/D和当地志愿者角色。</w:t>
            </w:r>
          </w:p>
          <w:p>
            <w:pPr>
              <w:spacing w:before="0" w:after="40" w:line="300" w:lineRule="auto"/>
            </w:pPr>
            <w:r>
              <w:rPr>
                <w:rFonts w:ascii="Aptos" w:hAnsi="Aptos" w:eastAsia="Noto Sans CJK SC"/>
                <w:b/>
                <w:sz w:val="19"/>
              </w:rPr>
              <w:t>可提取信息：</w:t>
            </w:r>
            <w:r>
              <w:rPr>
                <w:rFonts w:ascii="Aptos" w:hAnsi="Aptos" w:eastAsia="Noto Sans CJK SC"/>
                <w:sz w:val="19"/>
              </w:rPr>
              <w:t>过去日均三四百；国庆日均1万+；8个工作专班；450余名党员干部和社会组织人员参与志愿服务。</w:t>
            </w:r>
          </w:p>
          <w:p>
            <w:pPr>
              <w:spacing w:before="0" w:after="0" w:line="300" w:lineRule="auto"/>
            </w:pPr>
            <w:hyperlink r:id="rId14">
              <w:r>
                <w:rPr>
                  <w:color w:val="2E5D7B"/>
                  <w:u w:val="single"/>
                  <w:sz w:val="17"/>
                  <w:szCs w:val="17"/>
                  <w:rFonts w:ascii="Aptos" w:hAnsi="Aptos" w:eastAsia="Noto Sans CJK SC"/>
                </w:rPr>
                <w:t>https://www.zyshgzb.gov.cn/n1/2024/1017/c459563-40341254.html</w:t>
              </w:r>
            </w:hyperlink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BF8F2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r>
              <w:rPr>
                <w:rFonts w:ascii="Aptos" w:hAnsi="Aptos" w:eastAsia="Noto Sans CJK SC"/>
                <w:b/>
                <w:color w:val="A53E2A"/>
                <w:sz w:val="20"/>
              </w:rPr>
              <w:t>山西隰县小西天爆满 宣布实施线上预约</w:t>
            </w:r>
          </w:p>
          <w:p>
            <w:pPr>
              <w:spacing w:before="0" w:after="40" w:line="300" w:lineRule="auto"/>
            </w:pPr>
            <w:r>
              <w:rPr>
                <w:rFonts w:ascii="Aptos" w:hAnsi="Aptos" w:eastAsia="Noto Sans CJK SC"/>
                <w:color w:val="6A625B"/>
                <w:sz w:val="18"/>
              </w:rPr>
              <w:t>中国旅游新闻网｜2024-10-03｜核心</w:t>
            </w:r>
          </w:p>
          <w:p>
            <w:pPr>
              <w:spacing w:before="0" w:after="40" w:line="300" w:lineRule="auto"/>
            </w:pPr>
            <w:r>
              <w:rPr>
                <w:rFonts w:ascii="Aptos" w:hAnsi="Aptos" w:eastAsia="Noto Sans CJK SC"/>
                <w:b/>
                <w:sz w:val="19"/>
              </w:rPr>
              <w:t>教学用途：</w:t>
            </w:r>
            <w:r>
              <w:rPr>
                <w:rFonts w:ascii="Aptos" w:hAnsi="Aptos" w:eastAsia="Noto Sans CJK SC"/>
                <w:sz w:val="19"/>
              </w:rPr>
              <w:t>确认预约、每日承载上限与错峰措施；用于Decide和Reveal。</w:t>
            </w:r>
          </w:p>
          <w:p>
            <w:pPr>
              <w:spacing w:before="0" w:after="40" w:line="300" w:lineRule="auto"/>
            </w:pPr>
            <w:r>
              <w:rPr>
                <w:rFonts w:ascii="Aptos" w:hAnsi="Aptos" w:eastAsia="Noto Sans CJK SC"/>
                <w:b/>
                <w:sz w:val="19"/>
              </w:rPr>
              <w:t>可提取信息：</w:t>
            </w:r>
            <w:r>
              <w:rPr>
                <w:rFonts w:ascii="Aptos" w:hAnsi="Aptos" w:eastAsia="Noto Sans CJK SC"/>
                <w:sz w:val="19"/>
              </w:rPr>
              <w:t>10月3日起线上预约；每日上限1万人；分时段限量发售。</w:t>
            </w:r>
          </w:p>
          <w:p>
            <w:pPr>
              <w:spacing w:before="0" w:after="0" w:line="300" w:lineRule="auto"/>
            </w:pPr>
            <w:hyperlink r:id="rId15">
              <w:r>
                <w:rPr>
                  <w:color w:val="2E5D7B"/>
                  <w:u w:val="single"/>
                  <w:sz w:val="17"/>
                  <w:szCs w:val="17"/>
                  <w:rFonts w:ascii="Aptos" w:hAnsi="Aptos" w:eastAsia="Noto Sans CJK SC"/>
                </w:rPr>
                <w:t>https://www.ctnews.com.cn/dongtai/content/2024-10/03/content_165621.html</w:t>
              </w:r>
            </w:hyperlink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BF8F2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r>
              <w:rPr>
                <w:rFonts w:ascii="Aptos" w:hAnsi="Aptos" w:eastAsia="Noto Sans CJK SC"/>
                <w:b/>
                <w:color w:val="A53E2A"/>
                <w:sz w:val="20"/>
              </w:rPr>
              <w:t>山西厚植文化资源优势推动文旅融合发展</w:t>
            </w:r>
          </w:p>
          <w:p>
            <w:pPr>
              <w:spacing w:before="0" w:after="40" w:line="300" w:lineRule="auto"/>
            </w:pPr>
            <w:r>
              <w:rPr>
                <w:rFonts w:ascii="Aptos" w:hAnsi="Aptos" w:eastAsia="Noto Sans CJK SC"/>
                <w:color w:val="6A625B"/>
                <w:sz w:val="18"/>
              </w:rPr>
              <w:t>山西省政府系统转载｜2026-06-15｜核心</w:t>
            </w:r>
          </w:p>
          <w:p>
            <w:pPr>
              <w:spacing w:before="0" w:after="40" w:line="300" w:lineRule="auto"/>
            </w:pPr>
            <w:r>
              <w:rPr>
                <w:rFonts w:ascii="Aptos" w:hAnsi="Aptos" w:eastAsia="Noto Sans CJK SC"/>
                <w:b/>
                <w:sz w:val="19"/>
              </w:rPr>
              <w:t>教学用途：</w:t>
            </w:r>
            <w:r>
              <w:rPr>
                <w:rFonts w:ascii="Aptos" w:hAnsi="Aptos" w:eastAsia="Noto Sans CJK SC"/>
                <w:sz w:val="19"/>
              </w:rPr>
              <w:t>把“应急接住流量”推进到“长期科技保护”；用于事实卡E和比赛结尾Reveal。</w:t>
            </w:r>
          </w:p>
          <w:p>
            <w:pPr>
              <w:spacing w:before="0" w:after="40" w:line="300" w:lineRule="auto"/>
            </w:pPr>
            <w:r>
              <w:rPr>
                <w:rFonts w:ascii="Aptos" w:hAnsi="Aptos" w:eastAsia="Noto Sans CJK SC"/>
                <w:b/>
                <w:sz w:val="19"/>
              </w:rPr>
              <w:t>可提取信息：</w:t>
            </w:r>
            <w:r>
              <w:rPr>
                <w:rFonts w:ascii="Aptos" w:hAnsi="Aptos" w:eastAsia="Noto Sans CJK SC"/>
                <w:sz w:val="19"/>
              </w:rPr>
              <w:t>核心区域布设微环境监测系统，实时监控温湿度、人流密度与二氧化碳浓度，异常时预警并分级处置。</w:t>
            </w:r>
          </w:p>
          <w:p>
            <w:pPr>
              <w:spacing w:before="0" w:after="0" w:line="300" w:lineRule="auto"/>
            </w:pPr>
            <w:hyperlink r:id="rId16">
              <w:r>
                <w:rPr>
                  <w:color w:val="2E5D7B"/>
                  <w:u w:val="single"/>
                  <w:sz w:val="17"/>
                  <w:szCs w:val="17"/>
                  <w:rFonts w:ascii="Aptos" w:hAnsi="Aptos" w:eastAsia="Noto Sans CJK SC"/>
                </w:rPr>
                <w:t>https://wjw.shanxi.gov.cn/xwzx/szyw/202606/t20260615_10146174.shtml</w:t>
              </w:r>
            </w:hyperlink>
          </w:p>
        </w:tc>
      </w:tr>
    </w:tbl>
    <w:p>
      <w:pPr>
        <w:pStyle w:val="Heading1"/>
      </w:pPr>
      <w:r>
        <w:t>四、跨文化与游客管理阅读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BF8F2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r>
              <w:rPr>
                <w:rFonts w:ascii="Aptos" w:hAnsi="Aptos" w:eastAsia="Noto Sans CJK SC"/>
                <w:b/>
                <w:color w:val="A53E2A"/>
                <w:sz w:val="20"/>
              </w:rPr>
              <w:t>Visitor Use Management</w:t>
            </w:r>
          </w:p>
          <w:p>
            <w:pPr>
              <w:spacing w:before="0" w:after="40" w:line="300" w:lineRule="auto"/>
            </w:pPr>
            <w:r>
              <w:rPr>
                <w:rFonts w:ascii="Aptos" w:hAnsi="Aptos" w:eastAsia="Noto Sans CJK SC"/>
                <w:color w:val="6A625B"/>
                <w:sz w:val="18"/>
              </w:rPr>
              <w:t>Interagency Visitor Use Management Council / U.S. NPS｜持续更新｜比较</w:t>
            </w:r>
          </w:p>
          <w:p>
            <w:pPr>
              <w:spacing w:before="0" w:after="40" w:line="300" w:lineRule="auto"/>
            </w:pPr>
            <w:r>
              <w:rPr>
                <w:rFonts w:ascii="Aptos" w:hAnsi="Aptos" w:eastAsia="Noto Sans CJK SC"/>
                <w:b/>
                <w:sz w:val="19"/>
              </w:rPr>
              <w:t>教学用途：</w:t>
            </w:r>
            <w:r>
              <w:rPr>
                <w:rFonts w:ascii="Aptos" w:hAnsi="Aptos" w:eastAsia="Noto Sans CJK SC"/>
                <w:sz w:val="19"/>
              </w:rPr>
              <w:t>建立“访问—体验—资源保护”共同框架，避免把预约理解为单纯限制。</w:t>
            </w:r>
          </w:p>
          <w:p>
            <w:pPr>
              <w:spacing w:before="0" w:after="40" w:line="300" w:lineRule="auto"/>
            </w:pPr>
            <w:r>
              <w:rPr>
                <w:rFonts w:ascii="Aptos" w:hAnsi="Aptos" w:eastAsia="Noto Sans CJK SC"/>
                <w:b/>
                <w:sz w:val="19"/>
              </w:rPr>
              <w:t>可提取信息：</w:t>
            </w:r>
            <w:r>
              <w:rPr>
                <w:rFonts w:ascii="Aptos" w:hAnsi="Aptos" w:eastAsia="Noto Sans CJK SC"/>
                <w:sz w:val="19"/>
              </w:rPr>
              <w:t>游客管理同时考虑进入机会、体验品质和自然/文化资源条件。</w:t>
            </w:r>
          </w:p>
          <w:p>
            <w:pPr>
              <w:spacing w:before="0" w:after="0" w:line="300" w:lineRule="auto"/>
            </w:pPr>
            <w:hyperlink r:id="rId17">
              <w:r>
                <w:rPr>
                  <w:color w:val="2E5D7B"/>
                  <w:u w:val="single"/>
                  <w:sz w:val="17"/>
                  <w:szCs w:val="17"/>
                  <w:rFonts w:ascii="Aptos" w:hAnsi="Aptos" w:eastAsia="Noto Sans CJK SC"/>
                </w:rPr>
                <w:t>https://visitorusemanagement.nps.gov/</w:t>
              </w:r>
            </w:hyperlink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BF8F2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r>
              <w:rPr>
                <w:rFonts w:ascii="Aptos" w:hAnsi="Aptos" w:eastAsia="Noto Sans CJK SC"/>
                <w:b/>
                <w:color w:val="A53E2A"/>
                <w:sz w:val="20"/>
              </w:rPr>
              <w:t>Visitor Access Management Plan · Yosemite</w:t>
            </w:r>
          </w:p>
          <w:p>
            <w:pPr>
              <w:spacing w:before="0" w:after="40" w:line="300" w:lineRule="auto"/>
            </w:pPr>
            <w:r>
              <w:rPr>
                <w:rFonts w:ascii="Aptos" w:hAnsi="Aptos" w:eastAsia="Noto Sans CJK SC"/>
                <w:color w:val="6A625B"/>
                <w:sz w:val="18"/>
              </w:rPr>
              <w:t>U.S. National Park Service｜持续更新｜比较</w:t>
            </w:r>
          </w:p>
          <w:p>
            <w:pPr>
              <w:spacing w:before="0" w:after="40" w:line="300" w:lineRule="auto"/>
            </w:pPr>
            <w:r>
              <w:rPr>
                <w:rFonts w:ascii="Aptos" w:hAnsi="Aptos" w:eastAsia="Noto Sans CJK SC"/>
                <w:b/>
                <w:sz w:val="19"/>
              </w:rPr>
              <w:t>教学用途：</w:t>
            </w:r>
            <w:r>
              <w:rPr>
                <w:rFonts w:ascii="Aptos" w:hAnsi="Aptos" w:eastAsia="Noto Sans CJK SC"/>
                <w:sz w:val="19"/>
              </w:rPr>
              <w:t>为学生提供美国熟悉情境：拥堵、交通、预约与公平进入。</w:t>
            </w:r>
          </w:p>
          <w:p>
            <w:pPr>
              <w:spacing w:before="0" w:after="40" w:line="300" w:lineRule="auto"/>
            </w:pPr>
            <w:r>
              <w:rPr>
                <w:rFonts w:ascii="Aptos" w:hAnsi="Aptos" w:eastAsia="Noto Sans CJK SC"/>
                <w:b/>
                <w:sz w:val="19"/>
              </w:rPr>
              <w:t>可提取信息：</w:t>
            </w:r>
            <w:r>
              <w:rPr>
                <w:rFonts w:ascii="Aptos" w:hAnsi="Aptos" w:eastAsia="Noto Sans CJK SC"/>
                <w:sz w:val="19"/>
              </w:rPr>
              <w:t>快速增长的日间游客会影响资源与体验；预约可作为控制峰值、保护资源和改善进入确定性的工具。</w:t>
            </w:r>
          </w:p>
          <w:p>
            <w:pPr>
              <w:spacing w:before="0" w:after="0" w:line="300" w:lineRule="auto"/>
            </w:pPr>
            <w:hyperlink r:id="rId18">
              <w:r>
                <w:rPr>
                  <w:color w:val="2E5D7B"/>
                  <w:u w:val="single"/>
                  <w:sz w:val="17"/>
                  <w:szCs w:val="17"/>
                  <w:rFonts w:ascii="Aptos" w:hAnsi="Aptos" w:eastAsia="Noto Sans CJK SC"/>
                </w:rPr>
                <w:t>https://www.nps.gov/yose/getinvolved/visitoraccessmanagement.htm</w:t>
              </w:r>
            </w:hyperlink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BF8F2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r>
              <w:rPr>
                <w:rFonts w:ascii="Aptos" w:hAnsi="Aptos" w:eastAsia="Noto Sans CJK SC"/>
                <w:b/>
                <w:color w:val="A53E2A"/>
                <w:sz w:val="20"/>
              </w:rPr>
              <w:t>World Heritage Sustainable Tourism Toolkit · Guide 8</w:t>
            </w:r>
          </w:p>
          <w:p>
            <w:pPr>
              <w:spacing w:before="0" w:after="40" w:line="300" w:lineRule="auto"/>
            </w:pPr>
            <w:r>
              <w:rPr>
                <w:rFonts w:ascii="Aptos" w:hAnsi="Aptos" w:eastAsia="Noto Sans CJK SC"/>
                <w:color w:val="6A625B"/>
                <w:sz w:val="18"/>
              </w:rPr>
              <w:t>UNESCO World Heritage Centre｜持续更新｜理论背景</w:t>
            </w:r>
          </w:p>
          <w:p>
            <w:pPr>
              <w:spacing w:before="0" w:after="40" w:line="300" w:lineRule="auto"/>
            </w:pPr>
            <w:r>
              <w:rPr>
                <w:rFonts w:ascii="Aptos" w:hAnsi="Aptos" w:eastAsia="Noto Sans CJK SC"/>
                <w:b/>
                <w:sz w:val="19"/>
              </w:rPr>
              <w:t>教学用途：</w:t>
            </w:r>
            <w:r>
              <w:rPr>
                <w:rFonts w:ascii="Aptos" w:hAnsi="Aptos" w:eastAsia="Noto Sans CJK SC"/>
                <w:sz w:val="19"/>
              </w:rPr>
              <w:t>帮助教师把小西天置于更广泛的文化遗产游客管理问题中。</w:t>
            </w:r>
          </w:p>
          <w:p>
            <w:pPr>
              <w:spacing w:before="0" w:after="40" w:line="300" w:lineRule="auto"/>
            </w:pPr>
            <w:r>
              <w:rPr>
                <w:rFonts w:ascii="Aptos" w:hAnsi="Aptos" w:eastAsia="Noto Sans CJK SC"/>
                <w:b/>
                <w:sz w:val="19"/>
              </w:rPr>
              <w:t>可提取信息：通过信息、引导、分区与行为规范管理游客行为，减少对遗产地和参观体验的负面影响。</w:t>
            </w:r>
            <w:r>
              <w:rPr>
                <w:rFonts w:ascii="Aptos" w:hAnsi="Aptos" w:eastAsia="Noto Sans CJK SC"/>
                <w:sz w:val="19"/>
              </w:rPr>
            </w:r>
          </w:p>
          <w:p>
            <w:pPr>
              <w:spacing w:before="0" w:after="0" w:line="300" w:lineRule="auto"/>
            </w:pPr>
            <w:hyperlink r:id="rId19">
              <w:r>
                <w:rPr>
                  <w:color w:val="2E5D7B"/>
                  <w:u w:val="single"/>
                  <w:sz w:val="17"/>
                  <w:szCs w:val="17"/>
                  <w:rFonts w:ascii="Aptos" w:hAnsi="Aptos" w:eastAsia="Noto Sans CJK SC"/>
                </w:rPr>
                <w:t>https://whc.unesco.org/en/sustainabletourismtoolkit/guide8/</w:t>
              </w:r>
            </w:hyperlink>
          </w:p>
        </w:tc>
      </w:tr>
    </w:tbl>
    <w:p>
      <w:pPr>
        <w:pStyle w:val="Heading1"/>
      </w:pPr>
      <w:r>
        <w:t>五、课堂改写原则</w:t>
      </w:r>
    </w:p>
    <w:p>
      <w:pPr>
        <w:pStyle w:val="ListNumber"/>
        <w:spacing w:before="0" w:after="60" w:line="300" w:lineRule="auto"/>
        <w:ind w:left="317" w:hanging="202"/>
      </w:pPr>
      <w:r>
        <w:rPr>
          <w:rFonts w:ascii="Aptos" w:hAnsi="Aptos" w:eastAsia="Noto Sans CJK SC"/>
          <w:sz w:val="20"/>
        </w:rPr>
        <w:t>学生页每条路径只保留一项主材料；新闻和政策细节不堆叠，优先保留能支撑判断的数字、行动和时间节点。</w:t>
      </w:r>
    </w:p>
    <w:p>
      <w:pPr>
        <w:pStyle w:val="ListNumber"/>
        <w:spacing w:before="0" w:after="60" w:line="300" w:lineRule="auto"/>
        <w:ind w:left="317" w:hanging="202"/>
      </w:pPr>
      <w:r>
        <w:rPr>
          <w:rFonts w:ascii="Aptos" w:hAnsi="Aptos" w:eastAsia="Noto Sans CJK SC"/>
          <w:sz w:val="20"/>
        </w:rPr>
        <w:t>所有学生可见改写都保留来源标题、机构、日期、类型和链接；“教师改写”与“原文”明确区分。</w:t>
      </w:r>
    </w:p>
    <w:p>
      <w:pPr>
        <w:pStyle w:val="ListNumber"/>
        <w:spacing w:before="0" w:after="60" w:line="300" w:lineRule="auto"/>
        <w:ind w:left="317" w:hanging="202"/>
      </w:pPr>
      <w:r>
        <w:rPr>
          <w:rFonts w:ascii="Aptos" w:hAnsi="Aptos" w:eastAsia="Noto Sans CJK SC"/>
          <w:sz w:val="20"/>
        </w:rPr>
        <w:t>游戏画面用于场景与气氛，文化事实必须来自标明来源的材料；角色不得把游戏设定当作历史事实。</w:t>
      </w:r>
    </w:p>
    <w:p>
      <w:pPr>
        <w:pStyle w:val="ListNumber"/>
        <w:spacing w:before="0" w:after="60" w:line="300" w:lineRule="auto"/>
        <w:ind w:left="317" w:hanging="202"/>
      </w:pPr>
      <w:r>
        <w:rPr>
          <w:rFonts w:ascii="Aptos" w:hAnsi="Aptos" w:eastAsia="Noto Sans CJK SC"/>
          <w:sz w:val="20"/>
        </w:rPr>
        <w:t>跨文化比较只比较“问题—措施—权衡”，不把景区管理差异归因于民族性格或文化本质。</w:t>
      </w:r>
    </w:p>
    <w:p>
      <w:pPr>
        <w:pStyle w:val="ListNumber"/>
        <w:spacing w:before="0" w:after="60" w:line="300" w:lineRule="auto"/>
        <w:ind w:left="317" w:hanging="202"/>
      </w:pPr>
      <w:r>
        <w:rPr>
          <w:rFonts w:ascii="Aptos" w:hAnsi="Aptos" w:eastAsia="Noto Sans CJK SC"/>
          <w:sz w:val="20"/>
        </w:rPr>
        <w:t>对佛教内容以文化遗产、艺术与叙事为教学对象，不要求学习者接受宗教价值判断。</w:t>
      </w:r>
    </w:p>
    <w:p>
      <w:pPr>
        <w:pStyle w:val="ListNumber"/>
        <w:spacing w:before="0" w:after="60" w:line="300" w:lineRule="auto"/>
        <w:ind w:left="317" w:hanging="202"/>
      </w:pPr>
      <w:r>
        <w:rPr>
          <w:rFonts w:ascii="Aptos" w:hAnsi="Aptos" w:eastAsia="Noto Sans CJK SC"/>
          <w:sz w:val="20"/>
        </w:rPr>
        <w:t>GAI只给一条关键反馈；优先促使学生补充证据、利益相关者、因果或类比边界，而不是改成“标准答案”。</w:t>
      </w:r>
    </w:p>
    <w:p>
      <w:pPr>
        <w:pStyle w:val="Heading1"/>
      </w:pPr>
      <w:r>
        <w:t>六、GAI知识库与角色边界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44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7A6335"/>
          </w:tcPr>
          <w:p>
            <w:pPr>
              <w:spacing w:before="0" w:after="0" w:line="276" w:lineRule="auto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层</w:t>
            </w:r>
          </w:p>
        </w:tc>
        <w:tc>
          <w:tcPr>
            <w:tcW w:type="dxa" w:w="460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7A6335"/>
          </w:tcPr>
          <w:p>
            <w:pPr>
              <w:spacing w:before="0" w:after="0" w:line="276" w:lineRule="auto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允许内容</w:t>
            </w:r>
          </w:p>
        </w:tc>
        <w:tc>
          <w:tcPr>
            <w:tcW w:type="dxa" w:w="36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7A6335"/>
          </w:tcPr>
          <w:p>
            <w:pPr>
              <w:spacing w:before="0" w:after="0" w:line="276" w:lineRule="auto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禁止内容</w:t>
            </w:r>
          </w:p>
        </w:tc>
      </w:tr>
      <w:tr>
        <w:tc>
          <w:tcPr>
            <w:tcW w:type="dxa" w:w="144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 w:eastAsia="Noto Sans CJK SC"/>
                <w:b w:val="0"/>
                <w:color w:val="2E2E2E"/>
                <w:sz w:val="18"/>
              </w:rPr>
              <w:t>事实层</w:t>
            </w:r>
          </w:p>
        </w:tc>
        <w:tc>
          <w:tcPr>
            <w:tcW w:type="dxa" w:w="460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 w:eastAsia="Noto Sans CJK SC"/>
                <w:b w:val="0"/>
                <w:color w:val="2E2E2E"/>
                <w:sz w:val="18"/>
              </w:rPr>
              <w:t>上述核验来源、教师改写事实卡、明确数据和时间</w:t>
            </w:r>
          </w:p>
        </w:tc>
        <w:tc>
          <w:tcPr>
            <w:tcW w:type="dxa" w:w="36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 w:eastAsia="Noto Sans CJK SC"/>
                <w:b w:val="0"/>
                <w:color w:val="2E2E2E"/>
                <w:sz w:val="18"/>
              </w:rPr>
              <w:t>未经来源支持的新数字、新历史事实、损坏事件、政策</w:t>
            </w:r>
          </w:p>
        </w:tc>
      </w:tr>
      <w:tr>
        <w:tc>
          <w:tcPr>
            <w:tcW w:type="dxa" w:w="144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AF6F0"/>
          </w:tcPr>
          <w:p>
            <w:pPr>
              <w:spacing w:before="0" w:after="0" w:line="276" w:lineRule="auto"/>
            </w:pPr>
            <w:r>
              <w:rPr>
                <w:rFonts w:ascii="Aptos" w:hAnsi="Aptos" w:eastAsia="Noto Sans CJK SC"/>
                <w:b w:val="0"/>
                <w:color w:val="2E2E2E"/>
                <w:sz w:val="18"/>
              </w:rPr>
              <w:t>角色层</w:t>
            </w:r>
          </w:p>
        </w:tc>
        <w:tc>
          <w:tcPr>
            <w:tcW w:type="dxa" w:w="460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AF6F0"/>
          </w:tcPr>
          <w:p>
            <w:pPr>
              <w:spacing w:before="0" w:after="0" w:line="276" w:lineRule="auto"/>
            </w:pPr>
            <w:r>
              <w:rPr>
                <w:rFonts w:ascii="Aptos" w:hAnsi="Aptos" w:eastAsia="Noto Sans CJK SC"/>
                <w:b w:val="0"/>
                <w:color w:val="2E2E2E"/>
                <w:sz w:val="18"/>
              </w:rPr>
              <w:t>基于事实模拟玩家、文保人员、志愿者的合理立场与问题</w:t>
            </w:r>
          </w:p>
        </w:tc>
        <w:tc>
          <w:tcPr>
            <w:tcW w:type="dxa" w:w="36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AF6F0"/>
          </w:tcPr>
          <w:p>
            <w:pPr>
              <w:spacing w:before="0" w:after="0" w:line="276" w:lineRule="auto"/>
            </w:pPr>
            <w:r>
              <w:rPr>
                <w:rFonts w:ascii="Aptos" w:hAnsi="Aptos" w:eastAsia="Noto Sans CJK SC"/>
                <w:b w:val="0"/>
                <w:color w:val="2E2E2E"/>
                <w:sz w:val="18"/>
              </w:rPr>
              <w:t>把虚构角色说成真实人物；替真实机构发言</w:t>
            </w:r>
          </w:p>
        </w:tc>
      </w:tr>
      <w:tr>
        <w:tc>
          <w:tcPr>
            <w:tcW w:type="dxa" w:w="144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 w:eastAsia="Noto Sans CJK SC"/>
                <w:b w:val="0"/>
                <w:color w:val="2E2E2E"/>
                <w:sz w:val="18"/>
              </w:rPr>
              <w:t>反馈层</w:t>
            </w:r>
          </w:p>
        </w:tc>
        <w:tc>
          <w:tcPr>
            <w:tcW w:type="dxa" w:w="460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 w:eastAsia="Noto Sans CJK SC"/>
                <w:b w:val="0"/>
                <w:color w:val="2E2E2E"/>
                <w:sz w:val="18"/>
              </w:rPr>
              <w:t>指出“证据不足/关系不清/角色遗漏/比较无边界/中文连接问题”之一</w:t>
            </w:r>
          </w:p>
        </w:tc>
        <w:tc>
          <w:tcPr>
            <w:tcW w:type="dxa" w:w="36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 w:eastAsia="Noto Sans CJK SC"/>
                <w:b w:val="0"/>
                <w:color w:val="2E2E2E"/>
                <w:sz w:val="18"/>
              </w:rPr>
              <w:t>给出唯一正确价值结论；直接替学生重写整段回答</w:t>
            </w:r>
          </w:p>
        </w:tc>
      </w:tr>
    </w:tbl>
    <w:p>
      <w:pPr>
        <w:pStyle w:val="Heading1"/>
      </w:pPr>
      <w:r>
        <w:t>七、建议的口语提交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5EFE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300" w:lineRule="auto"/>
            </w:pPr>
            <w:r>
              <w:rPr>
                <w:rFonts w:ascii="Aptos" w:hAnsi="Aptos" w:eastAsia="Noto Sans CJK SC"/>
                <w:b/>
                <w:color w:val="A53E2A"/>
                <w:sz w:val="21"/>
              </w:rPr>
              <w:t xml:space="preserve">统一提示　</w:t>
            </w:r>
            <w:r>
              <w:rPr>
                <w:rFonts w:ascii="Aptos" w:hAnsi="Aptos" w:eastAsia="Noto Sans CJK SC"/>
                <w:color w:val="2E2E2E"/>
                <w:sz w:val="21"/>
              </w:rPr>
              <w:t>我读到/看到……。这让我重新理解……。从……的角度看……。我建议……，因为……。它和美国的……有一点像，因为……；但这个比较的边界在……。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44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7A6335"/>
          </w:tcPr>
          <w:p>
            <w:pPr>
              <w:spacing w:before="0" w:after="0" w:line="276" w:lineRule="auto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360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7A6335"/>
          </w:tcPr>
          <w:p>
            <w:pPr>
              <w:spacing w:before="0" w:after="0" w:line="276" w:lineRule="auto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达标</w:t>
            </w:r>
          </w:p>
        </w:tc>
        <w:tc>
          <w:tcPr>
            <w:tcW w:type="dxa" w:w="460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7A6335"/>
          </w:tcPr>
          <w:p>
            <w:pPr>
              <w:spacing w:before="0" w:after="0" w:line="276" w:lineRule="auto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发展充分</w:t>
            </w:r>
          </w:p>
        </w:tc>
      </w:tr>
      <w:tr>
        <w:tc>
          <w:tcPr>
            <w:tcW w:type="dxa" w:w="144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 w:eastAsia="Noto Sans CJK SC"/>
                <w:b w:val="0"/>
                <w:color w:val="2E2E2E"/>
                <w:sz w:val="18"/>
              </w:rPr>
              <w:t>证据</w:t>
            </w:r>
          </w:p>
        </w:tc>
        <w:tc>
          <w:tcPr>
            <w:tcW w:type="dxa" w:w="360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 w:eastAsia="Noto Sans CJK SC"/>
                <w:b w:val="0"/>
                <w:color w:val="2E2E2E"/>
                <w:sz w:val="18"/>
              </w:rPr>
              <w:t>准确使用一条材料</w:t>
            </w:r>
          </w:p>
        </w:tc>
        <w:tc>
          <w:tcPr>
            <w:tcW w:type="dxa" w:w="460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 w:eastAsia="Noto Sans CJK SC"/>
                <w:b w:val="0"/>
                <w:color w:val="2E2E2E"/>
                <w:sz w:val="18"/>
              </w:rPr>
              <w:t>连接两条来源并说明关系</w:t>
            </w:r>
          </w:p>
        </w:tc>
      </w:tr>
      <w:tr>
        <w:tc>
          <w:tcPr>
            <w:tcW w:type="dxa" w:w="144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AF6F0"/>
          </w:tcPr>
          <w:p>
            <w:pPr>
              <w:spacing w:before="0" w:after="0" w:line="276" w:lineRule="auto"/>
            </w:pPr>
            <w:r>
              <w:rPr>
                <w:rFonts w:ascii="Aptos" w:hAnsi="Aptos" w:eastAsia="Noto Sans CJK SC"/>
                <w:b w:val="0"/>
                <w:color w:val="2E2E2E"/>
                <w:sz w:val="18"/>
              </w:rPr>
              <w:t>解释</w:t>
            </w:r>
          </w:p>
        </w:tc>
        <w:tc>
          <w:tcPr>
            <w:tcW w:type="dxa" w:w="360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AF6F0"/>
          </w:tcPr>
          <w:p>
            <w:pPr>
              <w:spacing w:before="0" w:after="0" w:line="276" w:lineRule="auto"/>
            </w:pPr>
            <w:r>
              <w:rPr>
                <w:rFonts w:ascii="Aptos" w:hAnsi="Aptos" w:eastAsia="Noto Sans CJK SC"/>
                <w:b w:val="0"/>
                <w:color w:val="2E2E2E"/>
                <w:sz w:val="18"/>
              </w:rPr>
              <w:t>说明游戏、游客或管理措施之一</w:t>
            </w:r>
          </w:p>
        </w:tc>
        <w:tc>
          <w:tcPr>
            <w:tcW w:type="dxa" w:w="460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AF6F0"/>
          </w:tcPr>
          <w:p>
            <w:pPr>
              <w:spacing w:before="0" w:after="0" w:line="276" w:lineRule="auto"/>
            </w:pPr>
            <w:r>
              <w:rPr>
                <w:rFonts w:ascii="Aptos" w:hAnsi="Aptos" w:eastAsia="Noto Sans CJK SC"/>
                <w:b w:val="0"/>
                <w:color w:val="2E2E2E"/>
                <w:sz w:val="18"/>
              </w:rPr>
              <w:t>解释“被看见—流量—保护—地方发展”的关系</w:t>
            </w:r>
          </w:p>
        </w:tc>
      </w:tr>
      <w:tr>
        <w:tc>
          <w:tcPr>
            <w:tcW w:type="dxa" w:w="144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 w:eastAsia="Noto Sans CJK SC"/>
                <w:b w:val="0"/>
                <w:color w:val="2E2E2E"/>
                <w:sz w:val="18"/>
              </w:rPr>
              <w:t>判断</w:t>
            </w:r>
          </w:p>
        </w:tc>
        <w:tc>
          <w:tcPr>
            <w:tcW w:type="dxa" w:w="360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 w:eastAsia="Noto Sans CJK SC"/>
                <w:b w:val="0"/>
                <w:color w:val="2E2E2E"/>
                <w:sz w:val="18"/>
              </w:rPr>
              <w:t>提出一个措施</w:t>
            </w:r>
          </w:p>
        </w:tc>
        <w:tc>
          <w:tcPr>
            <w:tcW w:type="dxa" w:w="460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 w:eastAsia="Noto Sans CJK SC"/>
                <w:b w:val="0"/>
                <w:color w:val="2E2E2E"/>
                <w:sz w:val="18"/>
              </w:rPr>
              <w:t>说明受益者、受影响者和一个潜在后果</w:t>
            </w:r>
          </w:p>
        </w:tc>
      </w:tr>
      <w:tr>
        <w:tc>
          <w:tcPr>
            <w:tcW w:type="dxa" w:w="144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AF6F0"/>
          </w:tcPr>
          <w:p>
            <w:pPr>
              <w:spacing w:before="0" w:after="0" w:line="276" w:lineRule="auto"/>
            </w:pPr>
            <w:r>
              <w:rPr>
                <w:rFonts w:ascii="Aptos" w:hAnsi="Aptos" w:eastAsia="Noto Sans CJK SC"/>
                <w:b w:val="0"/>
                <w:color w:val="2E2E2E"/>
                <w:sz w:val="18"/>
              </w:rPr>
              <w:t>比较</w:t>
            </w:r>
          </w:p>
        </w:tc>
        <w:tc>
          <w:tcPr>
            <w:tcW w:type="dxa" w:w="360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AF6F0"/>
          </w:tcPr>
          <w:p>
            <w:pPr>
              <w:spacing w:before="0" w:after="0" w:line="276" w:lineRule="auto"/>
            </w:pPr>
            <w:r>
              <w:rPr>
                <w:rFonts w:ascii="Aptos" w:hAnsi="Aptos" w:eastAsia="Noto Sans CJK SC"/>
                <w:b w:val="0"/>
                <w:color w:val="2E2E2E"/>
                <w:sz w:val="18"/>
              </w:rPr>
              <w:t>相似点或差异</w:t>
            </w:r>
          </w:p>
        </w:tc>
        <w:tc>
          <w:tcPr>
            <w:tcW w:type="dxa" w:w="460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AF6F0"/>
          </w:tcPr>
          <w:p>
            <w:pPr>
              <w:spacing w:before="0" w:after="0" w:line="276" w:lineRule="auto"/>
            </w:pPr>
            <w:r>
              <w:rPr>
                <w:rFonts w:ascii="Aptos" w:hAnsi="Aptos" w:eastAsia="Noto Sans CJK SC"/>
                <w:b w:val="0"/>
                <w:color w:val="2E2E2E"/>
                <w:sz w:val="18"/>
              </w:rPr>
              <w:t>相似＋差异＋类比边界</w:t>
            </w:r>
          </w:p>
        </w:tc>
      </w:tr>
      <w:tr>
        <w:tc>
          <w:tcPr>
            <w:tcW w:type="dxa" w:w="144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 w:eastAsia="Noto Sans CJK SC"/>
                <w:b w:val="0"/>
                <w:color w:val="2E2E2E"/>
                <w:sz w:val="18"/>
              </w:rPr>
              <w:t>中文</w:t>
            </w:r>
          </w:p>
        </w:tc>
        <w:tc>
          <w:tcPr>
            <w:tcW w:type="dxa" w:w="360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 w:eastAsia="Noto Sans CJK SC"/>
                <w:b w:val="0"/>
                <w:color w:val="2E2E2E"/>
                <w:sz w:val="18"/>
              </w:rPr>
              <w:t>连续话段</w:t>
            </w:r>
          </w:p>
        </w:tc>
        <w:tc>
          <w:tcPr>
            <w:tcW w:type="dxa" w:w="460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 w:eastAsia="Noto Sans CJK SC"/>
                <w:b w:val="0"/>
                <w:color w:val="2E2E2E"/>
                <w:sz w:val="18"/>
              </w:rPr>
              <w:t>能补充、自我修正和回应异议</w:t>
            </w:r>
          </w:p>
        </w:tc>
      </w:tr>
    </w:tbl>
    <w:p>
      <w:pPr>
        <w:pStyle w:val="Heading1"/>
      </w:pPr>
      <w:r>
        <w:t>八、更新与维护</w:t>
      </w:r>
    </w:p>
    <w:p>
      <w:pPr>
        <w:pStyle w:val="ListBullet"/>
        <w:spacing w:before="0" w:after="60" w:line="300" w:lineRule="auto"/>
        <w:ind w:left="259" w:hanging="173"/>
      </w:pPr>
      <w:r>
        <w:rPr>
          <w:rFonts w:ascii="Aptos" w:hAnsi="Aptos" w:eastAsia="Noto Sans CJK SC"/>
          <w:sz w:val="20"/>
        </w:rPr>
        <w:t>游客量、预约方式、开放安排、交通和服务等运行信息：每学期检查。</w:t>
      </w:r>
    </w:p>
    <w:p>
      <w:pPr>
        <w:pStyle w:val="ListBullet"/>
        <w:spacing w:before="0" w:after="60" w:line="300" w:lineRule="auto"/>
        <w:ind w:left="259" w:hanging="173"/>
      </w:pPr>
      <w:r>
        <w:rPr>
          <w:rFonts w:ascii="Aptos" w:hAnsi="Aptos" w:eastAsia="Noto Sans CJK SC"/>
          <w:sz w:val="20"/>
        </w:rPr>
        <w:t>小西天历史、文物本体与悬塑信息：每学年检查，并优先使用文博机构或政府资料。</w:t>
      </w:r>
    </w:p>
    <w:p>
      <w:pPr>
        <w:pStyle w:val="ListBullet"/>
        <w:spacing w:before="0" w:after="60" w:line="300" w:lineRule="auto"/>
        <w:ind w:left="259" w:hanging="173"/>
      </w:pPr>
      <w:r>
        <w:rPr>
          <w:rFonts w:ascii="Aptos" w:hAnsi="Aptos" w:eastAsia="Noto Sans CJK SC"/>
          <w:sz w:val="20"/>
        </w:rPr>
        <w:t>文保技术：每学年检查最新公开信息，作为“流量之后”的长期发展材料。</w:t>
      </w:r>
    </w:p>
    <w:p>
      <w:pPr>
        <w:pStyle w:val="ListBullet"/>
        <w:spacing w:before="0" w:after="60" w:line="300" w:lineRule="auto"/>
        <w:ind w:left="259" w:hanging="173"/>
      </w:pPr>
      <w:r>
        <w:rPr>
          <w:rFonts w:ascii="Aptos" w:hAnsi="Aptos" w:eastAsia="Noto Sans CJK SC"/>
          <w:sz w:val="20"/>
        </w:rPr>
        <w:t>NPS/UNESCO比较材料：每学年检查链接和政策状态，不把临时试点写成永久制度。</w:t>
      </w:r>
    </w:p>
    <w:p>
      <w:pPr>
        <w:pStyle w:val="ListBullet"/>
        <w:spacing w:before="0" w:after="60" w:line="300" w:lineRule="auto"/>
        <w:ind w:left="259" w:hanging="173"/>
      </w:pPr>
      <w:r>
        <w:rPr>
          <w:rFonts w:ascii="Aptos" w:hAnsi="Aptos" w:eastAsia="Noto Sans CJK SC"/>
          <w:sz w:val="20"/>
        </w:rPr>
        <w:t>学生阅读菜单保持低信息密度；教师库可以扩充，但新材料必须回到“古建—游戏—流量—治理—比较”的主线。</w:t>
      </w:r>
    </w:p>
    <w:sectPr w:rsidR="00FC693F" w:rsidRPr="0006063C" w:rsidSect="00034616">
      <w:footerReference w:type="default" r:id="rId9"/>
      <w:headerReference w:type="default" r:id="rId20"/>
      <w:pgSz w:w="12240" w:h="15840"/>
      <w:pgMar w:top="792" w:right="936" w:bottom="792" w:left="936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Noto Sans CJK SC"/>
        <w:color w:val="6A625B"/>
        <w:sz w:val="17"/>
      </w:rPr>
      <w:t>《黑神话：悟空》· 小西天主题 · 扩展阅读教师版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A53E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A53E2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B302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beijing.gov.cn/renwen/zt/gjdjbwg/yw/202512/t20251217_4347718.html" TargetMode="External"/><Relationship Id="rId11" Type="http://schemas.openxmlformats.org/officeDocument/2006/relationships/hyperlink" Target="https://wwj.hunan.gov.cn/wwj/c100310/c100311/202607/t20260706_34020374.html" TargetMode="External"/><Relationship Id="rId12" Type="http://schemas.openxmlformats.org/officeDocument/2006/relationships/hyperlink" Target="https://finance.people.com.cn/n1/2024/0822/c1004-40303633.html" TargetMode="External"/><Relationship Id="rId13" Type="http://schemas.openxmlformats.org/officeDocument/2006/relationships/hyperlink" Target="https://paper.people.com.cn/hwbwap/html/2024-09/04/content_26078569.htm" TargetMode="External"/><Relationship Id="rId14" Type="http://schemas.openxmlformats.org/officeDocument/2006/relationships/hyperlink" Target="https://www.zyshgzb.gov.cn/n1/2024/1017/c459563-40341254.html" TargetMode="External"/><Relationship Id="rId15" Type="http://schemas.openxmlformats.org/officeDocument/2006/relationships/hyperlink" Target="https://www.ctnews.com.cn/dongtai/content/2024-10/03/content_165621.html" TargetMode="External"/><Relationship Id="rId16" Type="http://schemas.openxmlformats.org/officeDocument/2006/relationships/hyperlink" Target="https://wjw.shanxi.gov.cn/xwzx/szyw/202606/t20260615_10146174.shtml" TargetMode="External"/><Relationship Id="rId17" Type="http://schemas.openxmlformats.org/officeDocument/2006/relationships/hyperlink" Target="https://visitorusemanagement.nps.gov/" TargetMode="External"/><Relationship Id="rId18" Type="http://schemas.openxmlformats.org/officeDocument/2006/relationships/hyperlink" Target="https://www.nps.gov/yose/getinvolved/visitoraccessmanagement.htm" TargetMode="External"/><Relationship Id="rId19" Type="http://schemas.openxmlformats.org/officeDocument/2006/relationships/hyperlink" Target="https://whc.unesco.org/en/sustainabletourismtoolkit/guide8/" TargetMode="External"/><Relationship Id="rId2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