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9674D">
      <w:pPr>
        <w:rPr>
          <w:rFonts w:ascii="Times New Roman" w:hAnsi="Times New Roman" w:eastAsia="黑体" w:cs="Times New Roman"/>
          <w:sz w:val="32"/>
          <w:szCs w:val="40"/>
          <w:lang w:val="en-US" w:eastAsia="zh-CN"/>
        </w:rPr>
      </w:pPr>
      <w:r>
        <w:rPr>
          <w:rFonts w:ascii="黑体" w:hAnsi="黑体" w:eastAsia="黑体" w:cs="黑体"/>
          <w:sz w:val="32"/>
          <w:szCs w:val="40"/>
          <w:lang w:val="en-US" w:eastAsia="zh-CN"/>
        </w:rPr>
        <w:t>附件</w:t>
      </w:r>
      <w:r>
        <w:rPr>
          <w:rFonts w:ascii="Times New Roman" w:hAnsi="Times New Roman" w:eastAsia="黑体" w:cs="Times New Roman"/>
          <w:sz w:val="32"/>
          <w:szCs w:val="40"/>
          <w:lang w:val="en-US" w:eastAsia="zh-CN"/>
        </w:rPr>
        <w:t>2</w:t>
      </w:r>
    </w:p>
    <w:p w14:paraId="3FE5F7B5">
      <w:pPr>
        <w:rPr>
          <w:rFonts w:ascii="Times New Roman" w:hAnsi="Times New Roman" w:eastAsia="黑体" w:cs="Times New Roman"/>
          <w:sz w:val="32"/>
          <w:szCs w:val="40"/>
          <w:lang w:val="en-US" w:eastAsia="zh-CN"/>
        </w:rPr>
      </w:pPr>
    </w:p>
    <w:p w14:paraId="0D2C1D2A">
      <w:pPr>
        <w:rPr>
          <w:rFonts w:ascii="Times New Roman" w:hAnsi="Times New Roman" w:eastAsia="黑体" w:cs="Times New Roman"/>
          <w:sz w:val="32"/>
          <w:szCs w:val="40"/>
          <w:lang w:val="en-US" w:eastAsia="zh-CN"/>
        </w:rPr>
      </w:pPr>
    </w:p>
    <w:p w14:paraId="002D52AC">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val="0"/>
          <w:bCs w:val="0"/>
          <w:sz w:val="40"/>
          <w:szCs w:val="48"/>
          <w:lang w:val="en-US" w:eastAsia="zh-CN"/>
        </w:rPr>
      </w:pPr>
    </w:p>
    <w:p w14:paraId="26FAD149">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val="0"/>
          <w:bCs w:val="0"/>
          <w:sz w:val="40"/>
          <w:szCs w:val="48"/>
          <w:lang w:eastAsia="zh-CN"/>
        </w:rPr>
      </w:pPr>
    </w:p>
    <w:p w14:paraId="274D10B9">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val="0"/>
          <w:bCs w:val="0"/>
          <w:sz w:val="40"/>
          <w:szCs w:val="48"/>
          <w:lang w:eastAsia="zh-CN"/>
        </w:rPr>
      </w:pPr>
    </w:p>
    <w:p w14:paraId="422682A4">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bCs/>
          <w:sz w:val="36"/>
          <w:szCs w:val="36"/>
        </w:rPr>
      </w:pPr>
      <w:r>
        <w:rPr>
          <w:rFonts w:ascii="华光大标宋_CNKI;宋体" w:hAnsi="华光大标宋_CNKI;宋体" w:eastAsia="华光大标宋_CNKI;宋体" w:cs="华光大标宋_CNKI;宋体"/>
          <w:b/>
          <w:bCs/>
          <w:sz w:val="36"/>
          <w:szCs w:val="36"/>
          <w:lang w:val="en-US" w:eastAsia="zh-CN"/>
        </w:rPr>
        <w:t>首届</w:t>
      </w:r>
      <w:r>
        <w:rPr>
          <w:rFonts w:ascii="华光大标宋_CNKI;宋体" w:hAnsi="华光大标宋_CNKI;宋体" w:eastAsia="华光大标宋_CNKI;宋体" w:cs="华光大标宋_CNKI;宋体"/>
          <w:b/>
          <w:bCs/>
          <w:sz w:val="36"/>
          <w:szCs w:val="36"/>
          <w:lang w:eastAsia="zh-CN"/>
        </w:rPr>
        <w:t>“</w:t>
      </w:r>
      <w:r>
        <w:rPr>
          <w:rFonts w:ascii="华光大标宋_CNKI;宋体" w:hAnsi="华光大标宋_CNKI;宋体" w:eastAsia="华光大标宋_CNKI;宋体" w:cs="华光大标宋_CNKI;宋体"/>
          <w:b/>
          <w:bCs/>
          <w:sz w:val="36"/>
          <w:szCs w:val="36"/>
          <w:lang w:val="en-US" w:eastAsia="zh-CN"/>
        </w:rPr>
        <w:t>北语社杯</w:t>
      </w:r>
      <w:r>
        <w:rPr>
          <w:rFonts w:ascii="华光大标宋_CNKI;宋体" w:hAnsi="华光大标宋_CNKI;宋体" w:eastAsia="华光大标宋_CNKI;宋体" w:cs="华光大标宋_CNKI;宋体"/>
          <w:b/>
          <w:bCs/>
          <w:sz w:val="36"/>
          <w:szCs w:val="36"/>
          <w:lang w:eastAsia="zh-CN"/>
        </w:rPr>
        <w:t>”</w:t>
      </w:r>
      <w:r>
        <w:rPr>
          <w:rFonts w:ascii="Times New Roman" w:hAnsi="Times New Roman" w:eastAsia="华光大标宋_CNKI;宋体" w:cs="Times New Roman"/>
          <w:b/>
          <w:bCs/>
          <w:sz w:val="36"/>
          <w:szCs w:val="36"/>
        </w:rPr>
        <w:t>GAI</w:t>
      </w:r>
      <w:r>
        <w:rPr>
          <w:rFonts w:ascii="华光大标宋_CNKI;宋体" w:hAnsi="华光大标宋_CNKI;宋体" w:eastAsia="华光大标宋_CNKI;宋体" w:cs="华光大标宋_CNKI;宋体"/>
          <w:b/>
          <w:bCs/>
          <w:sz w:val="36"/>
          <w:szCs w:val="36"/>
        </w:rPr>
        <w:t>赋能国际中文教育案例大赛</w:t>
      </w:r>
    </w:p>
    <w:p w14:paraId="381DFDC3">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bCs/>
          <w:sz w:val="36"/>
          <w:szCs w:val="36"/>
          <w:lang w:val="en-US" w:eastAsia="zh-CN"/>
        </w:rPr>
      </w:pPr>
      <w:r>
        <w:rPr>
          <w:rFonts w:ascii="华光大标宋_CNKI;宋体" w:hAnsi="华光大标宋_CNKI;宋体" w:eastAsia="华光大标宋_CNKI;宋体" w:cs="华光大标宋_CNKI;宋体"/>
          <w:b/>
          <w:bCs/>
          <w:sz w:val="36"/>
          <w:szCs w:val="36"/>
          <w:lang w:val="en-US" w:eastAsia="zh-CN"/>
        </w:rPr>
        <w:t>参赛作品说明</w:t>
      </w:r>
    </w:p>
    <w:p w14:paraId="6B03EBE6">
      <w:pPr>
        <w:jc w:val="center"/>
        <w:rPr>
          <w:rFonts w:ascii="华光大标宋_CNKI;宋体" w:hAnsi="华光大标宋_CNKI;宋体" w:eastAsia="华光大标宋_CNKI;宋体" w:cs="华光大标宋_CNKI;宋体"/>
          <w:b w:val="0"/>
          <w:bCs w:val="0"/>
          <w:sz w:val="40"/>
          <w:szCs w:val="48"/>
          <w:lang w:val="en-US" w:eastAsia="zh-CN"/>
        </w:rPr>
      </w:pPr>
    </w:p>
    <w:p w14:paraId="32297943">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2423FBF1">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29C2FB4">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17BD8F0F">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0F46818E">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46733A3">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1C2FAC49">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50C5B96">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5AAA6D9A">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603C214">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07BA56F4">
      <w:pPr>
        <w:jc w:val="center"/>
        <w:rPr>
          <w:rFonts w:ascii="Times New Roman" w:hAnsi="Times New Roman" w:eastAsia="黑体" w:cs="Times New Roman"/>
          <w:sz w:val="24"/>
          <w:szCs w:val="32"/>
          <w:lang w:val="en-US" w:eastAsia="zh-CN"/>
        </w:rPr>
      </w:pPr>
      <w:r>
        <w:rPr>
          <w:rFonts w:ascii="Times New Roman" w:hAnsi="Times New Roman" w:eastAsia="黑体" w:cs="Times New Roman"/>
          <w:sz w:val="24"/>
          <w:szCs w:val="32"/>
          <w:lang w:val="en-US" w:eastAsia="zh-CN"/>
        </w:rPr>
        <w:t>2026年6月11日</w:t>
      </w:r>
    </w:p>
    <w:p w14:paraId="60542223">
      <w:pPr>
        <w:jc w:val="center"/>
        <w:rPr>
          <w:rFonts w:ascii="Times New Roman" w:hAnsi="Times New Roman" w:eastAsia="黑体" w:cs="Times New Roman"/>
          <w:sz w:val="24"/>
          <w:szCs w:val="32"/>
          <w:lang w:val="en-US" w:eastAsia="zh-CN"/>
        </w:rPr>
      </w:pPr>
    </w:p>
    <w:p w14:paraId="0D987EBD">
      <w:pPr>
        <w:keepNext w:val="0"/>
        <w:keepLines w:val="0"/>
        <w:pageBreakBefore w:val="0"/>
        <w:widowControl w:val="0"/>
        <w:kinsoku/>
        <w:overflowPunct/>
        <w:autoSpaceDE/>
        <w:bidi w:val="0"/>
        <w:snapToGrid/>
        <w:spacing w:before="0" w:after="0" w:line="300" w:lineRule="auto"/>
        <w:jc w:val="center"/>
        <w:textAlignment w:val="auto"/>
        <w:rPr>
          <w:rFonts w:hint="eastAsia" w:ascii="Times New Roman" w:hAnsi="Times New Roman" w:eastAsia="黑体" w:cs="Times New Roman"/>
          <w:b w:val="0"/>
          <w:sz w:val="32"/>
          <w:lang w:val="en-US" w:eastAsia="zh-CN"/>
        </w:rPr>
      </w:pPr>
      <w:r>
        <w:rPr>
          <w:rFonts w:ascii="Times New Roman" w:hAnsi="Times New Roman" w:eastAsia="黑体" w:cs="Times New Roman"/>
          <w:b w:val="0"/>
          <w:sz w:val="32"/>
        </w:rPr>
        <w:t>案例名称：</w:t>
      </w:r>
      <w:r>
        <w:rPr>
          <w:rFonts w:hint="eastAsia" w:ascii="Times New Roman" w:hAnsi="Times New Roman" w:eastAsia="黑体" w:cs="Times New Roman"/>
          <w:b w:val="0"/>
          <w:sz w:val="32"/>
        </w:rPr>
        <w:t>真实</w:t>
      </w:r>
      <w:r>
        <w:rPr>
          <w:rFonts w:hint="eastAsia" w:ascii="Times New Roman" w:hAnsi="Times New Roman" w:eastAsia="黑体" w:cs="Times New Roman"/>
          <w:b w:val="0"/>
          <w:sz w:val="32"/>
          <w:lang w:val="en-US" w:eastAsia="zh-CN"/>
        </w:rPr>
        <w:t>语料</w:t>
      </w:r>
      <w:r>
        <w:rPr>
          <w:rFonts w:hint="eastAsia" w:ascii="Times New Roman" w:hAnsi="Times New Roman" w:eastAsia="黑体" w:cs="Times New Roman"/>
          <w:b w:val="0"/>
          <w:sz w:val="32"/>
        </w:rPr>
        <w:t>的教学化转化</w:t>
      </w:r>
      <w:r>
        <w:rPr>
          <w:rFonts w:hint="eastAsia" w:ascii="Times New Roman" w:hAnsi="Times New Roman" w:eastAsia="黑体" w:cs="Times New Roman"/>
          <w:b w:val="0"/>
          <w:sz w:val="32"/>
          <w:lang w:eastAsia="zh-CN"/>
        </w:rPr>
        <w:t>——</w:t>
      </w:r>
      <w:r>
        <w:rPr>
          <w:rFonts w:hint="eastAsia" w:ascii="Times New Roman" w:hAnsi="Times New Roman" w:eastAsia="黑体" w:cs="Times New Roman"/>
          <w:b w:val="0"/>
          <w:sz w:val="32"/>
        </w:rPr>
        <w:t>GAI支持的中国治沙故事听说教学</w:t>
      </w:r>
    </w:p>
    <w:p w14:paraId="342D1069">
      <w:pPr>
        <w:keepNext w:val="0"/>
        <w:keepLines w:val="0"/>
        <w:pageBreakBefore w:val="0"/>
        <w:widowControl w:val="0"/>
        <w:kinsoku/>
        <w:overflowPunct/>
        <w:autoSpaceDE/>
        <w:bidi w:val="0"/>
        <w:snapToGrid/>
        <w:spacing w:line="300" w:lineRule="auto"/>
        <w:jc w:val="center"/>
        <w:textAlignment w:val="auto"/>
        <w:rPr>
          <w:rFonts w:ascii="黑体" w:hAnsi="黑体" w:eastAsia="黑体" w:cs="黑体"/>
          <w:b w:val="0"/>
          <w:bCs w:val="0"/>
          <w:color w:val="FF0000"/>
          <w:sz w:val="21"/>
          <w:szCs w:val="24"/>
          <w:lang w:val="en-US" w:eastAsia="zh-CN"/>
        </w:rPr>
      </w:pPr>
    </w:p>
    <w:p w14:paraId="0A8D1A29">
      <w:pPr>
        <w:keepNext w:val="0"/>
        <w:keepLines w:val="0"/>
        <w:pageBreakBefore w:val="0"/>
        <w:widowControl w:val="0"/>
        <w:kinsoku/>
        <w:overflowPunct/>
        <w:autoSpaceDE/>
        <w:bidi w:val="0"/>
        <w:snapToGrid/>
        <w:spacing w:line="300" w:lineRule="auto"/>
        <w:jc w:val="center"/>
        <w:textAlignment w:val="auto"/>
        <w:rPr>
          <w:rFonts w:ascii="黑体" w:hAnsi="黑体" w:eastAsia="黑体" w:cs="黑体"/>
          <w:b w:val="0"/>
          <w:bCs w:val="0"/>
          <w:color w:val="FF0000"/>
          <w:sz w:val="21"/>
          <w:szCs w:val="24"/>
          <w:lang w:val="en-US" w:eastAsia="zh-CN"/>
        </w:rPr>
      </w:pPr>
      <w:r>
        <w:rPr>
          <w:rFonts w:ascii="黑体" w:hAnsi="黑体" w:eastAsia="黑体" w:cs="黑体"/>
          <w:b w:val="0"/>
          <w:bCs w:val="0"/>
          <w:color w:val="FF0000"/>
          <w:sz w:val="21"/>
          <w:szCs w:val="24"/>
          <w:lang w:val="en-US" w:eastAsia="zh-CN"/>
        </w:rPr>
        <w:t>（特别提示:参赛作品说明内容请不要包含任何个人信息，如涉及姓名、</w:t>
      </w:r>
    </w:p>
    <w:p w14:paraId="0FD0BEEE">
      <w:pPr>
        <w:keepNext w:val="0"/>
        <w:keepLines w:val="0"/>
        <w:pageBreakBefore w:val="0"/>
        <w:widowControl w:val="0"/>
        <w:kinsoku/>
        <w:overflowPunct/>
        <w:autoSpaceDE/>
        <w:bidi w:val="0"/>
        <w:snapToGrid/>
        <w:spacing w:line="300" w:lineRule="auto"/>
        <w:jc w:val="center"/>
        <w:textAlignment w:val="auto"/>
        <w:rPr>
          <w:rFonts w:ascii="黑体" w:hAnsi="黑体" w:eastAsia="黑体" w:cs="黑体"/>
          <w:b w:val="0"/>
          <w:bCs w:val="0"/>
          <w:color w:val="FF0000"/>
          <w:sz w:val="21"/>
          <w:szCs w:val="24"/>
          <w:lang w:val="en-US" w:eastAsia="zh-CN"/>
        </w:rPr>
      </w:pPr>
      <w:r>
        <w:rPr>
          <w:rFonts w:ascii="黑体" w:hAnsi="黑体" w:eastAsia="黑体" w:cs="黑体"/>
          <w:b w:val="0"/>
          <w:bCs w:val="0"/>
          <w:color w:val="FF0000"/>
          <w:sz w:val="21"/>
          <w:szCs w:val="24"/>
          <w:lang w:val="en-US" w:eastAsia="zh-CN"/>
        </w:rPr>
        <w:t>单位等信息请用“</w:t>
      </w:r>
      <w:r>
        <w:rPr>
          <w:rFonts w:ascii="Times New Roman" w:hAnsi="Times New Roman" w:eastAsia="黑体" w:cs="Times New Roman"/>
          <w:b w:val="0"/>
          <w:bCs w:val="0"/>
          <w:color w:val="FF0000"/>
          <w:sz w:val="21"/>
          <w:szCs w:val="24"/>
          <w:lang w:val="en-US" w:eastAsia="zh-CN"/>
        </w:rPr>
        <w:t>XXX</w:t>
      </w:r>
      <w:r>
        <w:rPr>
          <w:rFonts w:ascii="黑体" w:hAnsi="黑体" w:eastAsia="黑体" w:cs="黑体"/>
          <w:b w:val="0"/>
          <w:bCs w:val="0"/>
          <w:color w:val="FF0000"/>
          <w:sz w:val="21"/>
          <w:szCs w:val="24"/>
          <w:lang w:val="en-US" w:eastAsia="zh-CN"/>
        </w:rPr>
        <w:t>”代替。）</w:t>
      </w:r>
    </w:p>
    <w:p w14:paraId="3B101F06">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sz w:val="28"/>
          <w:szCs w:val="36"/>
          <w:lang w:val="en-US" w:eastAsia="zh-CN"/>
        </w:rPr>
      </w:pPr>
      <w:r>
        <w:rPr>
          <w:rFonts w:ascii="黑体" w:hAnsi="黑体" w:eastAsia="黑体" w:cs="黑体"/>
          <w:b w:val="0"/>
          <w:bCs w:val="0"/>
          <w:kern w:val="2"/>
          <w:sz w:val="28"/>
          <w:szCs w:val="36"/>
          <w:lang w:val="en-US" w:eastAsia="zh-CN" w:bidi="ar-SA"/>
        </w:rPr>
        <w:t>一、案例背景</w:t>
      </w:r>
    </w:p>
    <w:p w14:paraId="649FF1C7">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rPr>
        <w:t>（一）</w:t>
      </w:r>
      <w:r>
        <w:rPr>
          <w:rFonts w:ascii="宋体" w:hAnsi="宋体" w:cs="宋体"/>
          <w:sz w:val="21"/>
          <w:szCs w:val="21"/>
          <w:lang w:val="en-US" w:eastAsia="zh-CN"/>
        </w:rPr>
        <w:t>教学痛难点</w:t>
      </w:r>
    </w:p>
    <w:p w14:paraId="3DB1316D">
      <w:pPr>
        <w:spacing w:before="0" w:after="0" w:line="360" w:lineRule="auto"/>
        <w:ind w:left="0" w:right="0" w:firstLine="420"/>
        <w:jc w:val="both"/>
        <w:rPr>
          <w:rFonts w:hint="eastAsia" w:ascii="宋体" w:hAnsi="宋体" w:eastAsia="宋体" w:cs="宋体"/>
          <w:b w:val="0"/>
          <w:i w:val="0"/>
          <w:sz w:val="21"/>
        </w:rPr>
      </w:pPr>
      <w:r>
        <w:rPr>
          <w:rFonts w:hint="eastAsia" w:ascii="宋体" w:hAnsi="宋体" w:eastAsia="宋体" w:cs="宋体"/>
          <w:b w:val="0"/>
          <w:i w:val="0"/>
          <w:sz w:val="21"/>
        </w:rPr>
        <w:t>中高级中文教学的重要任务之一，是推动学习者从教材语言走向真实语言使用，并逐步形成理解和表达当代中国社会文化内容的能力。真实</w:t>
      </w:r>
      <w:r>
        <w:rPr>
          <w:rFonts w:hint="eastAsia" w:ascii="宋体" w:hAnsi="宋体" w:cs="宋体"/>
          <w:b w:val="0"/>
          <w:i w:val="0"/>
          <w:sz w:val="21"/>
          <w:lang w:val="en-US" w:eastAsia="zh-CN"/>
        </w:rPr>
        <w:t>语料</w:t>
      </w:r>
      <w:r>
        <w:rPr>
          <w:rFonts w:hint="default" w:ascii="Times New Roman" w:hAnsi="Times New Roman" w:eastAsia="宋体" w:cs="Times New Roman"/>
          <w:b w:val="0"/>
          <w:i w:val="0"/>
          <w:sz w:val="21"/>
          <w:lang w:val="en-US" w:eastAsia="zh-CN"/>
        </w:rPr>
        <w:t>（authentic materials）</w:t>
      </w:r>
      <w:r>
        <w:rPr>
          <w:rFonts w:hint="eastAsia" w:ascii="宋体" w:hAnsi="宋体" w:eastAsia="宋体" w:cs="宋体"/>
          <w:b w:val="0"/>
          <w:i w:val="0"/>
          <w:sz w:val="21"/>
        </w:rPr>
        <w:t>能够提供鲜活的语言与社会文化信息，但自然语速、专名、数字、复杂句式和较高的信息密度容易增加理解负荷；学习者对相关背景了解有限时，还可能难以建立人物、时间、事件及因果关系。</w:t>
      </w:r>
      <w:r>
        <w:rPr>
          <w:rFonts w:hint="eastAsia" w:ascii="宋体" w:hAnsi="宋体" w:cs="宋体"/>
          <w:b w:val="0"/>
          <w:i w:val="0"/>
          <w:sz w:val="21"/>
          <w:lang w:val="en-US" w:eastAsia="zh-CN"/>
        </w:rPr>
        <w:t>此外，</w:t>
      </w:r>
      <w:r>
        <w:rPr>
          <w:rFonts w:hint="eastAsia" w:ascii="宋体" w:hAnsi="宋体" w:eastAsia="宋体" w:cs="宋体"/>
          <w:b w:val="0"/>
          <w:i w:val="0"/>
          <w:sz w:val="21"/>
        </w:rPr>
        <w:t>中高级学习者虽已具备一定的连续表达能力，但面向特定受众重新讲述新闻事件时，仍需处理事实取舍、时间组织、因果衔接、背景解释和受众适配等问题。因此</w:t>
      </w:r>
      <w:r>
        <w:rPr>
          <w:rFonts w:hint="eastAsia" w:ascii="宋体" w:hAnsi="宋体" w:cs="宋体"/>
          <w:b w:val="0"/>
          <w:i w:val="0"/>
          <w:sz w:val="21"/>
          <w:lang w:eastAsia="zh-CN"/>
        </w:rPr>
        <w:t>，</w:t>
      </w:r>
      <w:r>
        <w:rPr>
          <w:rFonts w:hint="eastAsia" w:ascii="宋体" w:hAnsi="宋体" w:eastAsia="宋体" w:cs="宋体"/>
          <w:b w:val="0"/>
          <w:i w:val="0"/>
          <w:sz w:val="21"/>
        </w:rPr>
        <w:t>真实语料教学需要引导学习者完成从信息理解、关系重组到面向受众表达的连续过程。这一过程同时增加了教学实施成本。教师需要持续完成材料筛选、事实核查、语言适级、背景补充、任务设计和反馈评价，有限课时又需保证既定课程进度。不同学习者所需支持也不相同，有的需要语速、词汇等语言支架，有的需要时间线和背景信息，有的需要表达组织和个别反馈。如何在有限课时内持续引入真实材料，并提供差异化支持和充分的语言实践，是中高级中文听说教学面临的主要问题。</w:t>
      </w:r>
    </w:p>
    <w:p w14:paraId="4BE4EBDA">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（二）引入</w:t>
      </w:r>
      <w:r>
        <w:rPr>
          <w:rFonts w:ascii="Times New Roman" w:hAnsi="Times New Roman" w:eastAsia="宋体" w:cs="Times New Roman"/>
          <w:sz w:val="21"/>
          <w:szCs w:val="21"/>
          <w:lang w:val="en-US" w:eastAsia="zh-CN"/>
        </w:rPr>
        <w:t>GAI</w:t>
      </w:r>
      <w:r>
        <w:rPr>
          <w:rFonts w:ascii="宋体" w:hAnsi="宋体" w:cs="宋体"/>
          <w:sz w:val="21"/>
          <w:szCs w:val="21"/>
          <w:lang w:val="en-US" w:eastAsia="zh-CN"/>
        </w:rPr>
        <w:t>的必要性与可行性</w:t>
      </w:r>
    </w:p>
    <w:p w14:paraId="4F593DF5">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Times New Roman" w:hAnsi="Times New Roman" w:eastAsia="宋体" w:cs="Times New Roman"/>
          <w:sz w:val="21"/>
          <w:szCs w:val="21"/>
          <w:lang w:val="en-US" w:eastAsia="zh-CN"/>
        </w:rPr>
      </w:pPr>
      <w:r>
        <w:rPr>
          <w:rFonts w:ascii="Times New Roman" w:hAnsi="Times New Roman" w:cs="Times New Roman"/>
          <w:sz w:val="21"/>
          <w:szCs w:val="21"/>
          <w:lang w:val="en-US" w:eastAsia="zh-CN"/>
        </w:rPr>
        <w:t>（</w:t>
      </w:r>
      <w:r>
        <w:rPr>
          <w:rFonts w:ascii="Times New Roman" w:hAnsi="Times New Roman" w:eastAsia="宋体" w:cs="Times New Roman"/>
          <w:sz w:val="21"/>
          <w:szCs w:val="21"/>
          <w:lang w:val="en-US" w:eastAsia="zh-CN"/>
        </w:rPr>
        <w:t>1</w:t>
      </w:r>
      <w:r>
        <w:rPr>
          <w:rFonts w:ascii="Times New Roman" w:hAnsi="Times New Roman" w:cs="Times New Roman"/>
          <w:sz w:val="21"/>
          <w:szCs w:val="21"/>
          <w:lang w:val="en-US" w:eastAsia="zh-CN"/>
        </w:rPr>
        <w:t>）必要性</w:t>
      </w:r>
    </w:p>
    <w:p w14:paraId="28741F43">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真实材料需要持续更新和教学加工，不同学习者对语速、词汇、背景信息和表达反馈的需求又存在差异。依靠固定课程资源和教师有限的课外投入，难以同时满足真实材料持续进入课程和个别化学习支持的需要。GAI具有即时生成和动态调整能力，可以辅助完成材料加工，并根据学习者需要提供不同程度的语言、内容和反馈支持，将部分个别化学习延伸至课外。因此，引入GAI能够提高真实材料持续开发的可行性，并为共同目标下的差异化学习和反复口语实践提供支持。</w:t>
      </w:r>
    </w:p>
    <w:p w14:paraId="56928967">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（2）可行性</w:t>
      </w:r>
    </w:p>
    <w:p w14:paraId="1C7659C5">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本案例具有较好的课程与技术基础。中高级学习者已具备自主学习和连续表达能力，课后延伸练习无需改变既有课程主线；生成式人工智能、语音合成、语音转写和网页交互等现有技术能够支持材料加工、按需支架和形成性反馈，无需另行训练模型或配置专门设备。同时，GAI仅用于辅助性环节，新闻事实、语言适级、国情解释、任务目标和正式评价均由教师审核或确定；核心材料与基本任务不依赖实时生成，即使出现生成偏差、转写错误或接口异常，学习活动仍可继续实施。</w:t>
      </w:r>
    </w:p>
    <w:p w14:paraId="310F468D">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二、设计思路与目标</w:t>
      </w:r>
    </w:p>
    <w:p w14:paraId="6953A603">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ascii="宋体" w:hAnsi="宋体" w:eastAsia="宋体" w:cs="宋体"/>
          <w:sz w:val="21"/>
          <w:szCs w:val="21"/>
          <w:lang w:val="en-US" w:eastAsia="zh-CN"/>
        </w:rPr>
      </w:pPr>
      <w:r>
        <w:rPr>
          <w:rFonts w:ascii="宋体" w:hAnsi="宋体" w:cs="宋体"/>
          <w:sz w:val="21"/>
          <w:szCs w:val="21"/>
        </w:rPr>
        <w:t>（一）整体设计理念</w:t>
      </w:r>
      <w:r>
        <w:rPr>
          <w:rFonts w:hint="eastAsia" w:ascii="宋体" w:hAnsi="宋体" w:cs="宋体"/>
          <w:sz w:val="21"/>
          <w:szCs w:val="21"/>
          <w:lang w:eastAsia="zh-CN"/>
        </w:rPr>
        <w:t>（</w:t>
      </w:r>
      <w:r>
        <w:rPr>
          <w:rFonts w:hint="eastAsia" w:ascii="楷体" w:hAnsi="楷体" w:eastAsia="楷体" w:cs="楷体"/>
          <w:sz w:val="21"/>
          <w:szCs w:val="21"/>
        </w:rPr>
        <w:t>明确案例核心思路，</w:t>
      </w:r>
      <w:r>
        <w:rPr>
          <w:rFonts w:hint="eastAsia" w:ascii="楷体" w:hAnsi="楷体" w:eastAsia="楷体" w:cs="楷体"/>
          <w:sz w:val="21"/>
          <w:szCs w:val="21"/>
          <w:lang w:val="en-US" w:eastAsia="zh-CN"/>
        </w:rPr>
        <w:t>例如：</w:t>
      </w:r>
      <w:r>
        <w:rPr>
          <w:rFonts w:hint="eastAsia" w:ascii="楷体" w:hAnsi="楷体" w:eastAsia="楷体" w:cs="楷体"/>
          <w:sz w:val="21"/>
          <w:szCs w:val="21"/>
        </w:rPr>
        <w:t>以学生为中心、因材施教、技术融合教学、本土化适配等核心理念</w:t>
      </w:r>
      <w:r>
        <w:rPr>
          <w:rFonts w:hint="eastAsia" w:ascii="楷体" w:hAnsi="楷体" w:eastAsia="楷体" w:cs="楷体"/>
          <w:sz w:val="21"/>
          <w:szCs w:val="21"/>
          <w:lang w:eastAsia="zh-CN"/>
        </w:rPr>
        <w:t>。</w:t>
      </w:r>
      <w:r>
        <w:rPr>
          <w:rFonts w:hint="eastAsia" w:ascii="宋体" w:hAnsi="宋体" w:cs="宋体"/>
          <w:sz w:val="21"/>
          <w:szCs w:val="21"/>
          <w:lang w:eastAsia="zh-CN"/>
        </w:rPr>
        <w:t>）</w:t>
      </w:r>
    </w:p>
    <w:p w14:paraId="0DCD7774">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本案例以反向设计为总体框架，从“面向美国受众讲述当代中国治沙故事”的最终表现任务出发，确定学习目标、评价证据和学习活动，形成“听懂—重组—讲述—反馈—再讲述”的任务</w:t>
      </w:r>
      <w:r>
        <w:rPr>
          <w:rFonts w:hint="eastAsia" w:ascii="Times New Roman" w:hAnsi="Times New Roman" w:cs="Times New Roman"/>
          <w:b w:val="0"/>
          <w:i w:val="0"/>
          <w:sz w:val="21"/>
          <w:lang w:val="en-US" w:eastAsia="zh-CN"/>
        </w:rPr>
        <w:t>链条。</w:t>
      </w:r>
      <w:r>
        <w:rPr>
          <w:rFonts w:hint="eastAsia" w:ascii="Times New Roman" w:hAnsi="Times New Roman" w:eastAsia="宋体" w:cs="Times New Roman"/>
          <w:b w:val="0"/>
          <w:i w:val="0"/>
          <w:sz w:val="21"/>
        </w:rPr>
        <w:t>设计的核心创新是将GAI嵌入真实材料的教学转化与学习过程。真实新闻经过事实核查、语言适级和背景补充后，被转化为理解、分析、评价和表达相衔接的学习任务，引导学习者在理解当代中国真实事件的基础上，面向具体受众组织和讲述中国故事。学习过程遵循“共同目标、按需支架”的差异化原则。GAI根据学习需要提供材料加工、学习支架和形成性反馈，并将个别化练习延伸至课外；学习者对反馈进行判断并通过再次表达完成调整。教师负责事实核查、语言适级、国情解释和正式评价，形成以教师专业判断为主导、GAI提供动态支持的人机协同模式。</w:t>
      </w:r>
    </w:p>
    <w:p w14:paraId="48BCAEFD">
      <w:pPr>
        <w:keepNext w:val="0"/>
        <w:keepLines w:val="0"/>
        <w:pageBreakBefore w:val="0"/>
        <w:widowControl w:val="0"/>
        <w:numPr>
          <w:ilvl w:val="0"/>
          <w:numId w:val="2"/>
        </w:numPr>
        <w:kinsoku/>
        <w:wordWrap/>
        <w:overflowPunct/>
        <w:topLinePunct w:val="0"/>
        <w:autoSpaceDE/>
        <w:autoSpaceDN/>
        <w:bidi w:val="0"/>
        <w:adjustRightInd/>
        <w:snapToGrid/>
        <w:spacing w:line="480" w:lineRule="auto"/>
        <w:jc w:val="both"/>
        <w:textAlignment w:val="auto"/>
        <w:rPr>
          <w:rFonts w:hint="eastAsia" w:ascii="宋体" w:hAnsi="宋体" w:cs="宋体"/>
          <w:sz w:val="21"/>
          <w:szCs w:val="21"/>
          <w:lang w:val="en-US" w:eastAsia="zh-CN"/>
        </w:rPr>
      </w:pPr>
      <w:r>
        <w:rPr>
          <w:rFonts w:ascii="宋体" w:hAnsi="宋体" w:cs="宋体"/>
          <w:sz w:val="21"/>
          <w:szCs w:val="21"/>
          <w:lang w:val="en-US" w:eastAsia="zh-CN"/>
        </w:rPr>
        <w:t>整体实施目标</w:t>
      </w:r>
      <w:r>
        <w:rPr>
          <w:rFonts w:hint="eastAsia" w:ascii="宋体" w:hAnsi="宋体" w:cs="宋体"/>
          <w:sz w:val="21"/>
          <w:szCs w:val="21"/>
          <w:lang w:val="en-US" w:eastAsia="zh-CN"/>
        </w:rPr>
        <w:t>（</w:t>
      </w:r>
      <w:r>
        <w:rPr>
          <w:rFonts w:hint="eastAsia" w:ascii="楷体" w:hAnsi="楷体" w:eastAsia="楷体" w:cs="楷体"/>
          <w:sz w:val="21"/>
          <w:szCs w:val="21"/>
          <w:lang w:val="en-US" w:eastAsia="zh-CN"/>
        </w:rPr>
        <w:t>可从</w:t>
      </w:r>
      <w:r>
        <w:rPr>
          <w:rFonts w:hint="eastAsia" w:ascii="楷体" w:hAnsi="楷体" w:eastAsia="楷体" w:cs="楷体"/>
          <w:sz w:val="21"/>
          <w:szCs w:val="21"/>
        </w:rPr>
        <w:t>短期目标</w:t>
      </w:r>
      <w:r>
        <w:rPr>
          <w:rFonts w:hint="eastAsia" w:ascii="楷体" w:hAnsi="楷体" w:eastAsia="楷体" w:cs="楷体"/>
          <w:sz w:val="21"/>
          <w:szCs w:val="21"/>
          <w:lang w:val="en-US" w:eastAsia="zh-CN"/>
        </w:rPr>
        <w:t>、</w:t>
      </w:r>
      <w:r>
        <w:rPr>
          <w:rFonts w:hint="eastAsia" w:ascii="楷体" w:hAnsi="楷体" w:eastAsia="楷体" w:cs="楷体"/>
          <w:sz w:val="21"/>
          <w:szCs w:val="21"/>
        </w:rPr>
        <w:t>长期目标</w:t>
      </w:r>
      <w:r>
        <w:rPr>
          <w:rFonts w:hint="eastAsia" w:ascii="楷体" w:hAnsi="楷体" w:eastAsia="楷体" w:cs="楷体"/>
          <w:sz w:val="21"/>
          <w:szCs w:val="21"/>
          <w:lang w:val="en-US" w:eastAsia="zh-CN"/>
        </w:rPr>
        <w:t>等不同层次分别说明。</w:t>
      </w:r>
      <w:r>
        <w:rPr>
          <w:rFonts w:hint="eastAsia" w:ascii="宋体" w:hAnsi="宋体" w:cs="宋体"/>
          <w:sz w:val="21"/>
          <w:szCs w:val="21"/>
          <w:lang w:val="en-US" w:eastAsia="zh-CN"/>
        </w:rPr>
        <w:t>）</w:t>
      </w:r>
    </w:p>
    <w:p w14:paraId="79C091E7">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本案例的实施目标分为单元学习目标和长期建设目标两个层次。</w:t>
      </w:r>
    </w:p>
    <w:p w14:paraId="7D5894E5">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1. 单元学习目标</w:t>
      </w:r>
    </w:p>
    <w:p w14:paraId="2307C741">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完成本次课后学习任务后，学习者能够：</w:t>
      </w:r>
    </w:p>
    <w:p w14:paraId="5D66F5B5">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（1）理解信息。概括治沙故事主旨，识别至少3个关键时间节点，并在9道主旨与细节题中至少答对7道。</w:t>
      </w:r>
    </w:p>
    <w:p w14:paraId="480B0E80">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（2）分析关系。结合新闻材料和国情信息，说明5000美元、5万多棵树与长期治沙行动之间的关系，并选择至少2项相关背景解释治沙条件及其变化。</w:t>
      </w:r>
    </w:p>
    <w:p w14:paraId="20319FBD">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（3）评价信息。发现片面标题中至少2处涉及时间、主体或因果关系的问题，并依据事实提出修改。</w:t>
      </w:r>
    </w:p>
    <w:p w14:paraId="77CB06DF">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（4）完成讲述。面向所选美国受众完成60—90秒连续表达，准确组织至少3个事实和3个时间节点，使用至少2项相关背景，并根据受众知识基础调整信息顺序或解释方式。</w:t>
      </w:r>
    </w:p>
    <w:p w14:paraId="6DCC9C6C">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（5）判断AI反馈。对至少1条GAI建议进行事实、任务和受众适切性判断，说明采用、修改或放弃的理由，并在第二次表达中体现相应调整。</w:t>
      </w:r>
    </w:p>
    <w:p w14:paraId="5E6B5E09">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2. 长期建设目标</w:t>
      </w:r>
    </w:p>
    <w:p w14:paraId="64DA93CC">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default" w:ascii="Times New Roman" w:hAnsi="Times New Roman" w:eastAsia="宋体" w:cs="Times New Roman"/>
          <w:b w:val="0"/>
          <w:i w:val="0"/>
          <w:sz w:val="21"/>
          <w:lang w:val="en-US" w:eastAsia="zh-CN"/>
        </w:rPr>
        <w:t>建立可持续的真实材料教学转化机制，将新闻筛选、事实核查、语言适级、背景补充、任务设计和学习支持形成稳定流程，持续开发适合中高级中文学习者的当代中国听说资源。逐步积累可复用的材料与任务模板，并推广至新闻汉语、当代中国专题课等课程，为真实材料持续进入国际中文教学提供可复制的实践模式。</w:t>
      </w:r>
    </w:p>
    <w:p w14:paraId="1022DC5D">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ascii="宋体" w:hAnsi="宋体" w:cs="宋体"/>
          <w:sz w:val="21"/>
          <w:szCs w:val="21"/>
          <w:lang w:val="en-US" w:eastAsia="zh-CN"/>
        </w:rPr>
      </w:pPr>
      <w:r>
        <w:rPr>
          <w:rFonts w:ascii="宋体" w:hAnsi="宋体" w:cs="宋体"/>
          <w:sz w:val="21"/>
          <w:szCs w:val="21"/>
        </w:rPr>
        <w:t>（三）适用范围边界</w:t>
      </w:r>
      <w:r>
        <w:rPr>
          <w:rFonts w:hint="eastAsia" w:ascii="宋体" w:hAnsi="宋体" w:cs="宋体"/>
          <w:sz w:val="21"/>
          <w:szCs w:val="21"/>
          <w:lang w:eastAsia="zh-CN"/>
        </w:rPr>
        <w:t>（</w:t>
      </w:r>
      <w:r>
        <w:rPr>
          <w:rFonts w:hint="eastAsia" w:ascii="楷体" w:hAnsi="楷体" w:eastAsia="楷体" w:cs="楷体"/>
          <w:sz w:val="21"/>
          <w:szCs w:val="21"/>
        </w:rPr>
        <w:t>说明本案例适用的教学阶段、学习者群体、授课形式，以及技术使用的适用场景与局限性</w:t>
      </w:r>
      <w:r>
        <w:rPr>
          <w:rFonts w:hint="eastAsia" w:ascii="楷体" w:hAnsi="楷体" w:eastAsia="楷体" w:cs="楷体"/>
          <w:sz w:val="21"/>
          <w:szCs w:val="21"/>
          <w:lang w:eastAsia="zh-CN"/>
        </w:rPr>
        <w:t>。</w:t>
      </w:r>
      <w:r>
        <w:rPr>
          <w:rFonts w:hint="eastAsia" w:ascii="宋体" w:hAnsi="宋体" w:cs="宋体"/>
          <w:sz w:val="21"/>
          <w:szCs w:val="21"/>
          <w:lang w:eastAsia="zh-CN"/>
        </w:rPr>
        <w:t>）</w:t>
      </w:r>
    </w:p>
    <w:p w14:paraId="013F4B24">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cs="宋体"/>
          <w:sz w:val="21"/>
          <w:szCs w:val="21"/>
          <w:lang w:val="en-US" w:eastAsia="zh-CN"/>
        </w:rPr>
      </w:pPr>
      <w:r>
        <w:rPr>
          <w:rFonts w:hint="eastAsia" w:ascii="Times New Roman" w:hAnsi="Times New Roman" w:eastAsia="宋体" w:cs="Times New Roman"/>
          <w:b w:val="0"/>
          <w:i w:val="0"/>
          <w:sz w:val="21"/>
        </w:rPr>
        <w:t>本案例主要适用于美国大学Intermediate High至Advanced Low水平的中文学习者。典型学习者已完成至少两年大学中文课程，具备一定的连续听说能力，但在理解自然语速新闻、专名、数字、复杂时间关系和陌生国情信息时仍需要适当支持。案例以中高级听说课的课后延伸为主要应用场景，也可用于新闻汉语、当代中国专题课等真实语料教学。小班教学便于将课外学习结果带回课堂开展讨论和同伴互动；较大班级可结合LMS和小组活动实施。学习者具备浏览器、耳机和麦克风即可完成主要任务。网页主要承担真实输入、按需支架、口语练习和形成性反馈，课堂继续承担教师指导、同伴协商和人际互动。GAI生成内容须经过必要审核，正式评价由教师完成。涉及学习者音视频和过程数据时，应取得知情同意并明确数据采集、使用和保存方式。</w:t>
      </w:r>
    </w:p>
    <w:p w14:paraId="512C82CB">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sz w:val="28"/>
          <w:szCs w:val="36"/>
          <w:lang w:val="en-US" w:eastAsia="zh-CN"/>
        </w:rPr>
      </w:pPr>
      <w:r>
        <w:rPr>
          <w:rFonts w:ascii="黑体" w:hAnsi="黑体" w:eastAsia="黑体" w:cs="黑体"/>
          <w:b w:val="0"/>
          <w:bCs w:val="0"/>
          <w:kern w:val="2"/>
          <w:sz w:val="28"/>
          <w:szCs w:val="36"/>
          <w:lang w:val="en-US" w:eastAsia="zh-CN" w:bidi="ar-SA"/>
        </w:rPr>
        <w:t>三、设计</w:t>
      </w:r>
      <w:r>
        <w:rPr>
          <w:rFonts w:ascii="黑体" w:hAnsi="黑体" w:eastAsia="黑体" w:cs="黑体"/>
          <w:b w:val="0"/>
          <w:bCs w:val="0"/>
          <w:sz w:val="28"/>
          <w:szCs w:val="36"/>
          <w:lang w:val="en-US" w:eastAsia="zh-CN"/>
        </w:rPr>
        <w:t>方案</w:t>
      </w:r>
    </w:p>
    <w:p w14:paraId="1D231F1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宋体" w:hAnsi="宋体" w:eastAsia="宋体" w:cs="宋体"/>
          <w:sz w:val="21"/>
          <w:szCs w:val="21"/>
          <w:lang w:val="en-US" w:eastAsia="zh-CN"/>
        </w:rPr>
      </w:pPr>
      <w:r>
        <w:rPr>
          <w:rFonts w:ascii="宋体" w:hAnsi="宋体" w:cs="宋体"/>
          <w:sz w:val="21"/>
          <w:szCs w:val="21"/>
          <w:lang w:val="en-US" w:eastAsia="zh-CN"/>
        </w:rPr>
        <w:t>（一）</w:t>
      </w:r>
      <w:r>
        <w:rPr>
          <w:rFonts w:ascii="Times New Roman" w:hAnsi="Times New Roman" w:cs="Times New Roman"/>
          <w:sz w:val="21"/>
          <w:szCs w:val="21"/>
          <w:lang w:val="en-US" w:eastAsia="zh-CN"/>
        </w:rPr>
        <w:t>需求分析</w:t>
      </w:r>
      <w:r>
        <w:rPr>
          <w:rFonts w:hint="eastAsia" w:ascii="Times New Roman" w:hAnsi="Times New Roman" w:cs="Times New Roman"/>
          <w:sz w:val="21"/>
          <w:szCs w:val="21"/>
          <w:lang w:val="en-US" w:eastAsia="zh-CN"/>
        </w:rPr>
        <w:t>（</w:t>
      </w:r>
      <w:r>
        <w:rPr>
          <w:rFonts w:hint="eastAsia" w:ascii="楷体" w:hAnsi="楷体" w:eastAsia="楷体" w:cs="楷体"/>
          <w:sz w:val="21"/>
          <w:szCs w:val="21"/>
          <w:lang w:val="en-US" w:eastAsia="zh-CN"/>
        </w:rPr>
        <w:t>明确师生教学与学习核心需求</w:t>
      </w:r>
      <w:r>
        <w:rPr>
          <w:rFonts w:hint="eastAsia" w:ascii="Times New Roman" w:hAnsi="Times New Roman" w:cs="Times New Roman"/>
          <w:sz w:val="21"/>
          <w:szCs w:val="21"/>
          <w:lang w:val="en-US" w:eastAsia="zh-CN"/>
        </w:rPr>
        <w:t>）</w:t>
      </w:r>
    </w:p>
    <w:p w14:paraId="039E8625">
      <w:pPr>
        <w:spacing w:before="0" w:after="0" w:line="360" w:lineRule="auto"/>
        <w:ind w:left="0" w:right="0" w:firstLine="420"/>
        <w:jc w:val="both"/>
      </w:pPr>
      <w:r>
        <w:rPr>
          <w:rFonts w:hint="eastAsia" w:ascii="Times New Roman" w:hAnsi="Times New Roman" w:eastAsia="宋体" w:cs="Times New Roman"/>
          <w:b w:val="0"/>
          <w:i w:val="0"/>
          <w:sz w:val="21"/>
        </w:rPr>
        <w:t>根据目标学习者、课程形态和最终表现任务，本案例师生需求可归纳为两个方面</w:t>
      </w:r>
      <w:r>
        <w:rPr>
          <w:rFonts w:hint="eastAsia" w:ascii="Times New Roman" w:hAnsi="Times New Roman" w:cs="Times New Roman"/>
          <w:b w:val="0"/>
          <w:i w:val="0"/>
          <w:sz w:val="21"/>
          <w:lang w:eastAsia="zh-CN"/>
        </w:rPr>
        <w:t>。</w:t>
      </w:r>
      <w:r>
        <w:rPr>
          <w:rFonts w:hint="eastAsia" w:ascii="Times New Roman" w:hAnsi="Times New Roman" w:eastAsia="宋体" w:cs="Times New Roman"/>
          <w:b w:val="0"/>
          <w:i w:val="0"/>
          <w:sz w:val="21"/>
        </w:rPr>
        <w:t>教师端需在不打乱既有课程进度的情况下，持续引入能够反映当代中国社会生活的真实材料，并提高材料筛选、适级加工、背景补充和学习活动开发的效率。学习者端需获得教材之外的真实中文输入，并在自然语速、词汇、时间关系和国情背景等困难处获得按需支持；同时需要更多课外口语实践机会，通过及时反馈不断调整信息组织和受众表达。据此，数字学习环境重点提供四类支持：真实材料适级加工、差异化理解支架、连续口语实践和形成性反馈。四类支持共同服务于最终表现任务，即帮助学习者将真实新闻中的事实、时间、因果关系和国情背景重组为面向特定受众的完整中文讲述。</w:t>
      </w:r>
    </w:p>
    <w:p w14:paraId="213984BD">
      <w:pPr>
        <w:keepNext w:val="0"/>
        <w:keepLines w:val="0"/>
        <w:pageBreakBefore w:val="0"/>
        <w:widowControl w:val="0"/>
        <w:numPr>
          <w:ilvl w:val="0"/>
          <w:numId w:val="3"/>
        </w:numPr>
        <w:kinsoku/>
        <w:wordWrap/>
        <w:overflowPunct/>
        <w:topLinePunct w:val="0"/>
        <w:autoSpaceDE/>
        <w:autoSpaceDN/>
        <w:bidi w:val="0"/>
        <w:adjustRightInd/>
        <w:snapToGrid/>
        <w:spacing w:line="480" w:lineRule="auto"/>
        <w:jc w:val="both"/>
        <w:textAlignment w:val="auto"/>
        <w:rPr>
          <w:rFonts w:hint="eastAsia" w:ascii="宋体" w:hAnsi="宋体" w:cs="宋体"/>
          <w:sz w:val="21"/>
          <w:szCs w:val="21"/>
          <w:lang w:val="en-US" w:eastAsia="zh-CN"/>
        </w:rPr>
      </w:pPr>
      <w:r>
        <w:rPr>
          <w:rFonts w:ascii="宋体" w:hAnsi="宋体" w:cs="宋体"/>
          <w:sz w:val="21"/>
          <w:szCs w:val="21"/>
          <w:lang w:val="en-US" w:eastAsia="zh-CN"/>
        </w:rPr>
        <w:t>技术选型</w:t>
      </w:r>
      <w:r>
        <w:rPr>
          <w:rFonts w:hint="eastAsia" w:ascii="宋体" w:hAnsi="宋体" w:cs="宋体"/>
          <w:sz w:val="21"/>
          <w:szCs w:val="21"/>
          <w:lang w:val="en-US" w:eastAsia="zh-CN"/>
        </w:rPr>
        <w:t>（</w:t>
      </w:r>
      <w:r>
        <w:rPr>
          <w:rFonts w:hint="eastAsia" w:ascii="楷体" w:hAnsi="楷体" w:eastAsia="楷体" w:cs="楷体"/>
          <w:sz w:val="21"/>
          <w:szCs w:val="21"/>
          <w:lang w:val="en-US" w:eastAsia="zh-CN"/>
        </w:rPr>
        <w:t>介绍本次案例使用的</w:t>
      </w:r>
      <w:r>
        <w:rPr>
          <w:rFonts w:hint="default" w:ascii="Times New Roman" w:hAnsi="Times New Roman" w:eastAsia="楷体" w:cs="Times New Roman"/>
          <w:sz w:val="21"/>
          <w:szCs w:val="21"/>
          <w:lang w:val="en-US" w:eastAsia="zh-CN"/>
        </w:rPr>
        <w:t>GAI</w:t>
      </w:r>
      <w:r>
        <w:rPr>
          <w:rFonts w:hint="eastAsia" w:ascii="楷体" w:hAnsi="楷体" w:eastAsia="楷体" w:cs="楷体"/>
          <w:sz w:val="21"/>
          <w:szCs w:val="21"/>
          <w:lang w:val="en-US" w:eastAsia="zh-CN"/>
        </w:rPr>
        <w:t>工具/平台/功能，例如：文本生成、语音交互、图像生成、视频制作、多语种翻译、智能测评等，简述工具核心能力。</w:t>
      </w:r>
      <w:r>
        <w:rPr>
          <w:rFonts w:hint="eastAsia" w:ascii="宋体" w:hAnsi="宋体" w:cs="宋体"/>
          <w:sz w:val="21"/>
          <w:szCs w:val="21"/>
          <w:lang w:val="en-US" w:eastAsia="zh-CN"/>
        </w:rPr>
        <w:t>）</w:t>
      </w:r>
    </w:p>
    <w:p w14:paraId="2B8347A9">
      <w:pPr>
        <w:spacing w:before="0" w:after="0" w:line="360" w:lineRule="auto"/>
        <w:ind w:left="0" w:right="0" w:firstLine="420"/>
        <w:jc w:val="both"/>
        <w:rPr>
          <w:rFonts w:hint="default"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rPr>
        <w:t>案例演示网址：</w:t>
      </w:r>
      <w:r>
        <w:rPr>
          <w:rFonts w:hint="eastAsia" w:ascii="Times New Roman" w:hAnsi="Times New Roman" w:eastAsia="宋体" w:cs="Times New Roman"/>
          <w:b w:val="0"/>
          <w:i w:val="0"/>
          <w:sz w:val="21"/>
        </w:rPr>
        <w:fldChar w:fldCharType="begin"/>
      </w:r>
      <w:r>
        <w:rPr>
          <w:rFonts w:hint="eastAsia" w:ascii="Times New Roman" w:hAnsi="Times New Roman" w:eastAsia="宋体" w:cs="Times New Roman"/>
          <w:b w:val="0"/>
          <w:i w:val="0"/>
          <w:sz w:val="21"/>
        </w:rPr>
        <w:instrText xml:space="preserve"> HYPERLINK "https://green.usmandarincurriculumlab.com/" </w:instrText>
      </w:r>
      <w:r>
        <w:rPr>
          <w:rFonts w:hint="eastAsia" w:ascii="Times New Roman" w:hAnsi="Times New Roman" w:eastAsia="宋体" w:cs="Times New Roman"/>
          <w:b w:val="0"/>
          <w:i w:val="0"/>
          <w:sz w:val="21"/>
        </w:rPr>
        <w:fldChar w:fldCharType="separate"/>
      </w:r>
      <w:r>
        <w:rPr>
          <w:rFonts w:hint="eastAsia" w:ascii="Times New Roman" w:hAnsi="Times New Roman" w:eastAsia="宋体" w:cs="Times New Roman"/>
          <w:b w:val="0"/>
          <w:i w:val="0"/>
          <w:sz w:val="21"/>
        </w:rPr>
        <w:t>https://green.usmandarincurriculumlab.com/</w:t>
      </w:r>
      <w:r>
        <w:rPr>
          <w:rFonts w:hint="eastAsia" w:ascii="Times New Roman" w:hAnsi="Times New Roman" w:eastAsia="宋体" w:cs="Times New Roman"/>
          <w:b w:val="0"/>
          <w:i w:val="0"/>
          <w:sz w:val="21"/>
        </w:rPr>
        <w:fldChar w:fldCharType="end"/>
      </w:r>
      <w:r>
        <w:rPr>
          <w:rFonts w:hint="eastAsia" w:ascii="Times New Roman" w:hAnsi="Times New Roman" w:cs="Times New Roman"/>
          <w:b w:val="0"/>
          <w:i w:val="0"/>
          <w:sz w:val="21"/>
          <w:lang w:eastAsia="zh-CN"/>
        </w:rPr>
        <w:t>。</w:t>
      </w:r>
      <w:r>
        <w:rPr>
          <w:rFonts w:hint="eastAsia" w:ascii="Times New Roman" w:hAnsi="Times New Roman" w:cs="Times New Roman"/>
          <w:b w:val="0"/>
          <w:i w:val="0"/>
          <w:sz w:val="21"/>
          <w:lang w:val="en-US" w:eastAsia="zh-CN"/>
        </w:rPr>
        <w:t>主要采用的技术如下。</w:t>
      </w:r>
    </w:p>
    <w:p w14:paraId="68B618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仿宋" w:hAnsi="仿宋" w:eastAsia="仿宋" w:cs="仿宋"/>
          <w:b w:val="0"/>
          <w:sz w:val="20"/>
          <w:szCs w:val="20"/>
          <w:lang w:val="en-US" w:eastAsia="zh-CN"/>
        </w:rPr>
      </w:pPr>
      <w:r>
        <w:rPr>
          <w:rFonts w:hint="eastAsia" w:ascii="仿宋" w:hAnsi="仿宋" w:eastAsia="仿宋" w:cs="仿宋"/>
          <w:b w:val="0"/>
          <w:sz w:val="20"/>
          <w:szCs w:val="20"/>
          <w:lang w:val="en-US" w:eastAsia="zh-CN"/>
        </w:rPr>
        <w:t>表1 主要技术平台及作用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3361"/>
        <w:gridCol w:w="4090"/>
      </w:tblGrid>
      <w:tr w14:paraId="6040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9CF82BF">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default" w:ascii="Times New Roman" w:hAnsi="Times New Roman" w:eastAsia="宋体" w:cs="Times New Roman"/>
                <w:b/>
                <w:bCs/>
                <w:i w:val="0"/>
                <w:color w:val="000000"/>
                <w:sz w:val="21"/>
                <w:lang w:val="en-US"/>
              </w:rPr>
            </w:pPr>
            <w:r>
              <w:rPr>
                <w:rFonts w:hint="eastAsia" w:ascii="Times New Roman" w:hAnsi="Times New Roman" w:cs="Times New Roman"/>
                <w:b/>
                <w:bCs/>
                <w:i w:val="0"/>
                <w:color w:val="000000"/>
                <w:sz w:val="21"/>
                <w:lang w:val="en-US" w:eastAsia="zh-CN"/>
              </w:rPr>
              <w:t>功能环节</w:t>
            </w:r>
          </w:p>
        </w:tc>
        <w:tc>
          <w:tcPr>
            <w:tcW w:w="3361" w:type="dxa"/>
            <w:tcBorders>
              <w:top w:val="single" w:color="000000" w:sz="12" w:space="0"/>
              <w:left w:val="nil"/>
              <w:bottom w:val="single" w:color="000000" w:sz="4" w:space="0"/>
              <w:right w:val="nil"/>
            </w:tcBorders>
            <w:shd w:val="clear" w:color="auto" w:fill="FFFFFF"/>
            <w:vAlign w:val="center"/>
          </w:tcPr>
          <w:p w14:paraId="487E76C0">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bCs/>
                <w:i w:val="0"/>
                <w:color w:val="000000"/>
                <w:sz w:val="21"/>
              </w:rPr>
            </w:pPr>
            <w:r>
              <w:rPr>
                <w:rFonts w:hint="eastAsia" w:ascii="Times New Roman" w:hAnsi="Times New Roman" w:cs="Times New Roman"/>
                <w:b/>
                <w:bCs/>
                <w:i w:val="0"/>
                <w:color w:val="000000"/>
                <w:sz w:val="21"/>
                <w:lang w:val="en-US" w:eastAsia="zh-CN"/>
              </w:rPr>
              <w:t>技术工具</w:t>
            </w:r>
          </w:p>
        </w:tc>
        <w:tc>
          <w:tcPr>
            <w:tcW w:w="4090" w:type="dxa"/>
            <w:tcBorders>
              <w:top w:val="single" w:color="000000" w:sz="12" w:space="0"/>
              <w:left w:val="nil"/>
              <w:bottom w:val="single" w:color="000000" w:sz="4" w:space="0"/>
              <w:right w:val="nil"/>
            </w:tcBorders>
            <w:shd w:val="clear" w:color="auto" w:fill="FFFFFF"/>
            <w:vAlign w:val="center"/>
          </w:tcPr>
          <w:p w14:paraId="4A6F7CF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bCs/>
                <w:i w:val="0"/>
                <w:color w:val="000000"/>
                <w:sz w:val="21"/>
              </w:rPr>
            </w:pPr>
            <w:r>
              <w:rPr>
                <w:rFonts w:hint="eastAsia" w:ascii="Times New Roman" w:hAnsi="Times New Roman" w:eastAsia="宋体" w:cs="Times New Roman"/>
                <w:b/>
                <w:bCs/>
                <w:i w:val="0"/>
                <w:color w:val="000000"/>
                <w:sz w:val="21"/>
                <w:lang w:val="en-US" w:eastAsia="zh-CN"/>
              </w:rPr>
              <w:t>本案例中的主要功能</w:t>
            </w:r>
          </w:p>
        </w:tc>
      </w:tr>
      <w:tr w14:paraId="1280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507398F">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GAI辅助开发</w:t>
            </w:r>
          </w:p>
        </w:tc>
        <w:tc>
          <w:tcPr>
            <w:tcW w:w="3361" w:type="dxa"/>
            <w:tcBorders>
              <w:top w:val="single" w:color="000000" w:sz="4" w:space="0"/>
              <w:left w:val="nil"/>
              <w:bottom w:val="nil"/>
              <w:right w:val="nil"/>
            </w:tcBorders>
            <w:shd w:val="clear" w:color="auto" w:fill="FFFFFF"/>
            <w:vAlign w:val="center"/>
          </w:tcPr>
          <w:p w14:paraId="22F36E0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Codex、Claude Code</w:t>
            </w:r>
          </w:p>
        </w:tc>
        <w:tc>
          <w:tcPr>
            <w:tcW w:w="4090" w:type="dxa"/>
            <w:tcBorders>
              <w:top w:val="single" w:color="000000" w:sz="4" w:space="0"/>
              <w:left w:val="nil"/>
              <w:bottom w:val="nil"/>
              <w:right w:val="nil"/>
            </w:tcBorders>
            <w:shd w:val="clear" w:color="auto" w:fill="FFFFFF"/>
            <w:vAlign w:val="center"/>
          </w:tcPr>
          <w:p w14:paraId="1DB7C4B7">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辅助设计教学资源与提示词，生成和修改网页代码，完成界面、接口与功能迭代</w:t>
            </w:r>
          </w:p>
        </w:tc>
      </w:tr>
      <w:tr w14:paraId="6D01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7877194">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图像与视频生成</w:t>
            </w:r>
          </w:p>
        </w:tc>
        <w:tc>
          <w:tcPr>
            <w:tcW w:w="3361" w:type="dxa"/>
            <w:tcBorders>
              <w:top w:val="nil"/>
              <w:left w:val="nil"/>
              <w:bottom w:val="nil"/>
              <w:right w:val="nil"/>
            </w:tcBorders>
            <w:shd w:val="clear" w:color="auto" w:fill="FFFFFF"/>
            <w:vAlign w:val="center"/>
          </w:tcPr>
          <w:p w14:paraId="078CDB4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OpenAI ImageGen、HyperFrames、FFmpeg</w:t>
            </w:r>
          </w:p>
        </w:tc>
        <w:tc>
          <w:tcPr>
            <w:tcW w:w="4090" w:type="dxa"/>
            <w:tcBorders>
              <w:top w:val="nil"/>
              <w:left w:val="nil"/>
              <w:bottom w:val="nil"/>
              <w:right w:val="nil"/>
            </w:tcBorders>
            <w:shd w:val="clear" w:color="auto" w:fill="FFFFFF"/>
            <w:vAlign w:val="center"/>
          </w:tcPr>
          <w:p w14:paraId="06227AEF">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生成经教师审核的教学画面，并整合旁白、字幕、地图和时间线制作教学微纪录片</w:t>
            </w:r>
          </w:p>
        </w:tc>
      </w:tr>
      <w:tr w14:paraId="53E3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96DE4F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智能语言服务</w:t>
            </w:r>
          </w:p>
        </w:tc>
        <w:tc>
          <w:tcPr>
            <w:tcW w:w="3361" w:type="dxa"/>
            <w:tcBorders>
              <w:top w:val="nil"/>
              <w:left w:val="nil"/>
              <w:bottom w:val="nil"/>
              <w:right w:val="nil"/>
            </w:tcBorders>
            <w:shd w:val="clear" w:color="auto" w:fill="FFFFFF"/>
            <w:vAlign w:val="center"/>
          </w:tcPr>
          <w:p w14:paraId="602F5391">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DeepSeek API</w:t>
            </w:r>
          </w:p>
        </w:tc>
        <w:tc>
          <w:tcPr>
            <w:tcW w:w="4090" w:type="dxa"/>
            <w:tcBorders>
              <w:top w:val="nil"/>
              <w:left w:val="nil"/>
              <w:bottom w:val="nil"/>
              <w:right w:val="nil"/>
            </w:tcBorders>
            <w:shd w:val="clear" w:color="auto" w:fill="FFFFFF"/>
            <w:vAlign w:val="center"/>
          </w:tcPr>
          <w:p w14:paraId="7913E7B6">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提供分词、拼音、释义、例句和双语支持，并根据学习者讲述生成个别化形成性反馈</w:t>
            </w:r>
          </w:p>
        </w:tc>
      </w:tr>
      <w:tr w14:paraId="53A6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1321F22">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语音服务</w:t>
            </w:r>
          </w:p>
        </w:tc>
        <w:tc>
          <w:tcPr>
            <w:tcW w:w="3361" w:type="dxa"/>
            <w:tcBorders>
              <w:top w:val="nil"/>
              <w:left w:val="nil"/>
              <w:bottom w:val="nil"/>
              <w:right w:val="nil"/>
            </w:tcBorders>
            <w:shd w:val="clear" w:color="auto" w:fill="FFFFFF"/>
            <w:vAlign w:val="center"/>
          </w:tcPr>
          <w:p w14:paraId="5981FF66">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腾讯云TTS、Edge TTS、Web Speech API</w:t>
            </w:r>
          </w:p>
        </w:tc>
        <w:tc>
          <w:tcPr>
            <w:tcW w:w="4090" w:type="dxa"/>
            <w:tcBorders>
              <w:top w:val="nil"/>
              <w:left w:val="nil"/>
              <w:bottom w:val="nil"/>
              <w:right w:val="nil"/>
            </w:tcBorders>
            <w:shd w:val="clear" w:color="auto" w:fill="FFFFFF"/>
            <w:vAlign w:val="center"/>
          </w:tcPr>
          <w:p w14:paraId="0ED94E04">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生成听力与视频旁白，将学习者口语转写为文字，并提供接口异常时的备用方案</w:t>
            </w:r>
          </w:p>
        </w:tc>
      </w:tr>
      <w:tr w14:paraId="01F0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A25FB6F">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前端交互</w:t>
            </w:r>
          </w:p>
        </w:tc>
        <w:tc>
          <w:tcPr>
            <w:tcW w:w="3361" w:type="dxa"/>
            <w:tcBorders>
              <w:top w:val="nil"/>
              <w:left w:val="nil"/>
              <w:bottom w:val="nil"/>
              <w:right w:val="nil"/>
            </w:tcBorders>
            <w:shd w:val="clear" w:color="auto" w:fill="FFFFFF"/>
            <w:vAlign w:val="center"/>
          </w:tcPr>
          <w:p w14:paraId="42400A1E">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Next.js 15、React 19、HTML5 Video、WebVTT、MediaRecorder</w:t>
            </w:r>
          </w:p>
        </w:tc>
        <w:tc>
          <w:tcPr>
            <w:tcW w:w="4090" w:type="dxa"/>
            <w:tcBorders>
              <w:top w:val="nil"/>
              <w:left w:val="nil"/>
              <w:bottom w:val="nil"/>
              <w:right w:val="nil"/>
            </w:tcBorders>
            <w:shd w:val="clear" w:color="auto" w:fill="FFFFFF"/>
            <w:vAlign w:val="center"/>
          </w:tcPr>
          <w:p w14:paraId="656753B9">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实现听力、视频、字幕、词汇注释、录音录像、反馈与学习任务交互</w:t>
            </w:r>
          </w:p>
        </w:tc>
      </w:tr>
      <w:tr w14:paraId="5824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980514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数据与后端</w:t>
            </w:r>
          </w:p>
        </w:tc>
        <w:tc>
          <w:tcPr>
            <w:tcW w:w="3361" w:type="dxa"/>
            <w:tcBorders>
              <w:top w:val="nil"/>
              <w:left w:val="nil"/>
              <w:bottom w:val="nil"/>
              <w:right w:val="nil"/>
            </w:tcBorders>
            <w:shd w:val="clear" w:color="auto" w:fill="FFFFFF"/>
            <w:vAlign w:val="center"/>
          </w:tcPr>
          <w:p w14:paraId="3452A485">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cs="Times New Roman"/>
                <w:b w:val="0"/>
                <w:bCs w:val="0"/>
                <w:i w:val="0"/>
                <w:color w:val="000000"/>
                <w:sz w:val="21"/>
                <w:lang w:val="en-US" w:eastAsia="zh-CN"/>
              </w:rPr>
              <w:t>腾讯云数据库、</w:t>
            </w:r>
            <w:r>
              <w:rPr>
                <w:rFonts w:hint="eastAsia" w:ascii="Times New Roman" w:hAnsi="Times New Roman" w:eastAsia="宋体" w:cs="Times New Roman"/>
                <w:b w:val="0"/>
                <w:bCs w:val="0"/>
                <w:i w:val="0"/>
                <w:color w:val="000000"/>
                <w:sz w:val="21"/>
                <w:lang w:val="en-US" w:eastAsia="zh-CN"/>
              </w:rPr>
              <w:t>IndexedDB、Next.js API Routes、Vercel Functions</w:t>
            </w:r>
          </w:p>
        </w:tc>
        <w:tc>
          <w:tcPr>
            <w:tcW w:w="4090" w:type="dxa"/>
            <w:tcBorders>
              <w:top w:val="nil"/>
              <w:left w:val="nil"/>
              <w:bottom w:val="nil"/>
              <w:right w:val="nil"/>
            </w:tcBorders>
            <w:shd w:val="clear" w:color="auto" w:fill="FFFFFF"/>
            <w:vAlign w:val="center"/>
          </w:tcPr>
          <w:p w14:paraId="7B12873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保存学习进度，代理外部API、保护密钥并处理接口异常</w:t>
            </w:r>
          </w:p>
        </w:tc>
      </w:tr>
      <w:tr w14:paraId="340C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10B620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部署与验证</w:t>
            </w:r>
          </w:p>
        </w:tc>
        <w:tc>
          <w:tcPr>
            <w:tcW w:w="3361" w:type="dxa"/>
            <w:tcBorders>
              <w:top w:val="nil"/>
              <w:left w:val="nil"/>
              <w:bottom w:val="nil"/>
              <w:right w:val="nil"/>
            </w:tcBorders>
            <w:shd w:val="clear" w:color="auto" w:fill="FFFFFF"/>
            <w:vAlign w:val="center"/>
          </w:tcPr>
          <w:p w14:paraId="7B6B3C25">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Vercel、GitHub、Playwright</w:t>
            </w:r>
          </w:p>
        </w:tc>
        <w:tc>
          <w:tcPr>
            <w:tcW w:w="4090" w:type="dxa"/>
            <w:tcBorders>
              <w:top w:val="nil"/>
              <w:left w:val="nil"/>
              <w:bottom w:val="nil"/>
              <w:right w:val="nil"/>
            </w:tcBorders>
            <w:shd w:val="clear" w:color="auto" w:fill="FFFFFF"/>
            <w:vAlign w:val="center"/>
          </w:tcPr>
          <w:p w14:paraId="1F1290C1">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rPr>
            </w:pPr>
            <w:r>
              <w:rPr>
                <w:rFonts w:hint="eastAsia" w:ascii="Times New Roman" w:hAnsi="Times New Roman" w:eastAsia="宋体" w:cs="Times New Roman"/>
                <w:b w:val="0"/>
                <w:bCs w:val="0"/>
                <w:i w:val="0"/>
                <w:color w:val="000000"/>
                <w:sz w:val="21"/>
                <w:lang w:val="en-US" w:eastAsia="zh-CN"/>
              </w:rPr>
              <w:t>完成代码管理、网站部署及桌面端和移动端的功能、权限与异常测试</w:t>
            </w:r>
          </w:p>
        </w:tc>
      </w:tr>
      <w:tr w14:paraId="548E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000000" w:sz="12" w:space="0"/>
              <w:right w:val="nil"/>
            </w:tcBorders>
            <w:shd w:val="clear" w:color="auto" w:fill="FFFFFF"/>
            <w:vAlign w:val="center"/>
          </w:tcPr>
          <w:p w14:paraId="3DF8082B">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rFonts w:hint="eastAsia" w:ascii="Times New Roman" w:hAnsi="Times New Roman" w:eastAsia="宋体" w:cs="Times New Roman"/>
                <w:b w:val="0"/>
                <w:bCs w:val="0"/>
                <w:i w:val="0"/>
                <w:color w:val="000000"/>
                <w:sz w:val="21"/>
                <w:lang w:val="en-US" w:eastAsia="zh-CN"/>
              </w:rPr>
            </w:pPr>
          </w:p>
        </w:tc>
        <w:tc>
          <w:tcPr>
            <w:tcW w:w="3361" w:type="dxa"/>
            <w:tcBorders>
              <w:top w:val="nil"/>
              <w:left w:val="nil"/>
              <w:bottom w:val="single" w:color="000000" w:sz="12" w:space="0"/>
              <w:right w:val="nil"/>
            </w:tcBorders>
            <w:shd w:val="clear" w:color="auto" w:fill="FFFFFF"/>
            <w:vAlign w:val="center"/>
          </w:tcPr>
          <w:p w14:paraId="2D31D33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lang w:val="en-US" w:eastAsia="zh-CN"/>
              </w:rPr>
            </w:pPr>
          </w:p>
        </w:tc>
        <w:tc>
          <w:tcPr>
            <w:tcW w:w="4090" w:type="dxa"/>
            <w:tcBorders>
              <w:top w:val="nil"/>
              <w:left w:val="nil"/>
              <w:bottom w:val="single" w:color="000000" w:sz="12" w:space="0"/>
              <w:right w:val="nil"/>
            </w:tcBorders>
            <w:shd w:val="clear" w:color="auto" w:fill="FFFFFF"/>
            <w:vAlign w:val="center"/>
          </w:tcPr>
          <w:p w14:paraId="11B6B11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left"/>
              <w:textAlignment w:val="auto"/>
              <w:rPr>
                <w:rFonts w:hint="eastAsia" w:ascii="Times New Roman" w:hAnsi="Times New Roman" w:eastAsia="宋体" w:cs="Times New Roman"/>
                <w:b w:val="0"/>
                <w:bCs w:val="0"/>
                <w:i w:val="0"/>
                <w:color w:val="000000"/>
                <w:sz w:val="21"/>
                <w:lang w:val="en-US" w:eastAsia="zh-CN"/>
              </w:rPr>
            </w:pPr>
          </w:p>
        </w:tc>
      </w:tr>
    </w:tbl>
    <w:p w14:paraId="7654AFB2">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ascii="宋体" w:hAnsi="宋体" w:cs="宋体"/>
          <w:b w:val="0"/>
          <w:bCs w:val="0"/>
          <w:sz w:val="21"/>
          <w:szCs w:val="21"/>
          <w:lang w:val="en-US" w:eastAsia="zh-CN"/>
        </w:rPr>
        <w:t>（三）设计流程</w:t>
      </w:r>
      <w:r>
        <w:rPr>
          <w:rFonts w:hint="eastAsia" w:ascii="宋体" w:hAnsi="宋体" w:cs="宋体"/>
          <w:b w:val="0"/>
          <w:bCs w:val="0"/>
          <w:sz w:val="21"/>
          <w:szCs w:val="21"/>
          <w:lang w:val="en-US" w:eastAsia="zh-CN"/>
        </w:rPr>
        <w:t>（</w:t>
      </w:r>
      <w:r>
        <w:rPr>
          <w:rFonts w:hint="eastAsia" w:ascii="楷体" w:hAnsi="楷体" w:eastAsia="楷体" w:cs="楷体"/>
          <w:b w:val="0"/>
          <w:bCs w:val="0"/>
          <w:sz w:val="21"/>
          <w:szCs w:val="21"/>
          <w:u w:val="none"/>
          <w:lang w:val="en-US" w:eastAsia="zh-CN"/>
        </w:rPr>
        <w:t>应呈现详细的开发流程</w:t>
      </w:r>
      <w:r>
        <w:rPr>
          <w:rFonts w:hint="eastAsia" w:ascii="楷体" w:hAnsi="楷体" w:eastAsia="楷体" w:cs="楷体"/>
          <w:b w:val="0"/>
          <w:bCs w:val="0"/>
          <w:sz w:val="21"/>
          <w:szCs w:val="21"/>
          <w:lang w:val="en-US" w:eastAsia="zh-CN"/>
        </w:rPr>
        <w:t>，</w:t>
      </w:r>
      <w:r>
        <w:rPr>
          <w:rFonts w:hint="eastAsia" w:ascii="楷体" w:hAnsi="楷体" w:eastAsia="楷体" w:cs="楷体"/>
          <w:sz w:val="21"/>
          <w:szCs w:val="21"/>
          <w:lang w:val="en-US" w:eastAsia="zh-CN"/>
        </w:rPr>
        <w:t>包括：详细的提示词和工作流设计，提供流程</w:t>
      </w:r>
      <w:r>
        <w:rPr>
          <w:rFonts w:hint="eastAsia" w:ascii="Times New Roman" w:hAnsi="Times New Roman" w:eastAsia="宋体" w:cs="Times New Roman"/>
          <w:b w:val="0"/>
          <w:i w:val="0"/>
          <w:sz w:val="21"/>
          <w:lang w:val="en-US" w:eastAsia="zh-CN"/>
        </w:rPr>
        <w:t>图和界面截图等。）</w:t>
      </w:r>
    </w:p>
    <w:p w14:paraId="1B80B800">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案例参考ADDIE框架，形成“分析—设计—开发—技术实现—测试迭代”的开发流程。</w:t>
      </w:r>
    </w:p>
    <w:p w14:paraId="4AB40FD2">
      <w:pPr>
        <w:spacing w:before="80" w:after="20"/>
        <w:jc w:val="center"/>
        <w:rPr>
          <w:rFonts w:hint="eastAsia" w:eastAsia="宋体"/>
          <w:lang w:eastAsia="zh-CN"/>
        </w:rPr>
      </w:pPr>
      <w:r>
        <w:rPr>
          <w:rFonts w:hint="eastAsia" w:eastAsia="宋体"/>
          <w:lang w:eastAsia="zh-CN"/>
        </w:rPr>
        <w:pict>
          <v:shape id="_x0000_i1025" o:spt="75" alt="ChatGPT Image 2026年8月31日 18_39_46" type="#_x0000_t75" style="height:239.2pt;width:415.05pt;" filled="f" o:preferrelative="t" stroked="f" coordsize="21600,21600">
            <v:path/>
            <v:fill on="f" focussize="0,0"/>
            <v:stroke on="f"/>
            <v:imagedata r:id="rId6" o:title="ChatGPT Image 2026年8月31日 18_39_46"/>
            <o:lock v:ext="edit" aspectratio="t"/>
            <w10:wrap type="none"/>
            <w10:anchorlock/>
          </v:shape>
        </w:pict>
      </w:r>
    </w:p>
    <w:p w14:paraId="03EEA63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仿宋" w:hAnsi="仿宋" w:eastAsia="仿宋" w:cs="仿宋"/>
          <w:b w:val="0"/>
          <w:sz w:val="20"/>
          <w:szCs w:val="20"/>
          <w:lang w:val="en-US" w:eastAsia="zh-CN"/>
        </w:rPr>
      </w:pPr>
      <w:r>
        <w:rPr>
          <w:rFonts w:hint="eastAsia" w:ascii="仿宋" w:hAnsi="仿宋" w:eastAsia="仿宋" w:cs="仿宋"/>
          <w:b w:val="0"/>
          <w:sz w:val="20"/>
          <w:szCs w:val="20"/>
          <w:lang w:val="en-US" w:eastAsia="zh-CN"/>
        </w:rPr>
        <w:t>图1 案例开发流程</w:t>
      </w:r>
    </w:p>
    <w:p w14:paraId="17832067">
      <w:pPr>
        <w:spacing w:after="0" w:line="360" w:lineRule="auto"/>
        <w:ind w:firstLine="420"/>
        <w:jc w:val="both"/>
      </w:pPr>
      <w:r>
        <w:rPr>
          <w:rFonts w:hint="eastAsia" w:ascii="Times New Roman" w:hAnsi="Times New Roman" w:eastAsia="宋体" w:cs="Times New Roman"/>
          <w:b w:val="0"/>
          <w:i w:val="0"/>
          <w:sz w:val="21"/>
        </w:rPr>
        <w:t>教学设计、资源制作与技术实现相互校准，教师审核贯穿全过程，试用证据用于下一轮材料、提示词和页面交互优化。</w:t>
      </w:r>
    </w:p>
    <w:p w14:paraId="001364C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仿宋" w:hAnsi="仿宋" w:eastAsia="仿宋" w:cs="仿宋"/>
          <w:b w:val="0"/>
          <w:sz w:val="20"/>
          <w:szCs w:val="20"/>
          <w:lang w:val="en-US" w:eastAsia="zh-CN"/>
        </w:rPr>
      </w:pPr>
      <w:r>
        <w:rPr>
          <w:rFonts w:hint="eastAsia" w:ascii="仿宋" w:hAnsi="仿宋" w:eastAsia="仿宋" w:cs="仿宋"/>
          <w:b w:val="0"/>
          <w:sz w:val="20"/>
          <w:szCs w:val="20"/>
          <w:lang w:val="en-US" w:eastAsia="zh-CN"/>
        </w:rPr>
        <w:t>表2 主要提示词设计框架</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2"/>
        <w:gridCol w:w="1921"/>
        <w:gridCol w:w="2910"/>
        <w:gridCol w:w="1625"/>
        <w:gridCol w:w="1428"/>
      </w:tblGrid>
      <w:tr w14:paraId="77BB9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right w:val="nil"/>
              <w:tl2br w:val="nil"/>
            </w:tcBorders>
            <w:shd w:val="clear" w:color="auto" w:fill="FFFFFF"/>
            <w:tcMar>
              <w:top w:w="80" w:type="dxa"/>
              <w:left w:w="90" w:type="dxa"/>
              <w:bottom w:w="80" w:type="dxa"/>
              <w:right w:w="90" w:type="dxa"/>
            </w:tcMar>
            <w:vAlign w:val="center"/>
          </w:tcPr>
          <w:p w14:paraId="2CD22995">
            <w:pPr>
              <w:spacing w:after="0"/>
              <w:jc w:val="center"/>
              <w:rPr>
                <w:b w:val="0"/>
                <w:color w:val="000000"/>
              </w:rPr>
            </w:pPr>
            <w:r>
              <w:rPr>
                <w:rFonts w:ascii="Times New Roman" w:hAnsi="Times New Roman" w:eastAsia="黑体"/>
                <w:b w:val="0"/>
                <w:color w:val="000000"/>
                <w:sz w:val="18"/>
              </w:rPr>
              <w:t>功能</w:t>
            </w:r>
          </w:p>
        </w:tc>
        <w:tc>
          <w:tcPr>
            <w:tcW w:w="0" w:type="auto"/>
            <w:tcBorders>
              <w:top w:val="single" w:color="000000" w:sz="12" w:space="0"/>
              <w:left w:val="nil"/>
              <w:right w:val="nil"/>
            </w:tcBorders>
            <w:shd w:val="clear" w:color="auto" w:fill="FFFFFF"/>
            <w:tcMar>
              <w:top w:w="80" w:type="dxa"/>
              <w:left w:w="90" w:type="dxa"/>
              <w:bottom w:w="80" w:type="dxa"/>
              <w:right w:w="90" w:type="dxa"/>
            </w:tcMar>
            <w:vAlign w:val="center"/>
          </w:tcPr>
          <w:p w14:paraId="5AE88C60">
            <w:pPr>
              <w:spacing w:after="0"/>
              <w:jc w:val="center"/>
              <w:rPr>
                <w:b w:val="0"/>
                <w:color w:val="000000"/>
              </w:rPr>
            </w:pPr>
            <w:r>
              <w:rPr>
                <w:rFonts w:ascii="Times New Roman" w:hAnsi="Times New Roman" w:eastAsia="黑体"/>
                <w:b w:val="0"/>
                <w:color w:val="000000"/>
                <w:sz w:val="18"/>
              </w:rPr>
              <w:t>主要输入</w:t>
            </w:r>
          </w:p>
        </w:tc>
        <w:tc>
          <w:tcPr>
            <w:tcW w:w="0" w:type="auto"/>
            <w:tcBorders>
              <w:top w:val="single" w:color="000000" w:sz="12" w:space="0"/>
              <w:left w:val="nil"/>
              <w:right w:val="nil"/>
            </w:tcBorders>
            <w:shd w:val="clear" w:color="auto" w:fill="FFFFFF"/>
            <w:tcMar>
              <w:top w:w="80" w:type="dxa"/>
              <w:left w:w="90" w:type="dxa"/>
              <w:bottom w:w="80" w:type="dxa"/>
              <w:right w:w="90" w:type="dxa"/>
            </w:tcMar>
            <w:vAlign w:val="center"/>
          </w:tcPr>
          <w:p w14:paraId="4C73B1D2">
            <w:pPr>
              <w:spacing w:after="0"/>
              <w:jc w:val="center"/>
              <w:rPr>
                <w:b w:val="0"/>
                <w:color w:val="000000"/>
              </w:rPr>
            </w:pPr>
            <w:r>
              <w:rPr>
                <w:rFonts w:ascii="Times New Roman" w:hAnsi="Times New Roman" w:eastAsia="黑体"/>
                <w:b w:val="0"/>
                <w:color w:val="000000"/>
                <w:sz w:val="18"/>
              </w:rPr>
              <w:t>核心约束</w:t>
            </w:r>
          </w:p>
        </w:tc>
        <w:tc>
          <w:tcPr>
            <w:tcW w:w="0" w:type="auto"/>
            <w:tcBorders>
              <w:top w:val="single" w:color="000000" w:sz="12" w:space="0"/>
              <w:left w:val="nil"/>
              <w:right w:val="nil"/>
            </w:tcBorders>
            <w:shd w:val="clear" w:color="auto" w:fill="FFFFFF"/>
            <w:tcMar>
              <w:top w:w="80" w:type="dxa"/>
              <w:left w:w="90" w:type="dxa"/>
              <w:bottom w:w="80" w:type="dxa"/>
              <w:right w:w="90" w:type="dxa"/>
            </w:tcMar>
            <w:vAlign w:val="center"/>
          </w:tcPr>
          <w:p w14:paraId="78B8D37D">
            <w:pPr>
              <w:spacing w:after="0"/>
              <w:jc w:val="center"/>
              <w:rPr>
                <w:b w:val="0"/>
                <w:color w:val="000000"/>
              </w:rPr>
            </w:pPr>
            <w:r>
              <w:rPr>
                <w:rFonts w:ascii="Times New Roman" w:hAnsi="Times New Roman" w:eastAsia="黑体"/>
                <w:b w:val="0"/>
                <w:color w:val="000000"/>
                <w:sz w:val="18"/>
              </w:rPr>
              <w:t>输出</w:t>
            </w:r>
          </w:p>
        </w:tc>
        <w:tc>
          <w:tcPr>
            <w:tcW w:w="0" w:type="auto"/>
            <w:tcBorders>
              <w:top w:val="single" w:color="000000" w:sz="12" w:space="0"/>
              <w:left w:val="nil"/>
              <w:right w:val="nil"/>
            </w:tcBorders>
            <w:shd w:val="clear" w:color="auto" w:fill="FFFFFF"/>
            <w:tcMar>
              <w:top w:w="80" w:type="dxa"/>
              <w:left w:w="90" w:type="dxa"/>
              <w:bottom w:w="80" w:type="dxa"/>
              <w:right w:w="90" w:type="dxa"/>
            </w:tcMar>
            <w:vAlign w:val="center"/>
          </w:tcPr>
          <w:p w14:paraId="3E6E1742">
            <w:pPr>
              <w:spacing w:after="0"/>
              <w:jc w:val="center"/>
              <w:rPr>
                <w:b w:val="0"/>
                <w:color w:val="000000"/>
              </w:rPr>
            </w:pPr>
            <w:r>
              <w:rPr>
                <w:rFonts w:ascii="Times New Roman" w:hAnsi="Times New Roman" w:eastAsia="黑体"/>
                <w:b w:val="0"/>
                <w:color w:val="000000"/>
                <w:sz w:val="18"/>
              </w:rPr>
              <w:t>人工审核</w:t>
            </w:r>
          </w:p>
        </w:tc>
      </w:tr>
      <w:tr w14:paraId="4DAAB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nil"/>
              <w:bottom w:val="nil"/>
              <w:right w:val="nil"/>
            </w:tcBorders>
            <w:shd w:val="clear" w:color="auto" w:fill="FFFFFF"/>
            <w:tcMar>
              <w:top w:w="80" w:type="dxa"/>
              <w:left w:w="90" w:type="dxa"/>
              <w:bottom w:w="80" w:type="dxa"/>
              <w:right w:w="90" w:type="dxa"/>
            </w:tcMar>
            <w:vAlign w:val="center"/>
          </w:tcPr>
          <w:p w14:paraId="240FC88A">
            <w:pPr>
              <w:spacing w:after="0" w:line="264" w:lineRule="auto"/>
              <w:jc w:val="left"/>
              <w:rPr>
                <w:b w:val="0"/>
                <w:color w:val="000000"/>
              </w:rPr>
            </w:pPr>
            <w:r>
              <w:rPr>
                <w:rFonts w:ascii="Times New Roman" w:hAnsi="Times New Roman" w:eastAsia="宋体"/>
                <w:b w:val="0"/>
                <w:color w:val="000000"/>
                <w:sz w:val="17"/>
              </w:rPr>
              <w:t>适级改写</w:t>
            </w:r>
          </w:p>
        </w:tc>
        <w:tc>
          <w:tcPr>
            <w:tcW w:w="0" w:type="auto"/>
            <w:tcBorders>
              <w:left w:val="nil"/>
              <w:bottom w:val="nil"/>
              <w:right w:val="nil"/>
            </w:tcBorders>
            <w:shd w:val="clear" w:color="auto" w:fill="FFFFFF"/>
            <w:tcMar>
              <w:top w:w="80" w:type="dxa"/>
              <w:left w:w="90" w:type="dxa"/>
              <w:bottom w:w="80" w:type="dxa"/>
              <w:right w:w="90" w:type="dxa"/>
            </w:tcMar>
            <w:vAlign w:val="center"/>
          </w:tcPr>
          <w:p w14:paraId="517B6EFF">
            <w:pPr>
              <w:spacing w:after="0" w:line="264" w:lineRule="auto"/>
              <w:jc w:val="left"/>
              <w:rPr>
                <w:b w:val="0"/>
                <w:color w:val="000000"/>
              </w:rPr>
            </w:pPr>
            <w:r>
              <w:rPr>
                <w:rFonts w:ascii="Times New Roman" w:hAnsi="Times New Roman" w:eastAsia="宋体"/>
                <w:b w:val="0"/>
                <w:color w:val="000000"/>
                <w:sz w:val="17"/>
              </w:rPr>
              <w:t>事实</w:t>
            </w:r>
            <w:r>
              <w:rPr>
                <w:rFonts w:hint="eastAsia" w:ascii="Times New Roman" w:hAnsi="Times New Roman"/>
                <w:b w:val="0"/>
                <w:color w:val="000000"/>
                <w:sz w:val="17"/>
                <w:lang w:val="en-US" w:eastAsia="zh-CN"/>
              </w:rPr>
              <w:t>清单</w:t>
            </w:r>
            <w:r>
              <w:rPr>
                <w:rFonts w:ascii="Times New Roman" w:hAnsi="Times New Roman" w:eastAsia="宋体"/>
                <w:b w:val="0"/>
                <w:color w:val="000000"/>
                <w:sz w:val="17"/>
              </w:rPr>
              <w:t>、原始材料、水平参数</w:t>
            </w:r>
          </w:p>
        </w:tc>
        <w:tc>
          <w:tcPr>
            <w:tcW w:w="0" w:type="auto"/>
            <w:tcBorders>
              <w:left w:val="nil"/>
              <w:bottom w:val="nil"/>
              <w:right w:val="nil"/>
            </w:tcBorders>
            <w:shd w:val="clear" w:color="auto" w:fill="FFFFFF"/>
            <w:tcMar>
              <w:top w:w="80" w:type="dxa"/>
              <w:left w:w="90" w:type="dxa"/>
              <w:bottom w:w="80" w:type="dxa"/>
              <w:right w:w="90" w:type="dxa"/>
            </w:tcMar>
            <w:vAlign w:val="center"/>
          </w:tcPr>
          <w:p w14:paraId="71DF67D4">
            <w:pPr>
              <w:spacing w:after="0" w:line="264" w:lineRule="auto"/>
              <w:jc w:val="left"/>
              <w:rPr>
                <w:b w:val="0"/>
                <w:color w:val="000000"/>
              </w:rPr>
            </w:pPr>
            <w:r>
              <w:rPr>
                <w:rFonts w:ascii="Times New Roman" w:hAnsi="Times New Roman" w:eastAsia="宋体"/>
                <w:b w:val="0"/>
                <w:color w:val="000000"/>
                <w:sz w:val="17"/>
              </w:rPr>
              <w:t>不新增事实；保留时间、数字与因果边界；控制词汇、句长和信息密度</w:t>
            </w:r>
          </w:p>
        </w:tc>
        <w:tc>
          <w:tcPr>
            <w:tcW w:w="0" w:type="auto"/>
            <w:tcBorders>
              <w:left w:val="nil"/>
              <w:bottom w:val="nil"/>
              <w:right w:val="nil"/>
            </w:tcBorders>
            <w:shd w:val="clear" w:color="auto" w:fill="FFFFFF"/>
            <w:tcMar>
              <w:top w:w="80" w:type="dxa"/>
              <w:left w:w="90" w:type="dxa"/>
              <w:bottom w:w="80" w:type="dxa"/>
              <w:right w:w="90" w:type="dxa"/>
            </w:tcMar>
            <w:vAlign w:val="center"/>
          </w:tcPr>
          <w:p w14:paraId="67D8D7AC">
            <w:pPr>
              <w:spacing w:after="0" w:line="264" w:lineRule="auto"/>
              <w:jc w:val="left"/>
              <w:rPr>
                <w:b w:val="0"/>
                <w:color w:val="000000"/>
              </w:rPr>
            </w:pPr>
            <w:r>
              <w:rPr>
                <w:rFonts w:ascii="Times New Roman" w:hAnsi="Times New Roman" w:eastAsia="宋体"/>
                <w:b w:val="0"/>
                <w:color w:val="000000"/>
                <w:sz w:val="17"/>
              </w:rPr>
              <w:t>听力文本＋1道主旨题＋2道细节题</w:t>
            </w:r>
          </w:p>
        </w:tc>
        <w:tc>
          <w:tcPr>
            <w:tcW w:w="0" w:type="auto"/>
            <w:tcBorders>
              <w:left w:val="nil"/>
              <w:bottom w:val="nil"/>
              <w:right w:val="nil"/>
            </w:tcBorders>
            <w:shd w:val="clear" w:color="auto" w:fill="FFFFFF"/>
            <w:tcMar>
              <w:top w:w="80" w:type="dxa"/>
              <w:left w:w="90" w:type="dxa"/>
              <w:bottom w:w="80" w:type="dxa"/>
              <w:right w:w="90" w:type="dxa"/>
            </w:tcMar>
            <w:vAlign w:val="center"/>
          </w:tcPr>
          <w:p w14:paraId="7964AA66">
            <w:pPr>
              <w:spacing w:after="0" w:line="264" w:lineRule="auto"/>
              <w:jc w:val="left"/>
              <w:rPr>
                <w:b w:val="0"/>
                <w:color w:val="000000"/>
              </w:rPr>
            </w:pPr>
            <w:r>
              <w:rPr>
                <w:rFonts w:ascii="Times New Roman" w:hAnsi="Times New Roman" w:eastAsia="宋体"/>
                <w:b w:val="0"/>
                <w:color w:val="000000"/>
                <w:sz w:val="17"/>
              </w:rPr>
              <w:t>事实、难度、题目与选项质量</w:t>
            </w:r>
          </w:p>
        </w:tc>
      </w:tr>
      <w:tr w14:paraId="6742E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2E6FE711">
            <w:pPr>
              <w:spacing w:after="0" w:line="264" w:lineRule="auto"/>
              <w:jc w:val="left"/>
              <w:rPr>
                <w:b w:val="0"/>
                <w:color w:val="000000"/>
              </w:rPr>
            </w:pPr>
            <w:r>
              <w:rPr>
                <w:rFonts w:ascii="Times New Roman" w:hAnsi="Times New Roman" w:eastAsia="宋体"/>
                <w:b w:val="0"/>
                <w:color w:val="000000"/>
                <w:sz w:val="17"/>
              </w:rPr>
              <w:t>划词注释</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724797A3">
            <w:pPr>
              <w:spacing w:after="0" w:line="264" w:lineRule="auto"/>
              <w:jc w:val="left"/>
              <w:rPr>
                <w:b w:val="0"/>
                <w:color w:val="000000"/>
              </w:rPr>
            </w:pPr>
            <w:r>
              <w:rPr>
                <w:rFonts w:ascii="Times New Roman" w:hAnsi="Times New Roman" w:eastAsia="宋体"/>
                <w:b w:val="0"/>
                <w:color w:val="000000"/>
                <w:sz w:val="17"/>
              </w:rPr>
              <w:t>原文中学习者选中的1—8个汉字</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509097C3">
            <w:pPr>
              <w:spacing w:after="0" w:line="264" w:lineRule="auto"/>
              <w:jc w:val="left"/>
              <w:rPr>
                <w:b w:val="0"/>
                <w:color w:val="000000"/>
              </w:rPr>
            </w:pPr>
            <w:r>
              <w:rPr>
                <w:rFonts w:ascii="Times New Roman" w:hAnsi="Times New Roman" w:eastAsia="宋体"/>
                <w:b w:val="0"/>
                <w:color w:val="000000"/>
                <w:sz w:val="17"/>
              </w:rPr>
              <w:t>只解释所选词语，不扩展故事事实；严格限定输出格式</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55D2498A">
            <w:pPr>
              <w:spacing w:after="0" w:line="264" w:lineRule="auto"/>
              <w:jc w:val="left"/>
              <w:rPr>
                <w:b w:val="0"/>
                <w:color w:val="000000"/>
              </w:rPr>
            </w:pPr>
            <w:r>
              <w:rPr>
                <w:rFonts w:ascii="Times New Roman" w:hAnsi="Times New Roman" w:eastAsia="宋体"/>
                <w:b w:val="0"/>
                <w:color w:val="000000"/>
                <w:sz w:val="17"/>
              </w:rPr>
              <w:t>词语、拼音、英文释义、例句</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062D18D7">
            <w:pPr>
              <w:spacing w:after="0" w:line="264" w:lineRule="auto"/>
              <w:jc w:val="left"/>
              <w:rPr>
                <w:b w:val="0"/>
                <w:color w:val="000000"/>
              </w:rPr>
            </w:pPr>
            <w:r>
              <w:rPr>
                <w:rFonts w:ascii="Times New Roman" w:hAnsi="Times New Roman" w:eastAsia="宋体"/>
                <w:b w:val="0"/>
                <w:color w:val="000000"/>
                <w:sz w:val="17"/>
              </w:rPr>
              <w:t>固定词表与查询记录</w:t>
            </w:r>
          </w:p>
        </w:tc>
      </w:tr>
      <w:tr w14:paraId="5C96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594AA5D3">
            <w:pPr>
              <w:spacing w:after="0" w:line="264" w:lineRule="auto"/>
              <w:jc w:val="left"/>
              <w:rPr>
                <w:b w:val="0"/>
                <w:color w:val="000000"/>
              </w:rPr>
            </w:pPr>
            <w:r>
              <w:rPr>
                <w:rFonts w:ascii="Times New Roman" w:hAnsi="Times New Roman" w:eastAsia="宋体"/>
                <w:b w:val="0"/>
                <w:color w:val="000000"/>
                <w:sz w:val="17"/>
              </w:rPr>
              <w:t>标题修订</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2A9BC147">
            <w:pPr>
              <w:spacing w:after="0" w:line="264" w:lineRule="auto"/>
              <w:jc w:val="left"/>
              <w:rPr>
                <w:b w:val="0"/>
                <w:color w:val="000000"/>
              </w:rPr>
            </w:pPr>
            <w:r>
              <w:rPr>
                <w:rFonts w:ascii="Times New Roman" w:hAnsi="Times New Roman" w:eastAsia="宋体"/>
                <w:b w:val="0"/>
                <w:color w:val="000000"/>
                <w:sz w:val="17"/>
              </w:rPr>
              <w:t>原标题、</w:t>
            </w:r>
            <w:r>
              <w:rPr>
                <w:rFonts w:hint="eastAsia" w:ascii="Times New Roman" w:hAnsi="Times New Roman"/>
                <w:b w:val="0"/>
                <w:color w:val="000000"/>
                <w:sz w:val="17"/>
                <w:lang w:eastAsia="zh-CN"/>
              </w:rPr>
              <w:t>事实清单</w:t>
            </w:r>
            <w:r>
              <w:rPr>
                <w:rFonts w:ascii="Times New Roman" w:hAnsi="Times New Roman" w:eastAsia="宋体"/>
                <w:b w:val="0"/>
                <w:color w:val="000000"/>
                <w:sz w:val="17"/>
              </w:rPr>
              <w:t>、学习者判断</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2BA23E0E">
            <w:pPr>
              <w:spacing w:after="0" w:line="264" w:lineRule="auto"/>
              <w:jc w:val="left"/>
              <w:rPr>
                <w:b w:val="0"/>
                <w:color w:val="000000"/>
              </w:rPr>
            </w:pPr>
            <w:r>
              <w:rPr>
                <w:rFonts w:ascii="Times New Roman" w:hAnsi="Times New Roman" w:eastAsia="宋体"/>
                <w:b w:val="0"/>
                <w:color w:val="000000"/>
                <w:sz w:val="17"/>
              </w:rPr>
              <w:t>保留真实帮助；呈现早期行动与长期治理；避免单一因果</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669C47EF">
            <w:pPr>
              <w:spacing w:after="0" w:line="264" w:lineRule="auto"/>
              <w:jc w:val="left"/>
              <w:rPr>
                <w:b w:val="0"/>
                <w:color w:val="000000"/>
              </w:rPr>
            </w:pPr>
            <w:r>
              <w:rPr>
                <w:rFonts w:ascii="Times New Roman" w:hAnsi="Times New Roman" w:eastAsia="宋体"/>
                <w:b w:val="0"/>
                <w:color w:val="000000"/>
                <w:sz w:val="17"/>
              </w:rPr>
              <w:t>双语标题＋两句导语</w:t>
            </w:r>
          </w:p>
        </w:tc>
        <w:tc>
          <w:tcPr>
            <w:tcW w:w="0" w:type="auto"/>
            <w:tcBorders>
              <w:top w:val="nil"/>
              <w:left w:val="nil"/>
              <w:bottom w:val="nil"/>
              <w:right w:val="nil"/>
            </w:tcBorders>
            <w:shd w:val="clear" w:color="auto" w:fill="FFFFFF"/>
            <w:tcMar>
              <w:top w:w="80" w:type="dxa"/>
              <w:left w:w="90" w:type="dxa"/>
              <w:bottom w:w="80" w:type="dxa"/>
              <w:right w:w="90" w:type="dxa"/>
            </w:tcMar>
            <w:vAlign w:val="center"/>
          </w:tcPr>
          <w:p w14:paraId="799FD633">
            <w:pPr>
              <w:spacing w:after="0" w:line="264" w:lineRule="auto"/>
              <w:jc w:val="left"/>
              <w:rPr>
                <w:b w:val="0"/>
                <w:color w:val="000000"/>
              </w:rPr>
            </w:pPr>
            <w:r>
              <w:rPr>
                <w:rFonts w:ascii="Times New Roman" w:hAnsi="Times New Roman" w:eastAsia="宋体"/>
                <w:b w:val="0"/>
                <w:color w:val="000000"/>
                <w:sz w:val="17"/>
              </w:rPr>
              <w:t>事实边界、叙事关系与长度</w:t>
            </w:r>
          </w:p>
        </w:tc>
      </w:tr>
      <w:tr w14:paraId="6AA2D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480DA4E7">
            <w:pPr>
              <w:spacing w:after="0" w:line="264" w:lineRule="auto"/>
              <w:jc w:val="left"/>
              <w:rPr>
                <w:b w:val="0"/>
                <w:color w:val="000000"/>
              </w:rPr>
            </w:pPr>
            <w:r>
              <w:rPr>
                <w:rFonts w:ascii="Times New Roman" w:hAnsi="Times New Roman" w:eastAsia="宋体"/>
                <w:b w:val="0"/>
                <w:color w:val="000000"/>
                <w:sz w:val="17"/>
              </w:rPr>
              <w:t>试讲反馈</w:t>
            </w:r>
          </w:p>
        </w:tc>
        <w:tc>
          <w:tcPr>
            <w:tcW w:w="0" w:type="auto"/>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24A9A42F">
            <w:pPr>
              <w:spacing w:after="0" w:line="264" w:lineRule="auto"/>
              <w:jc w:val="left"/>
              <w:rPr>
                <w:b w:val="0"/>
                <w:color w:val="000000"/>
              </w:rPr>
            </w:pPr>
            <w:r>
              <w:rPr>
                <w:rFonts w:ascii="Times New Roman" w:hAnsi="Times New Roman" w:eastAsia="宋体"/>
                <w:b w:val="0"/>
                <w:color w:val="000000"/>
                <w:sz w:val="17"/>
              </w:rPr>
              <w:t>试讲转写、所选受众、</w:t>
            </w:r>
            <w:r>
              <w:rPr>
                <w:rFonts w:hint="eastAsia" w:ascii="Times New Roman" w:hAnsi="Times New Roman"/>
                <w:b w:val="0"/>
                <w:color w:val="000000"/>
                <w:sz w:val="17"/>
                <w:lang w:eastAsia="zh-CN"/>
              </w:rPr>
              <w:t>事实清单</w:t>
            </w:r>
            <w:r>
              <w:rPr>
                <w:rFonts w:ascii="Times New Roman" w:hAnsi="Times New Roman" w:eastAsia="宋体"/>
                <w:b w:val="0"/>
                <w:color w:val="000000"/>
                <w:sz w:val="17"/>
              </w:rPr>
              <w:t>、口语量表</w:t>
            </w:r>
          </w:p>
        </w:tc>
        <w:tc>
          <w:tcPr>
            <w:tcW w:w="0" w:type="auto"/>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792032CE">
            <w:pPr>
              <w:spacing w:after="0" w:line="264" w:lineRule="auto"/>
              <w:jc w:val="left"/>
              <w:rPr>
                <w:b w:val="0"/>
                <w:color w:val="000000"/>
              </w:rPr>
            </w:pPr>
            <w:r>
              <w:rPr>
                <w:rFonts w:ascii="Times New Roman" w:hAnsi="Times New Roman" w:eastAsia="宋体"/>
                <w:b w:val="0"/>
                <w:color w:val="000000"/>
                <w:sz w:val="17"/>
              </w:rPr>
              <w:t>一次只给一条优先建议；不代写全文；限定反馈长度</w:t>
            </w:r>
          </w:p>
        </w:tc>
        <w:tc>
          <w:tcPr>
            <w:tcW w:w="0" w:type="auto"/>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11E620AE">
            <w:pPr>
              <w:spacing w:after="0" w:line="264" w:lineRule="auto"/>
              <w:jc w:val="left"/>
              <w:rPr>
                <w:b w:val="0"/>
                <w:color w:val="000000"/>
              </w:rPr>
            </w:pPr>
            <w:r>
              <w:rPr>
                <w:rFonts w:ascii="Times New Roman" w:hAnsi="Times New Roman" w:eastAsia="宋体"/>
                <w:b w:val="0"/>
                <w:color w:val="000000"/>
                <w:sz w:val="17"/>
              </w:rPr>
              <w:t>一条建议＋半句语言支架</w:t>
            </w:r>
          </w:p>
        </w:tc>
        <w:tc>
          <w:tcPr>
            <w:tcW w:w="0" w:type="auto"/>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3C79136F">
            <w:pPr>
              <w:spacing w:after="0" w:line="264" w:lineRule="auto"/>
              <w:jc w:val="left"/>
              <w:rPr>
                <w:b w:val="0"/>
                <w:color w:val="000000"/>
              </w:rPr>
            </w:pPr>
            <w:r>
              <w:rPr>
                <w:rFonts w:ascii="Times New Roman" w:hAnsi="Times New Roman" w:eastAsia="宋体"/>
                <w:b w:val="0"/>
                <w:color w:val="000000"/>
                <w:sz w:val="17"/>
              </w:rPr>
              <w:t>准确性、受众适配与可执行性</w:t>
            </w:r>
          </w:p>
        </w:tc>
      </w:tr>
    </w:tbl>
    <w:p w14:paraId="438E806E">
      <w:pPr>
        <w:spacing w:after="0" w:line="360" w:lineRule="auto"/>
        <w:ind w:firstLine="420"/>
        <w:jc w:val="both"/>
        <w:rPr>
          <w:rFonts w:ascii="Times New Roman" w:hAnsi="Times New Roman" w:eastAsia="宋体"/>
          <w:b w:val="0"/>
          <w:sz w:val="21"/>
        </w:rPr>
      </w:pPr>
      <w:r>
        <w:rPr>
          <w:rFonts w:hint="eastAsia" w:ascii="Times New Roman" w:hAnsi="Times New Roman"/>
          <w:b w:val="0"/>
          <w:sz w:val="21"/>
          <w:lang w:val="en-US" w:eastAsia="zh-CN"/>
        </w:rPr>
        <w:t>主要</w:t>
      </w:r>
      <w:r>
        <w:rPr>
          <w:rFonts w:ascii="Times New Roman" w:hAnsi="Times New Roman" w:eastAsia="宋体"/>
          <w:b w:val="0"/>
          <w:sz w:val="21"/>
        </w:rPr>
        <w:t>提示词</w:t>
      </w:r>
      <w:r>
        <w:rPr>
          <w:rFonts w:hint="eastAsia" w:ascii="Times New Roman" w:hAnsi="Times New Roman"/>
          <w:b w:val="0"/>
          <w:sz w:val="21"/>
          <w:lang w:val="en-US" w:eastAsia="zh-CN"/>
        </w:rPr>
        <w:t>示例如下</w:t>
      </w:r>
      <w:r>
        <w:rPr>
          <w:rFonts w:ascii="Times New Roman" w:hAnsi="Times New Roman" w:eastAsia="宋体"/>
          <w:b w:val="0"/>
          <w:sz w:val="21"/>
        </w:rPr>
        <w:t>。</w:t>
      </w:r>
    </w:p>
    <w:p w14:paraId="5CF20AD7">
      <w:pPr>
        <w:numPr>
          <w:ilvl w:val="0"/>
          <w:numId w:val="4"/>
        </w:numPr>
        <w:spacing w:after="0" w:line="360" w:lineRule="auto"/>
        <w:ind w:left="425" w:leftChars="0" w:hanging="425" w:firstLineChars="0"/>
        <w:jc w:val="both"/>
        <w:rPr>
          <w:rFonts w:ascii="Times New Roman" w:hAnsi="Times New Roman" w:eastAsia="宋体"/>
          <w:b w:val="0"/>
          <w:sz w:val="21"/>
        </w:rPr>
      </w:pPr>
      <w:r>
        <w:rPr>
          <w:rFonts w:ascii="Times New Roman" w:hAnsi="Times New Roman" w:eastAsia="宋体"/>
          <w:b w:val="0"/>
          <w:sz w:val="21"/>
        </w:rPr>
        <w:t>适级改写提示词</w:t>
      </w:r>
      <w:r>
        <w:rPr>
          <w:rFonts w:hint="eastAsia" w:ascii="Times New Roman" w:hAnsi="Times New Roman"/>
          <w:b w:val="0"/>
          <w:sz w:val="21"/>
          <w:lang w:eastAsia="zh-CN"/>
        </w:rPr>
        <w:t>。</w:t>
      </w:r>
      <w:r>
        <w:rPr>
          <w:rFonts w:ascii="Times New Roman" w:hAnsi="Times New Roman" w:eastAsia="宋体"/>
          <w:b w:val="0"/>
          <w:sz w:val="21"/>
        </w:rPr>
        <w:t>你是面向美国中高级中文学习者的教学材料编辑。输入教师核验的</w:t>
      </w:r>
      <w:r>
        <w:rPr>
          <w:rFonts w:hint="eastAsia" w:ascii="Times New Roman" w:hAnsi="Times New Roman"/>
          <w:b w:val="0"/>
          <w:sz w:val="21"/>
          <w:lang w:eastAsia="zh-CN"/>
        </w:rPr>
        <w:t>事实清单</w:t>
      </w:r>
      <w:r>
        <w:rPr>
          <w:rFonts w:ascii="Times New Roman" w:hAnsi="Times New Roman" w:eastAsia="宋体"/>
          <w:b w:val="0"/>
          <w:sz w:val="21"/>
        </w:rPr>
        <w:t>、原始材料、</w:t>
      </w:r>
      <w:r>
        <w:rPr>
          <w:rFonts w:hint="eastAsia" w:ascii="Times New Roman" w:hAnsi="Times New Roman"/>
          <w:b w:val="0"/>
          <w:sz w:val="21"/>
          <w:lang w:val="en-US" w:eastAsia="zh-CN"/>
        </w:rPr>
        <w:t>教学</w:t>
      </w:r>
      <w:r>
        <w:rPr>
          <w:rFonts w:ascii="Times New Roman" w:hAnsi="Times New Roman" w:eastAsia="宋体"/>
          <w:b w:val="0"/>
          <w:sz w:val="21"/>
        </w:rPr>
        <w:t>目标、目标词汇和预计音频时长。只使用</w:t>
      </w:r>
      <w:r>
        <w:rPr>
          <w:rFonts w:hint="eastAsia" w:ascii="Times New Roman" w:hAnsi="Times New Roman"/>
          <w:b w:val="0"/>
          <w:sz w:val="21"/>
          <w:lang w:eastAsia="zh-CN"/>
        </w:rPr>
        <w:t>事实清单</w:t>
      </w:r>
      <w:r>
        <w:rPr>
          <w:rFonts w:ascii="Times New Roman" w:hAnsi="Times New Roman" w:eastAsia="宋体"/>
          <w:b w:val="0"/>
          <w:sz w:val="21"/>
        </w:rPr>
        <w:t>信息，不补写人物心理、未证实原因或虚构原话；保留关键时间、数字和因果边界；面向Intermediate High—Advanced Low学习者控制低频词、长句和信息密度；保留人物、年代和关键数字。输出听力文本、1道主旨题和2道细节题，并列出需教师复核之处。</w:t>
      </w:r>
    </w:p>
    <w:p w14:paraId="48B8E67D">
      <w:pPr>
        <w:numPr>
          <w:ilvl w:val="0"/>
          <w:numId w:val="4"/>
        </w:numPr>
        <w:spacing w:after="0" w:line="360" w:lineRule="auto"/>
        <w:ind w:left="425" w:leftChars="0" w:hanging="425" w:firstLineChars="0"/>
        <w:jc w:val="both"/>
        <w:rPr>
          <w:rFonts w:ascii="Times New Roman" w:hAnsi="Times New Roman" w:eastAsia="宋体"/>
          <w:b w:val="0"/>
          <w:sz w:val="21"/>
        </w:rPr>
      </w:pPr>
      <w:r>
        <w:rPr>
          <w:rFonts w:ascii="Times New Roman" w:hAnsi="Times New Roman" w:eastAsia="宋体"/>
          <w:b w:val="0"/>
          <w:sz w:val="21"/>
        </w:rPr>
        <w:t>划词注释提示词</w:t>
      </w:r>
      <w:r>
        <w:rPr>
          <w:rFonts w:hint="eastAsia" w:ascii="Times New Roman" w:hAnsi="Times New Roman"/>
          <w:b w:val="0"/>
          <w:sz w:val="21"/>
          <w:lang w:eastAsia="zh-CN"/>
        </w:rPr>
        <w:t>。</w:t>
      </w:r>
      <w:r>
        <w:rPr>
          <w:rFonts w:ascii="Times New Roman" w:hAnsi="Times New Roman" w:eastAsia="宋体"/>
          <w:b w:val="0"/>
          <w:sz w:val="21"/>
        </w:rPr>
        <w:t>只解释用户选中的1—8个汉字，不延伸故事事实。严格返回四行：词语；带调拼音（词内音节连续）；简明英文；8—20个汉字的自然例句。不要添加其他内容。</w:t>
      </w:r>
    </w:p>
    <w:p w14:paraId="17F4665F">
      <w:pPr>
        <w:numPr>
          <w:ilvl w:val="0"/>
          <w:numId w:val="4"/>
        </w:numPr>
        <w:spacing w:after="0" w:line="360" w:lineRule="auto"/>
        <w:ind w:left="425" w:leftChars="0" w:hanging="425" w:firstLineChars="0"/>
        <w:jc w:val="both"/>
        <w:rPr>
          <w:rFonts w:ascii="Times New Roman" w:hAnsi="Times New Roman" w:eastAsia="宋体"/>
          <w:b w:val="0"/>
          <w:sz w:val="21"/>
        </w:rPr>
      </w:pPr>
      <w:r>
        <w:rPr>
          <w:rFonts w:ascii="Times New Roman" w:hAnsi="Times New Roman" w:eastAsia="宋体"/>
          <w:b w:val="0"/>
          <w:sz w:val="21"/>
        </w:rPr>
        <w:t>试讲反馈提示词</w:t>
      </w:r>
      <w:r>
        <w:rPr>
          <w:rFonts w:hint="eastAsia" w:ascii="Times New Roman" w:hAnsi="Times New Roman"/>
          <w:b w:val="0"/>
          <w:sz w:val="21"/>
          <w:lang w:eastAsia="zh-CN"/>
        </w:rPr>
        <w:t>。</w:t>
      </w:r>
      <w:r>
        <w:rPr>
          <w:rFonts w:ascii="Times New Roman" w:hAnsi="Times New Roman" w:eastAsia="宋体"/>
          <w:b w:val="0"/>
          <w:sz w:val="21"/>
        </w:rPr>
        <w:t>你是中文听说课的试讲</w:t>
      </w:r>
      <w:r>
        <w:rPr>
          <w:rFonts w:hint="eastAsia" w:ascii="Times New Roman" w:hAnsi="Times New Roman"/>
          <w:b w:val="0"/>
          <w:sz w:val="21"/>
          <w:lang w:val="en-US" w:eastAsia="zh-CN"/>
        </w:rPr>
        <w:t>老师</w:t>
      </w:r>
      <w:r>
        <w:rPr>
          <w:rFonts w:ascii="Times New Roman" w:hAnsi="Times New Roman" w:eastAsia="宋体"/>
          <w:b w:val="0"/>
          <w:sz w:val="21"/>
        </w:rPr>
        <w:t>。根据30—45秒试讲转写，只给一条能立刻执行的建议；依次检查受众、两个时间节点、时代背景与治沙主线、帮助与单一因果边界；总计不超过60个汉字，并给</w:t>
      </w:r>
      <w:r>
        <w:rPr>
          <w:rFonts w:hint="eastAsia" w:ascii="Times New Roman" w:hAnsi="Times New Roman"/>
          <w:b w:val="0"/>
          <w:sz w:val="21"/>
          <w:lang w:val="en-US" w:eastAsia="zh-CN"/>
        </w:rPr>
        <w:t>出</w:t>
      </w:r>
      <w:r>
        <w:rPr>
          <w:rFonts w:ascii="Times New Roman" w:hAnsi="Times New Roman" w:eastAsia="宋体"/>
          <w:b w:val="0"/>
          <w:sz w:val="21"/>
        </w:rPr>
        <w:t>一个</w:t>
      </w:r>
      <w:r>
        <w:rPr>
          <w:rFonts w:hint="eastAsia" w:ascii="Times New Roman" w:hAnsi="Times New Roman"/>
          <w:b w:val="0"/>
          <w:sz w:val="21"/>
          <w:lang w:val="en-US" w:eastAsia="zh-CN"/>
        </w:rPr>
        <w:t>简短的表达</w:t>
      </w:r>
      <w:r>
        <w:rPr>
          <w:rFonts w:ascii="Times New Roman" w:hAnsi="Times New Roman" w:eastAsia="宋体"/>
          <w:b w:val="0"/>
          <w:sz w:val="21"/>
        </w:rPr>
        <w:t>支架。</w:t>
      </w:r>
    </w:p>
    <w:p w14:paraId="76C9BD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仿宋" w:hAnsi="仿宋" w:eastAsia="仿宋" w:cs="仿宋"/>
          <w:b w:val="0"/>
          <w:sz w:val="20"/>
          <w:szCs w:val="20"/>
          <w:lang w:val="en-US" w:eastAsia="zh-CN"/>
        </w:rPr>
      </w:pPr>
      <w:r>
        <w:rPr>
          <w:rFonts w:hint="eastAsia" w:ascii="仿宋" w:hAnsi="仿宋" w:eastAsia="仿宋" w:cs="仿宋"/>
          <w:b w:val="0"/>
          <w:sz w:val="20"/>
          <w:szCs w:val="20"/>
          <w:lang w:val="en-US" w:eastAsia="zh-CN"/>
        </w:rPr>
        <w:t>表3 关键界面与教学任务对应表</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1816"/>
        <w:gridCol w:w="5395"/>
      </w:tblGrid>
      <w:tr w14:paraId="158C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Borders>
              <w:top w:val="single" w:color="000000" w:sz="12" w:space="0"/>
              <w:left w:val="nil"/>
              <w:bottom w:val="single" w:color="000000" w:sz="4" w:space="0"/>
              <w:right w:val="nil"/>
              <w:tl2br w:val="nil"/>
            </w:tcBorders>
            <w:shd w:val="clear" w:color="auto" w:fill="FFFFFF"/>
          </w:tcPr>
          <w:p w14:paraId="7AD202E5">
            <w:pPr>
              <w:spacing w:after="0" w:line="240" w:lineRule="auto"/>
              <w:ind w:left="0" w:leftChars="0" w:right="0" w:rightChars="0" w:firstLine="0" w:firstLineChars="0"/>
              <w:jc w:val="center"/>
              <w:rPr>
                <w:b/>
                <w:bCs/>
                <w:color w:val="000000"/>
              </w:rPr>
            </w:pPr>
            <w:r>
              <w:rPr>
                <w:rFonts w:hint="eastAsia" w:ascii="Times New Roman" w:hAnsi="Times New Roman" w:eastAsia="宋体"/>
                <w:b/>
                <w:bCs/>
                <w:color w:val="000000"/>
                <w:sz w:val="21"/>
              </w:rPr>
              <w:t>界面</w:t>
            </w:r>
          </w:p>
        </w:tc>
        <w:tc>
          <w:tcPr>
            <w:tcW w:w="1065" w:type="pct"/>
            <w:tcBorders>
              <w:top w:val="single" w:color="000000" w:sz="12" w:space="0"/>
              <w:left w:val="nil"/>
              <w:bottom w:val="single" w:color="000000" w:sz="4" w:space="0"/>
              <w:right w:val="nil"/>
            </w:tcBorders>
            <w:shd w:val="clear" w:color="auto" w:fill="FFFFFF"/>
          </w:tcPr>
          <w:p w14:paraId="3687C358">
            <w:pPr>
              <w:spacing w:after="0" w:line="240" w:lineRule="auto"/>
              <w:ind w:left="0" w:leftChars="0" w:right="0" w:rightChars="0" w:firstLine="0" w:firstLineChars="0"/>
              <w:jc w:val="center"/>
              <w:rPr>
                <w:b/>
                <w:bCs/>
                <w:color w:val="000000"/>
              </w:rPr>
            </w:pPr>
            <w:r>
              <w:rPr>
                <w:rFonts w:hint="eastAsia" w:ascii="Times New Roman" w:hAnsi="Times New Roman" w:eastAsia="宋体"/>
                <w:b/>
                <w:bCs/>
                <w:color w:val="000000"/>
                <w:sz w:val="21"/>
              </w:rPr>
              <w:t>对应环节</w:t>
            </w:r>
          </w:p>
        </w:tc>
        <w:tc>
          <w:tcPr>
            <w:tcW w:w="3164" w:type="pct"/>
            <w:tcBorders>
              <w:top w:val="single" w:color="000000" w:sz="12" w:space="0"/>
              <w:left w:val="nil"/>
              <w:bottom w:val="single" w:color="000000" w:sz="4" w:space="0"/>
              <w:right w:val="nil"/>
            </w:tcBorders>
            <w:shd w:val="clear" w:color="auto" w:fill="FFFFFF"/>
          </w:tcPr>
          <w:p w14:paraId="2F9CD33E">
            <w:pPr>
              <w:spacing w:after="0" w:line="240" w:lineRule="auto"/>
              <w:ind w:left="0" w:leftChars="0" w:right="0" w:rightChars="0" w:firstLine="0" w:firstLineChars="0"/>
              <w:jc w:val="center"/>
              <w:rPr>
                <w:b/>
                <w:bCs/>
                <w:color w:val="000000"/>
              </w:rPr>
            </w:pPr>
            <w:r>
              <w:rPr>
                <w:rFonts w:hint="eastAsia" w:ascii="Times New Roman" w:hAnsi="Times New Roman" w:eastAsia="宋体"/>
                <w:b/>
                <w:bCs/>
                <w:color w:val="000000"/>
                <w:sz w:val="21"/>
              </w:rPr>
              <w:t>设计证据</w:t>
            </w:r>
          </w:p>
        </w:tc>
      </w:tr>
      <w:tr w14:paraId="4CF4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Borders>
              <w:top w:val="single" w:color="000000" w:sz="4" w:space="0"/>
              <w:left w:val="nil"/>
              <w:bottom w:val="nil"/>
              <w:right w:val="nil"/>
            </w:tcBorders>
            <w:shd w:val="clear" w:color="auto" w:fill="FFFFFF"/>
          </w:tcPr>
          <w:p w14:paraId="21C33DD7">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三则听力</w:t>
            </w:r>
          </w:p>
        </w:tc>
        <w:tc>
          <w:tcPr>
            <w:tcW w:w="1065" w:type="pct"/>
            <w:tcBorders>
              <w:top w:val="single" w:color="000000" w:sz="4" w:space="0"/>
              <w:left w:val="nil"/>
              <w:bottom w:val="nil"/>
              <w:right w:val="nil"/>
            </w:tcBorders>
            <w:shd w:val="clear" w:color="auto" w:fill="FFFFFF"/>
          </w:tcPr>
          <w:p w14:paraId="5E2B45A8">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真实输入</w:t>
            </w:r>
          </w:p>
        </w:tc>
        <w:tc>
          <w:tcPr>
            <w:tcW w:w="3164" w:type="pct"/>
            <w:tcBorders>
              <w:top w:val="single" w:color="000000" w:sz="4" w:space="0"/>
              <w:left w:val="nil"/>
              <w:bottom w:val="nil"/>
              <w:right w:val="nil"/>
            </w:tcBorders>
            <w:shd w:val="clear" w:color="auto" w:fill="FFFFFF"/>
          </w:tcPr>
          <w:p w14:paraId="6DD32B87">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听前预测—主旨理解—细节理解；按需开放重听、原文和划词注释</w:t>
            </w:r>
          </w:p>
        </w:tc>
      </w:tr>
      <w:tr w14:paraId="041D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Borders>
              <w:top w:val="nil"/>
              <w:left w:val="nil"/>
              <w:bottom w:val="nil"/>
              <w:right w:val="nil"/>
            </w:tcBorders>
            <w:shd w:val="clear" w:color="auto" w:fill="FFFFFF"/>
          </w:tcPr>
          <w:p w14:paraId="4F011C70">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国情拓展</w:t>
            </w:r>
          </w:p>
        </w:tc>
        <w:tc>
          <w:tcPr>
            <w:tcW w:w="1065" w:type="pct"/>
            <w:tcBorders>
              <w:top w:val="nil"/>
              <w:left w:val="nil"/>
              <w:bottom w:val="nil"/>
              <w:right w:val="nil"/>
            </w:tcBorders>
            <w:shd w:val="clear" w:color="auto" w:fill="FFFFFF"/>
          </w:tcPr>
          <w:p w14:paraId="5BCBC95C">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信息重组</w:t>
            </w:r>
          </w:p>
        </w:tc>
        <w:tc>
          <w:tcPr>
            <w:tcW w:w="3164" w:type="pct"/>
            <w:tcBorders>
              <w:top w:val="nil"/>
              <w:left w:val="nil"/>
              <w:bottom w:val="nil"/>
              <w:right w:val="nil"/>
            </w:tcBorders>
            <w:shd w:val="clear" w:color="auto" w:fill="FFFFFF"/>
          </w:tcPr>
          <w:p w14:paraId="5FE0D1BF">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教学微纪录片、真实新闻、国情卡和时间线共同支持事实、时间与治理背景重组</w:t>
            </w:r>
          </w:p>
        </w:tc>
      </w:tr>
      <w:tr w14:paraId="1038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Borders>
              <w:top w:val="nil"/>
              <w:left w:val="nil"/>
              <w:bottom w:val="single" w:color="000000" w:sz="12" w:space="0"/>
              <w:right w:val="nil"/>
            </w:tcBorders>
            <w:shd w:val="clear" w:color="auto" w:fill="FFFFFF"/>
          </w:tcPr>
          <w:p w14:paraId="44248626">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口语讲述</w:t>
            </w:r>
          </w:p>
        </w:tc>
        <w:tc>
          <w:tcPr>
            <w:tcW w:w="1065" w:type="pct"/>
            <w:tcBorders>
              <w:top w:val="nil"/>
              <w:left w:val="nil"/>
              <w:bottom w:val="single" w:color="000000" w:sz="12" w:space="0"/>
              <w:right w:val="nil"/>
            </w:tcBorders>
            <w:shd w:val="clear" w:color="auto" w:fill="FFFFFF"/>
          </w:tcPr>
          <w:p w14:paraId="06B5E8D4">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反馈与再表达</w:t>
            </w:r>
          </w:p>
        </w:tc>
        <w:tc>
          <w:tcPr>
            <w:tcW w:w="3164" w:type="pct"/>
            <w:tcBorders>
              <w:top w:val="nil"/>
              <w:left w:val="nil"/>
              <w:bottom w:val="single" w:color="000000" w:sz="12" w:space="0"/>
              <w:right w:val="nil"/>
            </w:tcBorders>
            <w:shd w:val="clear" w:color="auto" w:fill="FFFFFF"/>
          </w:tcPr>
          <w:p w14:paraId="1AD5E3F2">
            <w:pPr>
              <w:spacing w:after="0" w:line="240" w:lineRule="auto"/>
              <w:ind w:left="0" w:leftChars="0" w:right="0" w:rightChars="0" w:firstLine="0" w:firstLineChars="0"/>
              <w:jc w:val="both"/>
              <w:rPr>
                <w:b w:val="0"/>
                <w:color w:val="000000"/>
              </w:rPr>
            </w:pPr>
            <w:r>
              <w:rPr>
                <w:rFonts w:hint="eastAsia" w:ascii="Times New Roman" w:hAnsi="Times New Roman" w:eastAsia="宋体"/>
                <w:b w:val="0"/>
                <w:color w:val="000000"/>
                <w:sz w:val="21"/>
              </w:rPr>
              <w:t>选择受众—30至45秒初始试讲—GAI单点反馈—学习者判断—60至90秒再次讲述</w:t>
            </w:r>
          </w:p>
        </w:tc>
      </w:tr>
    </w:tbl>
    <w:p w14:paraId="39A77019">
      <w:pPr>
        <w:spacing w:after="0" w:line="360" w:lineRule="auto"/>
        <w:jc w:val="both"/>
        <w:rPr>
          <w:rFonts w:ascii="Times New Roman" w:hAnsi="Times New Roman" w:eastAsia="宋体"/>
          <w:b w:val="0"/>
          <w:sz w:val="21"/>
        </w:rPr>
      </w:pPr>
      <w:r>
        <w:rPr>
          <w:rFonts w:ascii="宋体" w:hAnsi="宋体" w:eastAsia="宋体" w:cs="宋体"/>
          <w:sz w:val="24"/>
          <w:szCs w:val="24"/>
        </w:rPr>
        <w:pict>
          <v:shape id="_x0000_i1026" o:spt="75" alt="IMG_256" type="#_x0000_t75" style="height:243.1pt;width:394.1pt;" filled="f" o:preferrelative="t" stroked="f" coordsize="21600,21600">
            <v:path/>
            <v:fill on="f" focussize="0,0"/>
            <v:stroke on="f"/>
            <v:imagedata r:id="rId7" o:title="IMG_256"/>
            <o:lock v:ext="edit" aspectratio="t"/>
            <w10:wrap type="none"/>
            <w10:anchorlock/>
          </v:shape>
        </w:pict>
      </w:r>
    </w:p>
    <w:p w14:paraId="44C8C9F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imes New Roman" w:hAnsi="Times New Roman" w:eastAsia="宋体"/>
          <w:b w:val="0"/>
          <w:sz w:val="21"/>
        </w:rPr>
      </w:pPr>
      <w:r>
        <w:rPr>
          <w:rFonts w:hint="eastAsia" w:ascii="仿宋" w:hAnsi="仿宋" w:eastAsia="仿宋" w:cs="仿宋"/>
          <w:b w:val="0"/>
          <w:sz w:val="20"/>
          <w:szCs w:val="20"/>
          <w:lang w:val="en-US" w:eastAsia="zh-CN"/>
        </w:rPr>
        <w:t>图2 主要网页界面展示</w:t>
      </w:r>
    </w:p>
    <w:p w14:paraId="16C1E08A">
      <w:pPr>
        <w:spacing w:after="0" w:line="360" w:lineRule="auto"/>
        <w:ind w:firstLine="420"/>
        <w:jc w:val="both"/>
        <w:rPr>
          <w:rFonts w:ascii="Times New Roman" w:hAnsi="Times New Roman" w:eastAsia="宋体"/>
          <w:b w:val="0"/>
          <w:sz w:val="21"/>
        </w:rPr>
      </w:pPr>
      <w:r>
        <w:rPr>
          <w:rFonts w:ascii="Times New Roman" w:hAnsi="Times New Roman" w:eastAsia="宋体"/>
          <w:b w:val="0"/>
          <w:sz w:val="21"/>
        </w:rPr>
        <w:t>开发过程中通过教师测试和目标学习者小规模试用发现问题，并将测试证据直接转化为下一轮设计修改。</w:t>
      </w:r>
    </w:p>
    <w:p w14:paraId="6EC4D90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仿宋" w:hAnsi="仿宋" w:eastAsia="仿宋" w:cs="仿宋"/>
          <w:b w:val="0"/>
          <w:sz w:val="20"/>
          <w:szCs w:val="20"/>
          <w:lang w:val="en-US" w:eastAsia="zh-CN"/>
        </w:rPr>
      </w:pPr>
      <w:r>
        <w:rPr>
          <w:rFonts w:hint="eastAsia" w:ascii="仿宋" w:hAnsi="仿宋" w:eastAsia="仿宋" w:cs="仿宋"/>
          <w:b w:val="0"/>
          <w:sz w:val="20"/>
          <w:szCs w:val="20"/>
          <w:lang w:val="en-US" w:eastAsia="zh-CN"/>
        </w:rPr>
        <w:t>表4 教师测试与修订流程</w:t>
      </w:r>
    </w:p>
    <w:tbl>
      <w:tblPr>
        <w:tblStyle w:val="1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72"/>
        <w:gridCol w:w="2674"/>
        <w:gridCol w:w="4576"/>
      </w:tblGrid>
      <w:tr w14:paraId="7BF59F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72" w:type="dxa"/>
            <w:tcBorders>
              <w:top w:val="single" w:color="auto" w:sz="12" w:space="0"/>
              <w:left w:val="nil"/>
              <w:bottom w:val="nil"/>
              <w:right w:val="nil"/>
            </w:tcBorders>
            <w:noWrap w:val="0"/>
            <w:tcMar>
              <w:top w:w="-1" w:type="dxa"/>
              <w:left w:w="-1" w:type="dxa"/>
              <w:bottom w:w="-1" w:type="dxa"/>
              <w:right w:w="-1" w:type="dxa"/>
            </w:tcMar>
            <w:vAlign w:val="center"/>
          </w:tcPr>
          <w:p w14:paraId="303A27DB">
            <w:pPr>
              <w:keepNext/>
              <w:snapToGrid w:val="0"/>
              <w:spacing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z w:val="21"/>
                <w:lang w:eastAsia="zh-CN"/>
              </w:rPr>
              <w:t>测试环节</w:t>
            </w:r>
          </w:p>
        </w:tc>
        <w:tc>
          <w:tcPr>
            <w:tcW w:w="2674" w:type="dxa"/>
            <w:tcBorders>
              <w:top w:val="single" w:color="auto" w:sz="12" w:space="0"/>
              <w:left w:val="nil"/>
              <w:bottom w:val="nil"/>
              <w:right w:val="nil"/>
            </w:tcBorders>
            <w:noWrap w:val="0"/>
            <w:tcMar>
              <w:top w:w="-1" w:type="dxa"/>
              <w:left w:w="-1" w:type="dxa"/>
              <w:bottom w:w="-1" w:type="dxa"/>
              <w:right w:w="-1" w:type="dxa"/>
            </w:tcMar>
            <w:vAlign w:val="center"/>
          </w:tcPr>
          <w:p w14:paraId="0D70175C">
            <w:pPr>
              <w:keepNext/>
              <w:snapToGrid w:val="0"/>
              <w:spacing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z w:val="21"/>
                <w:lang w:eastAsia="zh-CN"/>
              </w:rPr>
              <w:t>主要问题</w:t>
            </w:r>
          </w:p>
        </w:tc>
        <w:tc>
          <w:tcPr>
            <w:tcW w:w="4576" w:type="dxa"/>
            <w:tcBorders>
              <w:top w:val="single" w:color="auto" w:sz="12" w:space="0"/>
              <w:left w:val="nil"/>
              <w:bottom w:val="nil"/>
              <w:right w:val="nil"/>
            </w:tcBorders>
            <w:noWrap w:val="0"/>
            <w:tcMar>
              <w:top w:w="-1" w:type="dxa"/>
              <w:left w:w="-1" w:type="dxa"/>
              <w:bottom w:w="-1" w:type="dxa"/>
              <w:right w:w="-1" w:type="dxa"/>
            </w:tcMar>
            <w:vAlign w:val="center"/>
          </w:tcPr>
          <w:p w14:paraId="375A9D5E">
            <w:pPr>
              <w:keepNext/>
              <w:snapToGrid w:val="0"/>
              <w:spacing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z w:val="21"/>
                <w:lang w:eastAsia="zh-CN"/>
              </w:rPr>
              <w:t>进入下一轮的修改</w:t>
            </w:r>
          </w:p>
        </w:tc>
      </w:tr>
      <w:tr w14:paraId="3192DD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2" w:type="dxa"/>
            <w:tcBorders>
              <w:top w:val="single" w:color="auto" w:sz="4" w:space="0"/>
              <w:left w:val="nil"/>
              <w:bottom w:val="nil"/>
              <w:right w:val="nil"/>
            </w:tcBorders>
            <w:noWrap w:val="0"/>
            <w:tcMar>
              <w:top w:w="-1" w:type="dxa"/>
              <w:left w:w="-1" w:type="dxa"/>
              <w:bottom w:w="-1" w:type="dxa"/>
              <w:right w:w="-1" w:type="dxa"/>
            </w:tcMar>
            <w:vAlign w:val="center"/>
          </w:tcPr>
          <w:p w14:paraId="755F0918">
            <w:pPr>
              <w:keepNext/>
              <w:snapToGrid w:val="0"/>
              <w:spacing w:after="0" w:line="240" w:lineRule="auto"/>
              <w:ind w:left="0" w:leftChars="0" w:right="0" w:rightChars="0" w:firstLine="0" w:firstLineChars="0"/>
              <w:jc w:val="center"/>
              <w:rPr>
                <w:rFonts w:ascii="Times New Roman" w:eastAsia="宋体"/>
                <w:sz w:val="21"/>
              </w:rPr>
            </w:pPr>
            <w:r>
              <w:rPr>
                <w:rFonts w:hint="eastAsia" w:ascii="Times New Roman" w:hAnsi="Times New Roman" w:eastAsia="宋体"/>
                <w:b w:val="0"/>
                <w:sz w:val="21"/>
                <w:lang w:eastAsia="zh-CN"/>
              </w:rPr>
              <w:t>听前任务</w:t>
            </w:r>
          </w:p>
        </w:tc>
        <w:tc>
          <w:tcPr>
            <w:tcW w:w="2674" w:type="dxa"/>
            <w:tcBorders>
              <w:top w:val="single" w:color="auto" w:sz="4" w:space="0"/>
              <w:left w:val="nil"/>
              <w:bottom w:val="nil"/>
              <w:right w:val="nil"/>
            </w:tcBorders>
            <w:noWrap w:val="0"/>
            <w:tcMar>
              <w:top w:w="-1" w:type="dxa"/>
              <w:left w:w="-1" w:type="dxa"/>
              <w:bottom w:w="-1" w:type="dxa"/>
              <w:right w:w="-1" w:type="dxa"/>
            </w:tcMar>
            <w:vAlign w:val="center"/>
          </w:tcPr>
          <w:p w14:paraId="71BDD511">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进入真实材料前观察与预测不足</w:t>
            </w:r>
          </w:p>
        </w:tc>
        <w:tc>
          <w:tcPr>
            <w:tcW w:w="4576" w:type="dxa"/>
            <w:tcBorders>
              <w:top w:val="single" w:color="auto" w:sz="4" w:space="0"/>
              <w:left w:val="nil"/>
              <w:bottom w:val="nil"/>
              <w:right w:val="nil"/>
            </w:tcBorders>
            <w:noWrap w:val="0"/>
            <w:tcMar>
              <w:top w:w="-1" w:type="dxa"/>
              <w:left w:w="-1" w:type="dxa"/>
              <w:bottom w:w="-1" w:type="dxa"/>
              <w:right w:w="-1" w:type="dxa"/>
            </w:tcMar>
            <w:vAlign w:val="center"/>
          </w:tcPr>
          <w:p w14:paraId="4D85C38B">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设置See–Think–Wonder短任务，保留学习者的视觉注意、初步解释与问题</w:t>
            </w:r>
          </w:p>
        </w:tc>
      </w:tr>
      <w:tr w14:paraId="142CA8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2" w:type="dxa"/>
            <w:tcBorders>
              <w:top w:val="nil"/>
              <w:left w:val="nil"/>
              <w:bottom w:val="nil"/>
              <w:right w:val="nil"/>
            </w:tcBorders>
            <w:noWrap w:val="0"/>
            <w:tcMar>
              <w:top w:w="-1" w:type="dxa"/>
              <w:left w:w="-1" w:type="dxa"/>
              <w:bottom w:w="-1" w:type="dxa"/>
              <w:right w:w="-1" w:type="dxa"/>
            </w:tcMar>
            <w:vAlign w:val="center"/>
          </w:tcPr>
          <w:p w14:paraId="141BA7B3">
            <w:pPr>
              <w:keepNext/>
              <w:snapToGrid w:val="0"/>
              <w:spacing w:after="0" w:line="240" w:lineRule="auto"/>
              <w:ind w:left="0" w:leftChars="0" w:right="0" w:rightChars="0" w:firstLine="0" w:firstLineChars="0"/>
              <w:jc w:val="center"/>
              <w:rPr>
                <w:rFonts w:ascii="Times New Roman" w:eastAsia="宋体"/>
                <w:sz w:val="21"/>
              </w:rPr>
            </w:pPr>
            <w:r>
              <w:rPr>
                <w:rFonts w:hint="eastAsia" w:ascii="Times New Roman" w:hAnsi="Times New Roman" w:eastAsia="宋体"/>
                <w:b w:val="0"/>
                <w:sz w:val="21"/>
                <w:lang w:eastAsia="zh-CN"/>
              </w:rPr>
              <w:t>听力任务</w:t>
            </w:r>
          </w:p>
        </w:tc>
        <w:tc>
          <w:tcPr>
            <w:tcW w:w="2674" w:type="dxa"/>
            <w:tcBorders>
              <w:top w:val="nil"/>
              <w:left w:val="nil"/>
              <w:bottom w:val="nil"/>
              <w:right w:val="nil"/>
            </w:tcBorders>
            <w:noWrap w:val="0"/>
            <w:tcMar>
              <w:top w:w="-1" w:type="dxa"/>
              <w:left w:w="-1" w:type="dxa"/>
              <w:bottom w:w="-1" w:type="dxa"/>
              <w:right w:w="-1" w:type="dxa"/>
            </w:tcMar>
            <w:vAlign w:val="center"/>
          </w:tcPr>
          <w:p w14:paraId="722398C3">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题目和选项可能产生形式线索</w:t>
            </w:r>
          </w:p>
        </w:tc>
        <w:tc>
          <w:tcPr>
            <w:tcW w:w="4576" w:type="dxa"/>
            <w:tcBorders>
              <w:top w:val="nil"/>
              <w:left w:val="nil"/>
              <w:bottom w:val="nil"/>
              <w:right w:val="nil"/>
            </w:tcBorders>
            <w:noWrap w:val="0"/>
            <w:tcMar>
              <w:top w:w="-1" w:type="dxa"/>
              <w:left w:w="-1" w:type="dxa"/>
              <w:bottom w:w="-1" w:type="dxa"/>
              <w:right w:w="-1" w:type="dxa"/>
            </w:tcMar>
            <w:vAlign w:val="center"/>
          </w:tcPr>
          <w:p w14:paraId="55E39A6D">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重新核对考点、干扰项和选项长度，平衡正确答案位置</w:t>
            </w:r>
          </w:p>
        </w:tc>
      </w:tr>
      <w:tr w14:paraId="26AAD1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2" w:type="dxa"/>
            <w:tcBorders>
              <w:top w:val="nil"/>
              <w:left w:val="nil"/>
              <w:bottom w:val="nil"/>
              <w:right w:val="nil"/>
            </w:tcBorders>
            <w:noWrap w:val="0"/>
            <w:tcMar>
              <w:top w:w="-1" w:type="dxa"/>
              <w:left w:w="-1" w:type="dxa"/>
              <w:bottom w:w="-1" w:type="dxa"/>
              <w:right w:w="-1" w:type="dxa"/>
            </w:tcMar>
            <w:vAlign w:val="center"/>
          </w:tcPr>
          <w:p w14:paraId="182A2289">
            <w:pPr>
              <w:keepNext/>
              <w:snapToGrid w:val="0"/>
              <w:spacing w:after="0" w:line="240" w:lineRule="auto"/>
              <w:ind w:left="0" w:leftChars="0" w:right="0" w:rightChars="0" w:firstLine="0" w:firstLineChars="0"/>
              <w:jc w:val="center"/>
              <w:rPr>
                <w:rFonts w:ascii="Times New Roman" w:eastAsia="宋体"/>
                <w:sz w:val="21"/>
              </w:rPr>
            </w:pPr>
            <w:r>
              <w:rPr>
                <w:rFonts w:hint="eastAsia" w:ascii="Times New Roman" w:hAnsi="Times New Roman" w:eastAsia="宋体"/>
                <w:b w:val="0"/>
                <w:sz w:val="21"/>
                <w:lang w:eastAsia="zh-CN"/>
              </w:rPr>
              <w:t>学习支架</w:t>
            </w:r>
          </w:p>
        </w:tc>
        <w:tc>
          <w:tcPr>
            <w:tcW w:w="2674" w:type="dxa"/>
            <w:tcBorders>
              <w:top w:val="nil"/>
              <w:left w:val="nil"/>
              <w:bottom w:val="nil"/>
              <w:right w:val="nil"/>
            </w:tcBorders>
            <w:noWrap w:val="0"/>
            <w:tcMar>
              <w:top w:w="-1" w:type="dxa"/>
              <w:left w:w="-1" w:type="dxa"/>
              <w:bottom w:w="-1" w:type="dxa"/>
              <w:right w:w="-1" w:type="dxa"/>
            </w:tcMar>
            <w:vAlign w:val="center"/>
          </w:tcPr>
          <w:p w14:paraId="180B8515">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支架过早呈现可能降低听辨投入</w:t>
            </w:r>
          </w:p>
        </w:tc>
        <w:tc>
          <w:tcPr>
            <w:tcW w:w="4576" w:type="dxa"/>
            <w:tcBorders>
              <w:top w:val="nil"/>
              <w:left w:val="nil"/>
              <w:bottom w:val="nil"/>
              <w:right w:val="nil"/>
            </w:tcBorders>
            <w:noWrap w:val="0"/>
            <w:tcMar>
              <w:top w:w="-1" w:type="dxa"/>
              <w:left w:w="-1" w:type="dxa"/>
              <w:bottom w:w="-1" w:type="dxa"/>
              <w:right w:w="-1" w:type="dxa"/>
            </w:tcMar>
            <w:vAlign w:val="center"/>
          </w:tcPr>
          <w:p w14:paraId="5F232098">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听前词表默认折叠；按任务进度开放原文、划词注释和字幕</w:t>
            </w:r>
          </w:p>
        </w:tc>
      </w:tr>
      <w:tr w14:paraId="257942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2" w:type="dxa"/>
            <w:tcBorders>
              <w:top w:val="nil"/>
              <w:left w:val="nil"/>
              <w:bottom w:val="nil"/>
              <w:right w:val="nil"/>
            </w:tcBorders>
            <w:noWrap w:val="0"/>
            <w:tcMar>
              <w:top w:w="-1" w:type="dxa"/>
              <w:left w:w="-1" w:type="dxa"/>
              <w:bottom w:w="-1" w:type="dxa"/>
              <w:right w:w="-1" w:type="dxa"/>
            </w:tcMar>
            <w:vAlign w:val="center"/>
          </w:tcPr>
          <w:p w14:paraId="11D84D73">
            <w:pPr>
              <w:keepNext/>
              <w:snapToGrid w:val="0"/>
              <w:spacing w:after="0" w:line="240" w:lineRule="auto"/>
              <w:ind w:left="0" w:leftChars="0" w:right="0" w:rightChars="0" w:firstLine="0" w:firstLineChars="0"/>
              <w:jc w:val="center"/>
              <w:rPr>
                <w:rFonts w:ascii="Times New Roman" w:eastAsia="宋体"/>
                <w:sz w:val="21"/>
              </w:rPr>
            </w:pPr>
            <w:r>
              <w:rPr>
                <w:rFonts w:hint="eastAsia" w:ascii="Times New Roman" w:hAnsi="Times New Roman" w:eastAsia="宋体"/>
                <w:b w:val="0"/>
                <w:sz w:val="21"/>
                <w:lang w:eastAsia="zh-CN"/>
              </w:rPr>
              <w:t>口语任务</w:t>
            </w:r>
          </w:p>
        </w:tc>
        <w:tc>
          <w:tcPr>
            <w:tcW w:w="2674" w:type="dxa"/>
            <w:tcBorders>
              <w:top w:val="nil"/>
              <w:left w:val="nil"/>
              <w:bottom w:val="nil"/>
              <w:right w:val="nil"/>
            </w:tcBorders>
            <w:noWrap w:val="0"/>
            <w:tcMar>
              <w:top w:w="-1" w:type="dxa"/>
              <w:left w:w="-1" w:type="dxa"/>
              <w:bottom w:w="-1" w:type="dxa"/>
              <w:right w:w="-1" w:type="dxa"/>
            </w:tcMar>
            <w:vAlign w:val="center"/>
          </w:tcPr>
          <w:p w14:paraId="561C4392">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一次性正式讲述缺少形成性修正</w:t>
            </w:r>
          </w:p>
        </w:tc>
        <w:tc>
          <w:tcPr>
            <w:tcW w:w="4576" w:type="dxa"/>
            <w:tcBorders>
              <w:top w:val="nil"/>
              <w:left w:val="nil"/>
              <w:bottom w:val="nil"/>
              <w:right w:val="nil"/>
            </w:tcBorders>
            <w:noWrap w:val="0"/>
            <w:tcMar>
              <w:top w:w="-1" w:type="dxa"/>
              <w:left w:w="-1" w:type="dxa"/>
              <w:bottom w:w="-1" w:type="dxa"/>
              <w:right w:w="-1" w:type="dxa"/>
            </w:tcMar>
            <w:vAlign w:val="center"/>
          </w:tcPr>
          <w:p w14:paraId="65EC3C22">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调整为“初始试讲—GAI建议—学习者判断—再次讲述”</w:t>
            </w:r>
          </w:p>
        </w:tc>
      </w:tr>
      <w:tr w14:paraId="182277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3B6F34BC">
            <w:pPr>
              <w:keepNext/>
              <w:snapToGrid w:val="0"/>
              <w:spacing w:after="0" w:line="240" w:lineRule="auto"/>
              <w:ind w:left="0" w:leftChars="0" w:right="0" w:rightChars="0" w:firstLine="0" w:firstLineChars="0"/>
              <w:jc w:val="center"/>
              <w:rPr>
                <w:rFonts w:ascii="Times New Roman" w:eastAsia="宋体"/>
                <w:sz w:val="21"/>
              </w:rPr>
            </w:pPr>
            <w:r>
              <w:rPr>
                <w:rFonts w:hint="eastAsia" w:ascii="Times New Roman" w:hAnsi="Times New Roman" w:eastAsia="宋体"/>
                <w:b w:val="0"/>
                <w:sz w:val="21"/>
                <w:lang w:eastAsia="zh-CN"/>
              </w:rPr>
              <w:t>事实呈现</w:t>
            </w:r>
          </w:p>
        </w:tc>
        <w:tc>
          <w:tcPr>
            <w:tcW w:w="2674" w:type="dxa"/>
            <w:tcBorders>
              <w:top w:val="nil"/>
              <w:left w:val="nil"/>
              <w:bottom w:val="single" w:color="auto" w:sz="12" w:space="0"/>
              <w:right w:val="nil"/>
            </w:tcBorders>
            <w:noWrap w:val="0"/>
            <w:tcMar>
              <w:top w:w="-1" w:type="dxa"/>
              <w:left w:w="-1" w:type="dxa"/>
              <w:bottom w:w="-1" w:type="dxa"/>
              <w:right w:w="-1" w:type="dxa"/>
            </w:tcMar>
            <w:vAlign w:val="center"/>
          </w:tcPr>
          <w:p w14:paraId="696BC44C">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人物称呼、数字指代和图像性质可能引起误解</w:t>
            </w:r>
          </w:p>
        </w:tc>
        <w:tc>
          <w:tcPr>
            <w:tcW w:w="4576" w:type="dxa"/>
            <w:tcBorders>
              <w:top w:val="nil"/>
              <w:left w:val="nil"/>
              <w:bottom w:val="single" w:color="auto" w:sz="12" w:space="0"/>
              <w:right w:val="nil"/>
            </w:tcBorders>
            <w:noWrap w:val="0"/>
            <w:tcMar>
              <w:top w:w="-1" w:type="dxa"/>
              <w:left w:w="-1" w:type="dxa"/>
              <w:bottom w:w="-1" w:type="dxa"/>
              <w:right w:w="-1" w:type="dxa"/>
            </w:tcMar>
            <w:vAlign w:val="center"/>
          </w:tcPr>
          <w:p w14:paraId="73F61960">
            <w:pPr>
              <w:keepNext/>
              <w:snapToGrid w:val="0"/>
              <w:spacing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z w:val="21"/>
                <w:lang w:eastAsia="zh-CN"/>
              </w:rPr>
              <w:t>统一人物称呼和数字范围，明确区分真实新闻与教学生成或重建材料</w:t>
            </w:r>
          </w:p>
        </w:tc>
      </w:tr>
    </w:tbl>
    <w:p w14:paraId="3DA49933">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宋体" w:hAnsi="宋体" w:cs="宋体"/>
          <w:sz w:val="21"/>
          <w:szCs w:val="21"/>
          <w:lang w:val="en-US" w:eastAsia="zh-CN"/>
        </w:rPr>
      </w:pPr>
      <w:r>
        <w:rPr>
          <w:rFonts w:ascii="宋体" w:hAnsi="宋体" w:cs="宋体"/>
          <w:sz w:val="21"/>
          <w:szCs w:val="21"/>
          <w:lang w:val="en-US" w:eastAsia="zh-CN"/>
        </w:rPr>
        <w:t>（四）应用过程</w:t>
      </w:r>
      <w:r>
        <w:rPr>
          <w:rFonts w:hint="eastAsia" w:ascii="宋体" w:hAnsi="宋体" w:cs="宋体"/>
          <w:sz w:val="21"/>
          <w:szCs w:val="21"/>
          <w:lang w:val="en-US" w:eastAsia="zh-CN"/>
        </w:rPr>
        <w:t>（</w:t>
      </w:r>
      <w:r>
        <w:rPr>
          <w:rFonts w:hint="eastAsia" w:ascii="楷体" w:hAnsi="楷体" w:eastAsia="楷体" w:cs="楷体"/>
          <w:sz w:val="21"/>
          <w:szCs w:val="21"/>
          <w:lang w:val="en-US" w:eastAsia="zh-CN"/>
        </w:rPr>
        <w:t>结合课前、课中、课后全教学流程细分场景，说明</w:t>
      </w:r>
      <w:r>
        <w:rPr>
          <w:rFonts w:hint="default" w:ascii="Times New Roman" w:hAnsi="Times New Roman" w:eastAsia="楷体" w:cs="Times New Roman"/>
          <w:sz w:val="21"/>
          <w:szCs w:val="21"/>
          <w:lang w:val="en-US" w:eastAsia="zh-CN"/>
        </w:rPr>
        <w:t>GAI</w:t>
      </w:r>
      <w:r>
        <w:rPr>
          <w:rFonts w:hint="eastAsia" w:ascii="楷体" w:hAnsi="楷体" w:eastAsia="楷体" w:cs="楷体"/>
          <w:sz w:val="21"/>
          <w:szCs w:val="21"/>
          <w:lang w:val="en-US" w:eastAsia="zh-CN"/>
        </w:rPr>
        <w:t>具体用法。</w:t>
      </w:r>
      <w:r>
        <w:rPr>
          <w:rFonts w:hint="eastAsia" w:ascii="宋体" w:hAnsi="宋体" w:cs="宋体"/>
          <w:sz w:val="21"/>
          <w:szCs w:val="21"/>
          <w:lang w:val="en-US" w:eastAsia="zh-CN"/>
        </w:rPr>
        <w:t>）</w:t>
      </w:r>
    </w:p>
    <w:p w14:paraId="2F58C147">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本单元以课后自主学习为主体，课内进行简短启动和成果回收。课后任务流程如下。</w:t>
      </w:r>
    </w:p>
    <w:p w14:paraId="4011386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b w:val="0"/>
          <w:i w:val="0"/>
          <w:sz w:val="21"/>
          <w:lang w:val="en-US" w:eastAsia="zh-CN"/>
        </w:rPr>
      </w:pPr>
      <w:r>
        <w:rPr>
          <w:rFonts w:hint="eastAsia" w:ascii="仿宋" w:hAnsi="仿宋" w:eastAsia="仿宋" w:cs="仿宋"/>
          <w:b w:val="0"/>
          <w:sz w:val="20"/>
          <w:szCs w:val="20"/>
          <w:lang w:val="en-US" w:eastAsia="zh-CN"/>
        </w:rPr>
        <w:t>表5 教学流程</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4755"/>
        <w:gridCol w:w="1558"/>
        <w:gridCol w:w="844"/>
      </w:tblGrid>
      <w:tr w14:paraId="3AE7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single" w:color="000000" w:sz="12" w:space="0"/>
              <w:left w:val="nil"/>
              <w:bottom w:val="single" w:color="000000" w:sz="4" w:space="0"/>
              <w:right w:val="nil"/>
              <w:tl2br w:val="nil"/>
            </w:tcBorders>
            <w:shd w:val="clear" w:color="auto" w:fill="FFFFFF"/>
          </w:tcPr>
          <w:p w14:paraId="6E1143F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bCs/>
                <w:color w:val="000000"/>
              </w:rPr>
            </w:pPr>
            <w:r>
              <w:rPr>
                <w:rFonts w:hint="eastAsia" w:ascii="Times New Roman" w:hAnsi="Times New Roman" w:eastAsia="宋体" w:cs="Times New Roman"/>
                <w:b/>
                <w:bCs/>
                <w:i w:val="0"/>
                <w:color w:val="000000"/>
                <w:sz w:val="21"/>
              </w:rPr>
              <w:t>阶段</w:t>
            </w:r>
          </w:p>
        </w:tc>
        <w:tc>
          <w:tcPr>
            <w:tcW w:w="2790" w:type="pct"/>
            <w:tcBorders>
              <w:top w:val="single" w:color="000000" w:sz="12" w:space="0"/>
              <w:left w:val="nil"/>
              <w:bottom w:val="single" w:color="000000" w:sz="4" w:space="0"/>
              <w:right w:val="nil"/>
            </w:tcBorders>
            <w:shd w:val="clear" w:color="auto" w:fill="FFFFFF"/>
          </w:tcPr>
          <w:p w14:paraId="7AE667B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bCs/>
                <w:color w:val="000000"/>
              </w:rPr>
            </w:pPr>
            <w:r>
              <w:rPr>
                <w:rFonts w:hint="eastAsia" w:ascii="Times New Roman" w:hAnsi="Times New Roman" w:eastAsia="宋体" w:cs="Times New Roman"/>
                <w:b/>
                <w:bCs/>
                <w:i w:val="0"/>
                <w:color w:val="000000"/>
                <w:sz w:val="21"/>
              </w:rPr>
              <w:t>学习活动</w:t>
            </w:r>
          </w:p>
        </w:tc>
        <w:tc>
          <w:tcPr>
            <w:tcW w:w="914" w:type="pct"/>
            <w:tcBorders>
              <w:top w:val="single" w:color="000000" w:sz="12" w:space="0"/>
              <w:left w:val="nil"/>
              <w:bottom w:val="single" w:color="000000" w:sz="4" w:space="0"/>
              <w:right w:val="nil"/>
            </w:tcBorders>
            <w:shd w:val="clear" w:color="auto" w:fill="FFFFFF"/>
          </w:tcPr>
          <w:p w14:paraId="7DA29F5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bCs/>
                <w:color w:val="000000"/>
              </w:rPr>
            </w:pPr>
            <w:r>
              <w:rPr>
                <w:rFonts w:hint="eastAsia" w:ascii="Times New Roman" w:hAnsi="Times New Roman" w:eastAsia="宋体" w:cs="Times New Roman"/>
                <w:b/>
                <w:bCs/>
                <w:i w:val="0"/>
                <w:color w:val="000000"/>
                <w:sz w:val="21"/>
              </w:rPr>
              <w:t>技术支撑</w:t>
            </w:r>
          </w:p>
        </w:tc>
        <w:tc>
          <w:tcPr>
            <w:tcW w:w="495" w:type="pct"/>
            <w:tcBorders>
              <w:top w:val="single" w:color="000000" w:sz="12" w:space="0"/>
              <w:left w:val="nil"/>
              <w:bottom w:val="single" w:color="000000" w:sz="4" w:space="0"/>
              <w:right w:val="nil"/>
            </w:tcBorders>
            <w:shd w:val="clear" w:color="auto" w:fill="FFFFFF"/>
          </w:tcPr>
          <w:p w14:paraId="57B8FCEF">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bCs/>
                <w:color w:val="000000"/>
              </w:rPr>
            </w:pPr>
            <w:r>
              <w:rPr>
                <w:rFonts w:hint="eastAsia" w:ascii="Times New Roman" w:hAnsi="Times New Roman" w:eastAsia="宋体" w:cs="Times New Roman"/>
                <w:b/>
                <w:bCs/>
                <w:i w:val="0"/>
                <w:color w:val="000000"/>
                <w:sz w:val="21"/>
              </w:rPr>
              <w:t>时长</w:t>
            </w:r>
          </w:p>
        </w:tc>
      </w:tr>
      <w:tr w14:paraId="39E8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single" w:color="000000" w:sz="4" w:space="0"/>
              <w:left w:val="nil"/>
              <w:bottom w:val="nil"/>
              <w:right w:val="nil"/>
            </w:tcBorders>
            <w:shd w:val="clear" w:color="auto" w:fill="FFFFFF"/>
          </w:tcPr>
          <w:p w14:paraId="1BC4D65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任务引入</w:t>
            </w:r>
          </w:p>
        </w:tc>
        <w:tc>
          <w:tcPr>
            <w:tcW w:w="2790" w:type="pct"/>
            <w:tcBorders>
              <w:top w:val="single" w:color="000000" w:sz="4" w:space="0"/>
              <w:left w:val="nil"/>
              <w:bottom w:val="nil"/>
              <w:right w:val="nil"/>
            </w:tcBorders>
            <w:shd w:val="clear" w:color="auto" w:fill="FFFFFF"/>
          </w:tcPr>
          <w:p w14:paraId="1AEFCB6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明确最终任务、评价维度和可选美国受众</w:t>
            </w:r>
          </w:p>
        </w:tc>
        <w:tc>
          <w:tcPr>
            <w:tcW w:w="914" w:type="pct"/>
            <w:tcBorders>
              <w:top w:val="single" w:color="000000" w:sz="4" w:space="0"/>
              <w:left w:val="nil"/>
              <w:bottom w:val="nil"/>
              <w:right w:val="nil"/>
            </w:tcBorders>
            <w:shd w:val="clear" w:color="auto" w:fill="FFFFFF"/>
          </w:tcPr>
          <w:p w14:paraId="330016D2">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网页展示</w:t>
            </w:r>
          </w:p>
        </w:tc>
        <w:tc>
          <w:tcPr>
            <w:tcW w:w="495" w:type="pct"/>
            <w:tcBorders>
              <w:top w:val="single" w:color="000000" w:sz="4" w:space="0"/>
              <w:left w:val="nil"/>
              <w:bottom w:val="nil"/>
              <w:right w:val="nil"/>
            </w:tcBorders>
            <w:shd w:val="clear" w:color="auto" w:fill="FFFFFF"/>
          </w:tcPr>
          <w:p w14:paraId="3E61DE52">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3分钟</w:t>
            </w:r>
          </w:p>
        </w:tc>
      </w:tr>
      <w:tr w14:paraId="4B7E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37AD4FF0">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听前准备</w:t>
            </w:r>
          </w:p>
        </w:tc>
        <w:tc>
          <w:tcPr>
            <w:tcW w:w="2790" w:type="pct"/>
            <w:tcBorders>
              <w:top w:val="nil"/>
              <w:left w:val="nil"/>
              <w:bottom w:val="nil"/>
              <w:right w:val="nil"/>
            </w:tcBorders>
            <w:shd w:val="clear" w:color="auto" w:fill="FFFFFF"/>
          </w:tcPr>
          <w:p w14:paraId="558F622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浏览新闻标题、导语和国情卡，预测故事内容</w:t>
            </w:r>
          </w:p>
        </w:tc>
        <w:tc>
          <w:tcPr>
            <w:tcW w:w="914" w:type="pct"/>
            <w:tcBorders>
              <w:top w:val="nil"/>
              <w:left w:val="nil"/>
              <w:bottom w:val="nil"/>
              <w:right w:val="nil"/>
            </w:tcBorders>
            <w:shd w:val="clear" w:color="auto" w:fill="FFFFFF"/>
          </w:tcPr>
          <w:p w14:paraId="0D4ABA86">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网页展示</w:t>
            </w:r>
          </w:p>
        </w:tc>
        <w:tc>
          <w:tcPr>
            <w:tcW w:w="495" w:type="pct"/>
            <w:tcBorders>
              <w:top w:val="nil"/>
              <w:left w:val="nil"/>
              <w:bottom w:val="nil"/>
              <w:right w:val="nil"/>
            </w:tcBorders>
            <w:shd w:val="clear" w:color="auto" w:fill="FFFFFF"/>
          </w:tcPr>
          <w:p w14:paraId="40E018B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3分钟</w:t>
            </w:r>
          </w:p>
        </w:tc>
      </w:tr>
      <w:tr w14:paraId="575B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61B1FD1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第一则听力</w:t>
            </w:r>
          </w:p>
        </w:tc>
        <w:tc>
          <w:tcPr>
            <w:tcW w:w="2790" w:type="pct"/>
            <w:tcBorders>
              <w:top w:val="nil"/>
              <w:left w:val="nil"/>
              <w:bottom w:val="nil"/>
              <w:right w:val="nil"/>
            </w:tcBorders>
            <w:shd w:val="clear" w:color="auto" w:fill="FFFFFF"/>
          </w:tcPr>
          <w:p w14:paraId="640EC2F0">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听故事开端，完成主旨与细节题</w:t>
            </w:r>
          </w:p>
        </w:tc>
        <w:tc>
          <w:tcPr>
            <w:tcW w:w="914" w:type="pct"/>
            <w:tcBorders>
              <w:top w:val="nil"/>
              <w:left w:val="nil"/>
              <w:bottom w:val="nil"/>
              <w:right w:val="nil"/>
            </w:tcBorders>
            <w:shd w:val="clear" w:color="auto" w:fill="FFFFFF"/>
          </w:tcPr>
          <w:p w14:paraId="166F02DA">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多语速TTS</w:t>
            </w:r>
          </w:p>
        </w:tc>
        <w:tc>
          <w:tcPr>
            <w:tcW w:w="495" w:type="pct"/>
            <w:tcBorders>
              <w:top w:val="nil"/>
              <w:left w:val="nil"/>
              <w:bottom w:val="nil"/>
              <w:right w:val="nil"/>
            </w:tcBorders>
            <w:shd w:val="clear" w:color="auto" w:fill="FFFFFF"/>
          </w:tcPr>
          <w:p w14:paraId="5C48C82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6分钟</w:t>
            </w:r>
          </w:p>
        </w:tc>
      </w:tr>
      <w:tr w14:paraId="1885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410B21C5">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第二则听力</w:t>
            </w:r>
          </w:p>
        </w:tc>
        <w:tc>
          <w:tcPr>
            <w:tcW w:w="2790" w:type="pct"/>
            <w:tcBorders>
              <w:top w:val="nil"/>
              <w:left w:val="nil"/>
              <w:bottom w:val="nil"/>
              <w:right w:val="nil"/>
            </w:tcBorders>
            <w:shd w:val="clear" w:color="auto" w:fill="FFFFFF"/>
          </w:tcPr>
          <w:p w14:paraId="6A669B8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听故事发展，完成主旨与细节题</w:t>
            </w:r>
          </w:p>
        </w:tc>
        <w:tc>
          <w:tcPr>
            <w:tcW w:w="914" w:type="pct"/>
            <w:tcBorders>
              <w:top w:val="nil"/>
              <w:left w:val="nil"/>
              <w:bottom w:val="nil"/>
              <w:right w:val="nil"/>
            </w:tcBorders>
            <w:shd w:val="clear" w:color="auto" w:fill="FFFFFF"/>
          </w:tcPr>
          <w:p w14:paraId="25873BE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多语速TTS</w:t>
            </w:r>
          </w:p>
        </w:tc>
        <w:tc>
          <w:tcPr>
            <w:tcW w:w="495" w:type="pct"/>
            <w:tcBorders>
              <w:top w:val="nil"/>
              <w:left w:val="nil"/>
              <w:bottom w:val="nil"/>
              <w:right w:val="nil"/>
            </w:tcBorders>
            <w:shd w:val="clear" w:color="auto" w:fill="FFFFFF"/>
          </w:tcPr>
          <w:p w14:paraId="65875E6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8分钟</w:t>
            </w:r>
          </w:p>
        </w:tc>
      </w:tr>
      <w:tr w14:paraId="4BF0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63A56FF1">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第三则听力</w:t>
            </w:r>
          </w:p>
        </w:tc>
        <w:tc>
          <w:tcPr>
            <w:tcW w:w="2790" w:type="pct"/>
            <w:tcBorders>
              <w:top w:val="nil"/>
              <w:left w:val="nil"/>
              <w:bottom w:val="nil"/>
              <w:right w:val="nil"/>
            </w:tcBorders>
            <w:shd w:val="clear" w:color="auto" w:fill="FFFFFF"/>
          </w:tcPr>
          <w:p w14:paraId="1052E66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听故事结局，完成主旨与细节题</w:t>
            </w:r>
          </w:p>
        </w:tc>
        <w:tc>
          <w:tcPr>
            <w:tcW w:w="914" w:type="pct"/>
            <w:tcBorders>
              <w:top w:val="nil"/>
              <w:left w:val="nil"/>
              <w:bottom w:val="nil"/>
              <w:right w:val="nil"/>
            </w:tcBorders>
            <w:shd w:val="clear" w:color="auto" w:fill="FFFFFF"/>
          </w:tcPr>
          <w:p w14:paraId="5990F491">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多语速TTS</w:t>
            </w:r>
          </w:p>
        </w:tc>
        <w:tc>
          <w:tcPr>
            <w:tcW w:w="495" w:type="pct"/>
            <w:tcBorders>
              <w:top w:val="nil"/>
              <w:left w:val="nil"/>
              <w:bottom w:val="nil"/>
              <w:right w:val="nil"/>
            </w:tcBorders>
            <w:shd w:val="clear" w:color="auto" w:fill="FFFFFF"/>
          </w:tcPr>
          <w:p w14:paraId="074021C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8分钟</w:t>
            </w:r>
          </w:p>
        </w:tc>
      </w:tr>
      <w:tr w14:paraId="62CC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51587FF7">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时间线重组</w:t>
            </w:r>
          </w:p>
        </w:tc>
        <w:tc>
          <w:tcPr>
            <w:tcW w:w="2790" w:type="pct"/>
            <w:tcBorders>
              <w:top w:val="nil"/>
              <w:left w:val="nil"/>
              <w:bottom w:val="nil"/>
              <w:right w:val="nil"/>
            </w:tcBorders>
            <w:shd w:val="clear" w:color="auto" w:fill="FFFFFF"/>
          </w:tcPr>
          <w:p w14:paraId="43257F3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按时间顺序排列事件并填写关键数字</w:t>
            </w:r>
          </w:p>
        </w:tc>
        <w:tc>
          <w:tcPr>
            <w:tcW w:w="914" w:type="pct"/>
            <w:tcBorders>
              <w:top w:val="nil"/>
              <w:left w:val="nil"/>
              <w:bottom w:val="nil"/>
              <w:right w:val="nil"/>
            </w:tcBorders>
            <w:shd w:val="clear" w:color="auto" w:fill="FFFFFF"/>
          </w:tcPr>
          <w:p w14:paraId="41AEB32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网页交互</w:t>
            </w:r>
          </w:p>
        </w:tc>
        <w:tc>
          <w:tcPr>
            <w:tcW w:w="495" w:type="pct"/>
            <w:tcBorders>
              <w:top w:val="nil"/>
              <w:left w:val="nil"/>
              <w:bottom w:val="nil"/>
              <w:right w:val="nil"/>
            </w:tcBorders>
            <w:shd w:val="clear" w:color="auto" w:fill="FFFFFF"/>
          </w:tcPr>
          <w:p w14:paraId="40CFFEF2">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5分钟</w:t>
            </w:r>
          </w:p>
        </w:tc>
      </w:tr>
      <w:tr w14:paraId="2531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10EFB035">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标题修订</w:t>
            </w:r>
          </w:p>
        </w:tc>
        <w:tc>
          <w:tcPr>
            <w:tcW w:w="2790" w:type="pct"/>
            <w:tcBorders>
              <w:top w:val="nil"/>
              <w:left w:val="nil"/>
              <w:bottom w:val="nil"/>
              <w:right w:val="nil"/>
            </w:tcBorders>
            <w:shd w:val="clear" w:color="auto" w:fill="FFFFFF"/>
          </w:tcPr>
          <w:p w14:paraId="50080915">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依据事实指出片面标题的问题并修改</w:t>
            </w:r>
          </w:p>
        </w:tc>
        <w:tc>
          <w:tcPr>
            <w:tcW w:w="914" w:type="pct"/>
            <w:tcBorders>
              <w:top w:val="nil"/>
              <w:left w:val="nil"/>
              <w:bottom w:val="nil"/>
              <w:right w:val="nil"/>
            </w:tcBorders>
            <w:shd w:val="clear" w:color="auto" w:fill="FFFFFF"/>
          </w:tcPr>
          <w:p w14:paraId="26AA6B0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网页输入</w:t>
            </w:r>
          </w:p>
        </w:tc>
        <w:tc>
          <w:tcPr>
            <w:tcW w:w="495" w:type="pct"/>
            <w:tcBorders>
              <w:top w:val="nil"/>
              <w:left w:val="nil"/>
              <w:bottom w:val="nil"/>
              <w:right w:val="nil"/>
            </w:tcBorders>
            <w:shd w:val="clear" w:color="auto" w:fill="FFFFFF"/>
          </w:tcPr>
          <w:p w14:paraId="7A9E185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5分钟</w:t>
            </w:r>
          </w:p>
        </w:tc>
      </w:tr>
      <w:tr w14:paraId="5F05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563C0ECF">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初始试讲</w:t>
            </w:r>
          </w:p>
        </w:tc>
        <w:tc>
          <w:tcPr>
            <w:tcW w:w="2790" w:type="pct"/>
            <w:tcBorders>
              <w:top w:val="nil"/>
              <w:left w:val="nil"/>
              <w:bottom w:val="nil"/>
              <w:right w:val="nil"/>
            </w:tcBorders>
            <w:shd w:val="clear" w:color="auto" w:fill="FFFFFF"/>
          </w:tcPr>
          <w:p w14:paraId="29CD165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面向所选受众完成30至45秒初始讲述</w:t>
            </w:r>
          </w:p>
        </w:tc>
        <w:tc>
          <w:tcPr>
            <w:tcW w:w="914" w:type="pct"/>
            <w:tcBorders>
              <w:top w:val="nil"/>
              <w:left w:val="nil"/>
              <w:bottom w:val="nil"/>
              <w:right w:val="nil"/>
            </w:tcBorders>
            <w:shd w:val="clear" w:color="auto" w:fill="FFFFFF"/>
          </w:tcPr>
          <w:p w14:paraId="0D81A0DB">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浏览器录音</w:t>
            </w:r>
          </w:p>
        </w:tc>
        <w:tc>
          <w:tcPr>
            <w:tcW w:w="495" w:type="pct"/>
            <w:tcBorders>
              <w:top w:val="nil"/>
              <w:left w:val="nil"/>
              <w:bottom w:val="nil"/>
              <w:right w:val="nil"/>
            </w:tcBorders>
            <w:shd w:val="clear" w:color="auto" w:fill="FFFFFF"/>
          </w:tcPr>
          <w:p w14:paraId="0D774ADD">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5分钟</w:t>
            </w:r>
          </w:p>
        </w:tc>
      </w:tr>
      <w:tr w14:paraId="2E45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4E520B1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GAI反馈</w:t>
            </w:r>
          </w:p>
        </w:tc>
        <w:tc>
          <w:tcPr>
            <w:tcW w:w="2790" w:type="pct"/>
            <w:tcBorders>
              <w:top w:val="nil"/>
              <w:left w:val="nil"/>
              <w:bottom w:val="nil"/>
              <w:right w:val="nil"/>
            </w:tcBorders>
            <w:shd w:val="clear" w:color="auto" w:fill="FFFFFF"/>
          </w:tcPr>
          <w:p w14:paraId="33A6E413">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阅读一条优先建议，判断采用、修改或放弃</w:t>
            </w:r>
          </w:p>
        </w:tc>
        <w:tc>
          <w:tcPr>
            <w:tcW w:w="914" w:type="pct"/>
            <w:tcBorders>
              <w:top w:val="nil"/>
              <w:left w:val="nil"/>
              <w:bottom w:val="nil"/>
              <w:right w:val="nil"/>
            </w:tcBorders>
            <w:shd w:val="clear" w:color="auto" w:fill="FFFFFF"/>
          </w:tcPr>
          <w:p w14:paraId="250D4A17">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DeepSeek API</w:t>
            </w:r>
          </w:p>
        </w:tc>
        <w:tc>
          <w:tcPr>
            <w:tcW w:w="495" w:type="pct"/>
            <w:tcBorders>
              <w:top w:val="nil"/>
              <w:left w:val="nil"/>
              <w:bottom w:val="nil"/>
              <w:right w:val="nil"/>
            </w:tcBorders>
            <w:shd w:val="clear" w:color="auto" w:fill="FFFFFF"/>
          </w:tcPr>
          <w:p w14:paraId="280053D2">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3分钟</w:t>
            </w:r>
          </w:p>
        </w:tc>
      </w:tr>
      <w:tr w14:paraId="4FED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nil"/>
              <w:right w:val="nil"/>
            </w:tcBorders>
            <w:shd w:val="clear" w:color="auto" w:fill="FFFFFF"/>
          </w:tcPr>
          <w:p w14:paraId="2B8F21F4">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最终讲述</w:t>
            </w:r>
          </w:p>
        </w:tc>
        <w:tc>
          <w:tcPr>
            <w:tcW w:w="2790" w:type="pct"/>
            <w:tcBorders>
              <w:top w:val="nil"/>
              <w:left w:val="nil"/>
              <w:bottom w:val="nil"/>
              <w:right w:val="nil"/>
            </w:tcBorders>
            <w:shd w:val="clear" w:color="auto" w:fill="FFFFFF"/>
          </w:tcPr>
          <w:p w14:paraId="1BF841E6">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根据判断完成60至90秒受众化讲述</w:t>
            </w:r>
          </w:p>
        </w:tc>
        <w:tc>
          <w:tcPr>
            <w:tcW w:w="914" w:type="pct"/>
            <w:tcBorders>
              <w:top w:val="nil"/>
              <w:left w:val="nil"/>
              <w:bottom w:val="nil"/>
              <w:right w:val="nil"/>
            </w:tcBorders>
            <w:shd w:val="clear" w:color="auto" w:fill="FFFFFF"/>
          </w:tcPr>
          <w:p w14:paraId="44A1CC61">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浏览器录音</w:t>
            </w:r>
          </w:p>
        </w:tc>
        <w:tc>
          <w:tcPr>
            <w:tcW w:w="495" w:type="pct"/>
            <w:tcBorders>
              <w:top w:val="nil"/>
              <w:left w:val="nil"/>
              <w:bottom w:val="nil"/>
              <w:right w:val="nil"/>
            </w:tcBorders>
            <w:shd w:val="clear" w:color="auto" w:fill="FFFFFF"/>
          </w:tcPr>
          <w:p w14:paraId="23911FF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5分钟</w:t>
            </w:r>
          </w:p>
        </w:tc>
      </w:tr>
      <w:tr w14:paraId="7E17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tcBorders>
              <w:top w:val="nil"/>
              <w:left w:val="nil"/>
              <w:bottom w:val="single" w:color="000000" w:sz="12" w:space="0"/>
              <w:right w:val="nil"/>
            </w:tcBorders>
            <w:shd w:val="clear" w:color="auto" w:fill="FFFFFF"/>
          </w:tcPr>
          <w:p w14:paraId="0C56400C">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自评反思</w:t>
            </w:r>
          </w:p>
        </w:tc>
        <w:tc>
          <w:tcPr>
            <w:tcW w:w="2790" w:type="pct"/>
            <w:tcBorders>
              <w:top w:val="nil"/>
              <w:left w:val="nil"/>
              <w:bottom w:val="single" w:color="000000" w:sz="12" w:space="0"/>
              <w:right w:val="nil"/>
            </w:tcBorders>
            <w:shd w:val="clear" w:color="auto" w:fill="FFFFFF"/>
          </w:tcPr>
          <w:p w14:paraId="2CAAD478">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完成Can-Do自评和三项简短反思</w:t>
            </w:r>
          </w:p>
        </w:tc>
        <w:tc>
          <w:tcPr>
            <w:tcW w:w="914" w:type="pct"/>
            <w:tcBorders>
              <w:top w:val="nil"/>
              <w:left w:val="nil"/>
              <w:bottom w:val="single" w:color="000000" w:sz="12" w:space="0"/>
              <w:right w:val="nil"/>
            </w:tcBorders>
            <w:shd w:val="clear" w:color="auto" w:fill="FFFFFF"/>
          </w:tcPr>
          <w:p w14:paraId="5B4A9667">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网页表单</w:t>
            </w:r>
          </w:p>
        </w:tc>
        <w:tc>
          <w:tcPr>
            <w:tcW w:w="495" w:type="pct"/>
            <w:tcBorders>
              <w:top w:val="nil"/>
              <w:left w:val="nil"/>
              <w:bottom w:val="single" w:color="000000" w:sz="12" w:space="0"/>
              <w:right w:val="nil"/>
            </w:tcBorders>
            <w:shd w:val="clear" w:color="auto" w:fill="FFFFFF"/>
          </w:tcPr>
          <w:p w14:paraId="1307DE65">
            <w:pPr>
              <w:keepNext w:val="0"/>
              <w:keepLines w:val="0"/>
              <w:pageBreakBefore w:val="0"/>
              <w:widowControl w:val="0"/>
              <w:numPr>
                <w:ilvl w:val="0"/>
                <w:numId w:val="0"/>
              </w:numPr>
              <w:kinsoku/>
              <w:overflowPunct/>
              <w:autoSpaceDE/>
              <w:bidi w:val="0"/>
              <w:snapToGrid/>
              <w:spacing w:before="0" w:after="0" w:line="240" w:lineRule="auto"/>
              <w:ind w:left="0" w:leftChars="0" w:right="0" w:rightChars="0" w:firstLine="0" w:firstLineChars="0"/>
              <w:jc w:val="center"/>
              <w:textAlignment w:val="auto"/>
              <w:rPr>
                <w:b w:val="0"/>
                <w:color w:val="000000"/>
              </w:rPr>
            </w:pPr>
            <w:r>
              <w:rPr>
                <w:rFonts w:hint="eastAsia" w:ascii="Times New Roman" w:hAnsi="Times New Roman" w:eastAsia="宋体" w:cs="Times New Roman"/>
                <w:b w:val="0"/>
                <w:i w:val="0"/>
                <w:color w:val="000000"/>
                <w:sz w:val="21"/>
              </w:rPr>
              <w:t>5分钟</w:t>
            </w:r>
          </w:p>
        </w:tc>
      </w:tr>
    </w:tbl>
    <w:p w14:paraId="5E78663F">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下一次课用5至10分钟处理共性问题，并安排2至3名学习者展示和交流。</w:t>
      </w:r>
    </w:p>
    <w:p w14:paraId="7CAB78A0">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sz w:val="28"/>
          <w:szCs w:val="36"/>
          <w:lang w:val="en-US" w:eastAsia="zh-CN"/>
        </w:rPr>
      </w:pPr>
      <w:r>
        <w:rPr>
          <w:rFonts w:ascii="黑体" w:hAnsi="黑体" w:eastAsia="黑体" w:cs="黑体"/>
          <w:b w:val="0"/>
          <w:bCs w:val="0"/>
          <w:kern w:val="2"/>
          <w:sz w:val="28"/>
          <w:szCs w:val="36"/>
          <w:lang w:val="en-US" w:eastAsia="zh-CN" w:bidi="ar-SA"/>
        </w:rPr>
        <w:t>四、</w:t>
      </w:r>
      <w:r>
        <w:rPr>
          <w:rFonts w:ascii="黑体" w:hAnsi="黑体" w:eastAsia="黑体" w:cs="黑体"/>
          <w:b w:val="0"/>
          <w:bCs w:val="0"/>
          <w:sz w:val="28"/>
          <w:szCs w:val="36"/>
          <w:lang w:val="en-US" w:eastAsia="zh-CN"/>
        </w:rPr>
        <w:t>应用成效</w:t>
      </w:r>
    </w:p>
    <w:p w14:paraId="764D73C3">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（一）教师教学成效</w:t>
      </w:r>
    </w:p>
    <w:p w14:paraId="4C993259">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本案例目前处于教学研发与迭代阶段，尚未在正式课程中开展完整周期的教学应用，因此本阶段不对正式教学成效作结论性判断。现阶段主要通过教师使用测试和技术测试，检验真实材料的教学可实施性、任务衔接、GAI功能可用性和反馈质量。本阶段教师端成效主要体现为测试过程中形成的研发验证证据。</w:t>
      </w:r>
    </w:p>
    <w:p w14:paraId="121C98C3">
      <w:pPr>
        <w:spacing w:before="0" w:after="0" w:line="360" w:lineRule="auto"/>
        <w:ind w:left="0" w:right="0" w:firstLine="420"/>
        <w:jc w:val="both"/>
        <w:rPr>
          <w:rFonts w:hint="eastAsia" w:ascii="Times New Roman" w:hAnsi="Times New Roman" w:eastAsia="宋体" w:cs="Times New Roman"/>
          <w:b w:val="0"/>
          <w:i w:val="0"/>
          <w:sz w:val="21"/>
          <w:highlight w:val="yellow"/>
          <w:lang w:val="en-US" w:eastAsia="zh-CN"/>
        </w:rPr>
      </w:pPr>
      <w:commentRangeStart w:id="0"/>
      <w:r>
        <w:rPr>
          <w:rFonts w:hint="eastAsia" w:ascii="Times New Roman" w:hAnsi="Times New Roman" w:eastAsia="宋体" w:cs="Times New Roman"/>
          <w:b w:val="0"/>
          <w:i w:val="0"/>
          <w:sz w:val="21"/>
          <w:highlight w:val="yellow"/>
          <w:lang w:val="en-US" w:eastAsia="zh-CN"/>
        </w:rPr>
        <w:t>教师使用测试发现，真实材料进入教学任务后，听前活动需要进一步增强学习者的观察与预测，部分听力题选项存在形式线索，学习支架过早呈现可能降低学习者的听辨投入，一次性正式讲述也缺少形成性修正。针对上述问题，案例增加See–Think–Wonder短任务，重新核对听力题考点、干扰项及选项长度，调整词表、原文和划词注释等支架的开放时机，并将口语活动调整为“初始试讲—GAI建议—学习者判断—再次讲述”的反馈闭环。</w:t>
      </w:r>
    </w:p>
    <w:p w14:paraId="65F70C21">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测试过程中还发现，人物称呼、数字指代和图像性质可能造成理解偏差，因此进一步统一人物称呼和数字范围，并明确区分真实新闻与教学生成或重建材料。同时，对GAI生成内容设置事实边界和人工审核要求，避免将生成结果直接作为未经核验的教学内容使用。上述测试结果均进入下一轮资源、提示词和网页交互设计，形成“测试—发现问题—修改—再测试”的研发迭代机制。</w:t>
      </w:r>
    </w:p>
    <w:p w14:paraId="2DF9C3CF">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后续教师使用测试将进一步记录材料核查、适级改写、音频字幕和任务制作等环节的用时，并统计GAI反馈建议的直接采用、修改后采用和放弃情况，以分析GAI在减少重复性资源开发工作、支持差异化学习和</w:t>
      </w:r>
      <w:commentRangeEnd w:id="0"/>
      <w:r>
        <w:commentReference w:id="0"/>
      </w:r>
      <w:r>
        <w:rPr>
          <w:rFonts w:hint="eastAsia" w:ascii="Times New Roman" w:hAnsi="Times New Roman" w:eastAsia="宋体" w:cs="Times New Roman"/>
          <w:b w:val="0"/>
          <w:i w:val="0"/>
          <w:sz w:val="21"/>
          <w:lang w:val="en-US" w:eastAsia="zh-CN"/>
        </w:rPr>
        <w:t>提供形成性反馈方面的实际作用，同时评估由此增加的人工审核负担。</w:t>
      </w:r>
    </w:p>
    <w:p w14:paraId="077D7A4C">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（二）学生学习成效</w:t>
      </w:r>
    </w:p>
    <w:p w14:paraId="2F6315B5">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本案例目前已完成教学设计与技术开发，尚未进入正式课程应用，因此暂无学生学习成效数据，本阶段不对学习效果作量化判断。后续评价拟从短期学习表现和长期发展效应两个层面展开。</w:t>
      </w:r>
    </w:p>
    <w:p w14:paraId="3A0D81F2">
      <w:pPr>
        <w:spacing w:before="0" w:after="0" w:line="360" w:lineRule="auto"/>
        <w:ind w:left="0" w:right="0" w:firstLine="420"/>
        <w:jc w:val="both"/>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t>短期评价主要考察听力理解、口语表现和学习过程。听力理解记录三则材料的主旨与细节题完成情况及关键时间线重组情况；口语表现分别评价30—45秒初始讲述和60—90秒再次讲述，采用同一量表考察事实准确、时间组织、因果关系、国情解释和受众适配五个维度，观察反馈前后的表达变化；学习过程记录学习者对原文、词汇注释、字幕等支架的调用，以及对GAI反馈的判断、选择与实际采纳情况。正式实施后，将结合口语作品、Can-Do自评、过程记录和教师观察，综合判断学习者能否从真实材料中提取并重组关键信息，能否根据受众调整背景说明和信息组织，以及能否将有效的GAI建议转化为再次表达。相关证据同时用于修订材料难度、支架形式、任务流程和GAI反馈策略。</w:t>
      </w:r>
    </w:p>
    <w:p w14:paraId="520416AE">
      <w:pPr>
        <w:spacing w:before="0" w:after="0" w:line="360" w:lineRule="auto"/>
        <w:ind w:left="0" w:right="0" w:firstLine="420"/>
        <w:jc w:val="both"/>
        <w:rPr>
          <w:rFonts w:hint="eastAsia" w:ascii="Times New Roman" w:hAnsi="Times New Roman" w:eastAsia="宋体" w:cs="Times New Roman"/>
          <w:b w:val="0"/>
          <w:i w:val="0"/>
          <w:sz w:val="21"/>
          <w:lang w:val="en-US" w:eastAsia="zh-CN"/>
        </w:rPr>
      </w:pPr>
      <w:bookmarkStart w:id="0" w:name="_GoBack"/>
      <w:bookmarkEnd w:id="0"/>
      <w:r>
        <w:rPr>
          <w:rFonts w:hint="eastAsia" w:ascii="Times New Roman" w:hAnsi="Times New Roman" w:eastAsia="宋体" w:cs="Times New Roman"/>
          <w:b w:val="0"/>
          <w:i w:val="0"/>
          <w:sz w:val="21"/>
          <w:lang w:val="en-US" w:eastAsia="zh-CN"/>
        </w:rPr>
        <w:t>长期评价将在持续开发不同主题的当代中国故事单元后开展。在取得学习者知情同意并做好数据保护的前提下，平台可保存历次口语作品、任务表现、支架调用和反馈采纳等过程性资料，形成纵向学习记录。基于同一学习者跨单元的连续数据，可进一步考察真实语料理解、口语组织与表达等能力的发展，以及学习动机、对当代中国的理解和持续使用意愿的变化；同时关注长期使用GAI可能产生的技术疲劳、依赖等问题。如条件允许，还可结合课程评价或其他语言能力测评，考察该模式与学习者较长期中文能力发展的关系。</w:t>
      </w:r>
    </w:p>
    <w:p w14:paraId="7254BB70">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Times New Roman" w:hAnsi="Times New Roman" w:eastAsia="黑体" w:cs="Times New Roman"/>
          <w:sz w:val="24"/>
          <w:szCs w:val="32"/>
          <w:lang w:val="en-US" w:eastAsia="zh-CN"/>
        </w:rPr>
      </w:pPr>
      <w:r>
        <w:rPr>
          <w:rFonts w:ascii="黑体" w:hAnsi="黑体" w:eastAsia="黑体" w:cs="黑体"/>
          <w:b w:val="0"/>
          <w:bCs w:val="0"/>
          <w:kern w:val="2"/>
          <w:sz w:val="28"/>
          <w:szCs w:val="36"/>
          <w:lang w:val="en-US" w:eastAsia="zh-CN" w:bidi="ar-SA"/>
        </w:rPr>
        <w:t>五、</w:t>
      </w:r>
      <w:r>
        <w:rPr>
          <w:rFonts w:ascii="黑体" w:hAnsi="黑体" w:eastAsia="黑体" w:cs="黑体"/>
          <w:b w:val="0"/>
          <w:bCs w:val="0"/>
          <w:sz w:val="28"/>
          <w:szCs w:val="36"/>
          <w:lang w:val="en-US" w:eastAsia="zh-CN"/>
        </w:rPr>
        <w:t>经验与启示</w:t>
      </w:r>
    </w:p>
    <w:p w14:paraId="3F0DB73C">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宋体" w:hAnsi="宋体" w:cs="宋体"/>
          <w:sz w:val="21"/>
          <w:szCs w:val="21"/>
          <w:lang w:val="en-US" w:eastAsia="zh-CN"/>
        </w:rPr>
      </w:pPr>
      <w:r>
        <w:rPr>
          <w:rFonts w:ascii="宋体" w:hAnsi="宋体" w:cs="宋体"/>
          <w:kern w:val="2"/>
          <w:sz w:val="21"/>
          <w:szCs w:val="21"/>
          <w:lang w:val="en-US" w:eastAsia="zh-CN" w:bidi="ar-SA"/>
        </w:rPr>
        <w:t>（一）</w:t>
      </w:r>
      <w:r>
        <w:rPr>
          <w:rFonts w:ascii="宋体" w:hAnsi="宋体" w:cs="宋体"/>
          <w:sz w:val="21"/>
          <w:szCs w:val="21"/>
          <w:lang w:val="en-US" w:eastAsia="zh-CN"/>
        </w:rPr>
        <w:t>实践经验总结</w:t>
      </w:r>
      <w:r>
        <w:rPr>
          <w:rFonts w:hint="eastAsia" w:ascii="Times New Roman" w:hAnsi="Times New Roman" w:cs="Times New Roman"/>
          <w:sz w:val="21"/>
          <w:szCs w:val="21"/>
          <w:lang w:val="en-US" w:eastAsia="zh-CN"/>
        </w:rPr>
        <w:t>（</w:t>
      </w:r>
      <w:r>
        <w:rPr>
          <w:rFonts w:hint="default" w:ascii="Times New Roman" w:hAnsi="Times New Roman" w:eastAsia="楷体" w:cs="Times New Roman"/>
          <w:sz w:val="21"/>
          <w:szCs w:val="21"/>
          <w:lang w:val="en-US" w:eastAsia="zh-CN"/>
        </w:rPr>
        <w:t>GAI</w:t>
      </w:r>
      <w:r>
        <w:rPr>
          <w:rFonts w:hint="eastAsia" w:ascii="楷体" w:hAnsi="楷体" w:eastAsia="楷体" w:cs="楷体"/>
          <w:sz w:val="21"/>
          <w:szCs w:val="21"/>
          <w:lang w:val="en-US" w:eastAsia="zh-CN"/>
        </w:rPr>
        <w:t>应用过程出现的问题及分析，提炼本次案例落地的实操经验，可包括技术应用经验、教学融合经验等。</w:t>
      </w:r>
      <w:r>
        <w:rPr>
          <w:rFonts w:hint="eastAsia" w:ascii="Times New Roman" w:hAnsi="Times New Roman" w:cs="Times New Roman"/>
          <w:sz w:val="21"/>
          <w:szCs w:val="21"/>
          <w:lang w:val="en-US" w:eastAsia="zh-CN"/>
        </w:rPr>
        <w:t>）</w:t>
      </w:r>
    </w:p>
    <w:p w14:paraId="25C25D5A">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第一，课后数字资源应嵌入现有课程体系。将课堂难以充分展开的真实语料输入、个别化练习和形成性反馈延伸至课外，可以拓展学习时空；课堂则集中于教师指导、同伴协商和人际互动，形成课内外相互衔接的教学安排。</w:t>
      </w:r>
    </w:p>
    <w:p w14:paraId="29E62F42">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第二，真实新闻转化为教学资源须经过事实核查、适级加工和任务化设计。事实核查保证人物、时间、数据及事件关系可追溯；适级加工调节语言难度和信息负荷；任务化设计通过时间线梳理、标题修订和面向不同受众的讲述，推动学习者由信息理解进入语言运用。</w:t>
      </w:r>
    </w:p>
    <w:p w14:paraId="1759DDC9">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第三，应根据任务性质确定GAI的介入范围。适级改写、语音生成、词语支架和形成性反馈等重复性较高、个体差异明显且便于复核的环节具有较高的自动化价值；事实核验、国情阐释、教学目标确定和正式评价等涉及专业判断的环节仍需教师负责。</w:t>
      </w:r>
    </w:p>
    <w:p w14:paraId="698C52FF">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第四，GAI反馈需进入后续学习任务。单次、笼统的反馈较难形成可观察的学习变化，“反馈—判断—再表达”能够促使学习者识别问题、审辨建议并完成修改，同时为教师观察学习过程提供依据。</w:t>
      </w:r>
    </w:p>
    <w:p w14:paraId="5E0845AC">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（二）行业发展启示</w:t>
      </w:r>
      <w:r>
        <w:rPr>
          <w:rFonts w:hint="eastAsia" w:ascii="宋体" w:hAnsi="宋体" w:cs="宋体"/>
          <w:sz w:val="21"/>
          <w:szCs w:val="21"/>
          <w:lang w:val="en-US" w:eastAsia="zh-CN"/>
        </w:rPr>
        <w:t>（</w:t>
      </w:r>
      <w:r>
        <w:rPr>
          <w:rFonts w:hint="eastAsia" w:ascii="楷体" w:hAnsi="楷体" w:eastAsia="楷体" w:cs="楷体"/>
          <w:sz w:val="21"/>
          <w:szCs w:val="21"/>
          <w:lang w:val="en-US" w:eastAsia="zh-CN"/>
        </w:rPr>
        <w:t>结合国际中文教育行业，分析</w:t>
      </w:r>
      <w:r>
        <w:rPr>
          <w:rFonts w:hint="default" w:ascii="Times New Roman" w:hAnsi="Times New Roman" w:eastAsia="楷体" w:cs="Times New Roman"/>
          <w:sz w:val="21"/>
          <w:szCs w:val="21"/>
          <w:lang w:val="en-US" w:eastAsia="zh-CN"/>
        </w:rPr>
        <w:t>GAI</w:t>
      </w:r>
      <w:r>
        <w:rPr>
          <w:rFonts w:hint="eastAsia" w:ascii="楷体" w:hAnsi="楷体" w:eastAsia="楷体" w:cs="楷体"/>
          <w:sz w:val="21"/>
          <w:szCs w:val="21"/>
          <w:lang w:val="en-US" w:eastAsia="zh-CN"/>
        </w:rPr>
        <w:t>未来的应用方向、发展趋势。</w:t>
      </w:r>
      <w:r>
        <w:rPr>
          <w:rFonts w:hint="eastAsia" w:ascii="宋体" w:hAnsi="宋体" w:cs="宋体"/>
          <w:sz w:val="21"/>
          <w:szCs w:val="21"/>
          <w:lang w:val="en-US" w:eastAsia="zh-CN"/>
        </w:rPr>
        <w:t>）</w:t>
      </w:r>
    </w:p>
    <w:p w14:paraId="560F107D">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更新迅速、题材多样的当代中国真实语料，可成为国际中文教育数字资源持续建设的重要来源。GAI能够支持语料筛选、分级改写、语音生成、任务设计和反馈适配，降低真实材料持续开发的成本，使学习者在教材之外接触真实中文，增进对当代中国社会的了解。这一模式可以由单个课后单元扩展为课程资源体系。中高级听说课程可围绕真实材料组织听辨、信息重组和口语表达；新闻汉语课程可增加标题分析、信息来源辨识和媒介素养训练；当代中国专题课程可结合国情资料与跨文化阐释，深化语言学习与内容学习的联系。持续建设还应积累经过核验的事实资料、分级语料、任务模板、评价量表、受众情境和GAI审核规则，逐步形成可更新、可复用的课程资源库。课程团队负责制定专业标准和更新内容，教师承担教学决策与质量审核，GAI完成适合自动化的材料加工和个别化支持，由此建立分工明确的人机协同机制。</w:t>
      </w:r>
    </w:p>
    <w:p w14:paraId="269E945A">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（三）推广价值说明</w:t>
      </w:r>
      <w:r>
        <w:rPr>
          <w:rFonts w:hint="eastAsia" w:ascii="宋体" w:hAnsi="宋体" w:cs="宋体"/>
          <w:sz w:val="21"/>
          <w:szCs w:val="21"/>
          <w:lang w:val="en-US" w:eastAsia="zh-CN"/>
        </w:rPr>
        <w:t>（</w:t>
      </w:r>
      <w:r>
        <w:rPr>
          <w:rFonts w:hint="eastAsia" w:ascii="楷体" w:hAnsi="楷体" w:eastAsia="楷体" w:cs="楷体"/>
          <w:sz w:val="21"/>
          <w:szCs w:val="21"/>
          <w:lang w:val="en-US" w:eastAsia="zh-CN"/>
        </w:rPr>
        <w:t>说明由本案例提炼出的可复制、可推广结论及借鉴意义。</w:t>
      </w:r>
      <w:r>
        <w:rPr>
          <w:rFonts w:hint="eastAsia" w:ascii="宋体" w:hAnsi="宋体" w:cs="宋体"/>
          <w:sz w:val="21"/>
          <w:szCs w:val="21"/>
          <w:lang w:val="en-US" w:eastAsia="zh-CN"/>
        </w:rPr>
        <w:t>）</w:t>
      </w:r>
    </w:p>
    <w:p w14:paraId="3F770A5C">
      <w:pPr>
        <w:spacing w:before="0" w:after="0" w:line="360" w:lineRule="auto"/>
        <w:ind w:left="0" w:right="0"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本案例的可复制性主要体现为一套面向课后真实语料学习的教学设计流程</w:t>
      </w:r>
      <w:r>
        <w:rPr>
          <w:rFonts w:hint="eastAsia" w:ascii="Times New Roman" w:hAnsi="Times New Roman" w:cs="Times New Roman"/>
          <w:b w:val="0"/>
          <w:i w:val="0"/>
          <w:sz w:val="21"/>
          <w:lang w:eastAsia="zh-CN"/>
        </w:rPr>
        <w:t>：</w:t>
      </w:r>
      <w:r>
        <w:rPr>
          <w:rFonts w:hint="eastAsia" w:ascii="Times New Roman" w:hAnsi="Times New Roman" w:eastAsia="宋体" w:cs="Times New Roman"/>
          <w:b w:val="0"/>
          <w:i w:val="0"/>
          <w:sz w:val="21"/>
        </w:rPr>
        <w:t>课程与学习者分析—确定学习目标与评价证据—事实核验—适级输入—任务与支架设计—首次表达—GAI反馈与学习者判断—再次表达—教师复核。该流程将真实材料加工、语言任务、智能反馈和质量审核纳入统一的教学过程。迁移至其他主题时，可保留反向设计、任务链、口语评价量表和GAI审核机制，并根据教学目标调整事实资料、语言材料、背景信息和交际情境。文化遗产、科技创新、乡村发展、公共治理和校园交流等主题均可据此开发相应资源。该模式对技术条件的要求具有一定弹性。具备开发能力的团队可以通过大模型API建设专门平台；普通教师也可以组合使用学习管理系统、H5P、在线表单、共享文档和录音工具，实现相同的教学流程。</w:t>
      </w:r>
    </w:p>
    <w:p w14:paraId="51ECCACF">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Times New Roman" w:hAnsi="Times New Roman" w:eastAsia="黑体" w:cs="Times New Roman"/>
          <w:sz w:val="24"/>
          <w:szCs w:val="32"/>
          <w:lang w:val="en-US" w:eastAsia="zh-CN"/>
        </w:rPr>
      </w:pPr>
      <w:r>
        <w:rPr>
          <w:rFonts w:ascii="黑体" w:hAnsi="黑体" w:eastAsia="黑体" w:cs="黑体"/>
          <w:b w:val="0"/>
          <w:bCs w:val="0"/>
          <w:kern w:val="2"/>
          <w:sz w:val="28"/>
          <w:szCs w:val="36"/>
          <w:lang w:val="en-US" w:eastAsia="zh-CN" w:bidi="ar-SA"/>
        </w:rPr>
        <w:t>六、</w:t>
      </w:r>
      <w:commentRangeStart w:id="1"/>
      <w:r>
        <w:rPr>
          <w:rFonts w:ascii="黑体" w:hAnsi="黑体" w:eastAsia="黑体" w:cs="黑体"/>
          <w:b w:val="0"/>
          <w:bCs w:val="0"/>
          <w:kern w:val="2"/>
          <w:sz w:val="28"/>
          <w:szCs w:val="36"/>
          <w:lang w:val="en-US" w:eastAsia="zh-CN" w:bidi="ar-SA"/>
        </w:rPr>
        <w:t>结语</w:t>
      </w:r>
      <w:r>
        <w:rPr>
          <w:rFonts w:hint="eastAsia" w:ascii="宋体" w:hAnsi="宋体" w:cs="宋体"/>
          <w:sz w:val="21"/>
          <w:szCs w:val="21"/>
          <w:lang w:val="en-US" w:eastAsia="zh-CN"/>
        </w:rPr>
        <w:t>（</w:t>
      </w:r>
      <w:r>
        <w:rPr>
          <w:rFonts w:hint="eastAsia" w:ascii="楷体" w:hAnsi="楷体" w:eastAsia="楷体" w:cs="楷体"/>
          <w:sz w:val="21"/>
          <w:szCs w:val="21"/>
          <w:lang w:val="en-US" w:eastAsia="zh-CN"/>
        </w:rPr>
        <w:t>总结本次案例整体成果、实践感悟，展望</w:t>
      </w:r>
      <w:r>
        <w:rPr>
          <w:rFonts w:hint="default" w:ascii="Times New Roman" w:hAnsi="Times New Roman" w:eastAsia="楷体" w:cs="Times New Roman"/>
          <w:sz w:val="21"/>
          <w:szCs w:val="21"/>
          <w:lang w:val="en-US" w:eastAsia="zh-CN"/>
        </w:rPr>
        <w:t>GAI</w:t>
      </w:r>
      <w:r>
        <w:rPr>
          <w:rFonts w:hint="eastAsia" w:ascii="楷体" w:hAnsi="楷体" w:eastAsia="楷体" w:cs="楷体"/>
          <w:sz w:val="21"/>
          <w:szCs w:val="21"/>
          <w:lang w:val="en-US" w:eastAsia="zh-CN"/>
        </w:rPr>
        <w:t>在国际中文教育领域的未来发展与应用愿景。</w:t>
      </w:r>
      <w:r>
        <w:rPr>
          <w:rFonts w:hint="eastAsia" w:ascii="宋体" w:hAnsi="宋体" w:cs="宋体"/>
          <w:sz w:val="21"/>
          <w:szCs w:val="21"/>
          <w:lang w:val="en-US" w:eastAsia="zh-CN"/>
        </w:rPr>
        <w:t>）</w:t>
      </w:r>
      <w:commentRangeEnd w:id="1"/>
      <w:r>
        <w:commentReference w:id="1"/>
      </w:r>
    </w:p>
    <w:p w14:paraId="187ED949">
      <w:pPr>
        <w:spacing w:before="0" w:after="0" w:line="360" w:lineRule="auto"/>
        <w:ind w:left="0" w:right="0" w:firstLine="420"/>
        <w:jc w:val="both"/>
        <w:rPr>
          <w:rFonts w:hint="eastAsia" w:ascii="Times New Roman" w:hAnsi="Times New Roman" w:eastAsia="宋体" w:cs="Times New Roman"/>
          <w:b w:val="0"/>
          <w:i w:val="0"/>
          <w:sz w:val="21"/>
          <w:highlight w:val="yellow"/>
        </w:rPr>
      </w:pPr>
      <w:r>
        <w:rPr>
          <w:rFonts w:hint="eastAsia" w:ascii="Times New Roman" w:hAnsi="Times New Roman" w:eastAsia="宋体" w:cs="Times New Roman"/>
          <w:b w:val="0"/>
          <w:i w:val="0"/>
          <w:sz w:val="21"/>
          <w:highlight w:val="yellow"/>
        </w:rPr>
        <w:t>GAI进入国际中文教学需要与明确的学习目标、真实的交际任务和稳定的质量控制机制结合。其优势主要体现在材料加工、学习支架和形成性反馈等可重复、可个别化的环节；教师则承担事实核验、文化阐释、教学决策和评价等专业责任。这样的分工既发挥GAI在资源生成与即时支持方面的优势，也保留教师对教学过程和内容质量的把关。</w:t>
      </w:r>
    </w:p>
    <w:p w14:paraId="05A0441F">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七、参考文献/资料来源</w:t>
      </w:r>
    </w:p>
    <w:p w14:paraId="65712AC2">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360" w:lineRule="auto"/>
        <w:ind w:left="0" w:right="0" w:firstLine="0"/>
        <w:jc w:val="left"/>
        <w:textAlignment w:val="auto"/>
        <w:rPr>
          <w:rFonts w:ascii="宋体" w:hAnsi="宋体" w:cs="宋体"/>
          <w:sz w:val="21"/>
          <w:szCs w:val="21"/>
          <w:lang w:val="en-US" w:eastAsia="zh-CN"/>
        </w:rPr>
      </w:pPr>
      <w:r>
        <w:rPr>
          <w:rFonts w:ascii="Times New Roman" w:hAnsi="Times New Roman" w:eastAsia="宋体" w:cs="Times New Roman"/>
          <w:sz w:val="21"/>
        </w:rPr>
        <w:t>1. 中外语言交流合作中心组编（2023）：《国际中文教育用中国文化和国情教学参考框架（应用解读本）》，北京大学出版社。</w:t>
      </w:r>
    </w:p>
    <w:p w14:paraId="37453B26">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2. 祖晓梅（2023）：《新时期中国文化教学与传播的新探索——以〈国际中文教育用中国文化和国情教学参考框架〉为例》，《宁波大学学报（教育科学版）》45(1)。</w:t>
      </w:r>
    </w:p>
    <w:p w14:paraId="5C58C319">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3. 新华网（2026-05-21）：《毛乌素的绿色约定》。</w:t>
      </w:r>
    </w:p>
    <w:p w14:paraId="29948441">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4. 国家林业和草原局（2026-05-27）：《毛乌素沙地上，跨越26年的绿色约定》。</w:t>
      </w:r>
    </w:p>
    <w:p w14:paraId="544E8617">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5. 国家林业和草原局三北局（2022-11-21）：《三北防护林体系建设工程总体规划》。</w:t>
      </w:r>
    </w:p>
    <w:p w14:paraId="6AD5862A">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6. 国家林业和草原局三北局（2025-02-08）：《朱教君院士团队系统评估三北工程45年建设的综合成效》。</w:t>
      </w:r>
    </w:p>
    <w:p w14:paraId="09368948">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7. 凤凰网（转引中央广播电视总台新闻，2026）：《赛·考斯基与殷玉珍温暖重逢》。</w:t>
      </w:r>
    </w:p>
    <w:p w14:paraId="4247B5EC">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8. ACTFL（2024）：ACTFL Proficiency Guidelines 2024。</w:t>
      </w:r>
    </w:p>
    <w:p w14:paraId="5D1EE8D1">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9. NCSSFL—ACTFL（2026）：Can-Do Statements。</w:t>
      </w:r>
    </w:p>
    <w:p w14:paraId="09BBF67E">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10. Wiggins, G., &amp; McTighe, J.（2005）：Understanding by Design (Expanded 2nd ed.). ASCD。</w:t>
      </w:r>
    </w:p>
    <w:p w14:paraId="52FAB3EB">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11. Long, M. H.（2015）：Second Language Acquisition and Task-Based Language Teaching. Wiley-Blackwell。</w:t>
      </w:r>
    </w:p>
    <w:p w14:paraId="62636609">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12. Tomlinson, C. A.（2014）：The Differentiated Classroom: Responding to the Needs of All Learners (2nd ed.). ASCD。</w:t>
      </w:r>
    </w:p>
    <w:p w14:paraId="6D7A8F86">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13. Cope, B., &amp; Kalantzis, M.（Eds.）（2009）：Ubiquitous Learning. University of Illinois Press。</w:t>
      </w:r>
    </w:p>
    <w:p w14:paraId="04892817">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14. Mayer, R. E.（2021）：Multimedia Learning (3rd ed.). Cambridge University Press。</w:t>
      </w:r>
    </w:p>
    <w:p w14:paraId="77E9A7FA">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15. Vandergrift, L., &amp; Tafaghodtari, M. H.（2010）：Teaching L2 learners how to listen does make a difference: An empirical study. Language Learning, 60(2), 470–497。</w:t>
      </w:r>
    </w:p>
    <w:p w14:paraId="0C04A970">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16. Kohnke, L., Moorhouse, B. L., &amp; Zou, D.（2023）：ChatGPT for language teaching and learning. RELC Journal, 54(2), 537–550。</w:t>
      </w:r>
    </w:p>
    <w:p w14:paraId="107075AA">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17. UNESCO（2023）：Guidance for Generative AI in Education and Research。</w:t>
      </w:r>
    </w:p>
    <w:p w14:paraId="28EE000F">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18. Anderson, L. W., &amp; Krathwohl, D. R.（Eds.）（2001）：A Taxonomy for Learning, Teaching, and Assessing: A Revision of Bloom’s Taxonomy of Educational Objectives. Longman。</w:t>
      </w:r>
    </w:p>
    <w:p w14:paraId="7690C521">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八、附录（若有）</w:t>
      </w:r>
    </w:p>
    <w:p w14:paraId="204BEDA2">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pPr>
      <w:r>
        <w:rPr>
          <w:rFonts w:ascii="Times New Roman" w:hAnsi="Times New Roman" w:eastAsia="宋体" w:cs="Times New Roman"/>
          <w:b w:val="0"/>
          <w:i w:val="0"/>
          <w:sz w:val="21"/>
        </w:rPr>
        <w:t>附录材料与教学目标和评价证据直接对应，建议包括：①口语表现量表；②学习者Can-Do自评与反思表；③教师核心记录与反思表；④主要GAI提示词模板；⑤事实核查表；⑥真实新闻来源表及原始链接；⑦三幕听力文本与教学改写版；⑧时间线、国情卡和标题修订任务；⑨网页界面截图及主要交互页面；⑩典型GAI反馈示例及学习者判断、修改前后口语样例。其中第⑩项可作为重点展示材料，直观呈现“第一次讲述—GAI建议—学习者判断—第二次讲述”的学习闭环。</w:t>
      </w:r>
    </w:p>
    <w:p w14:paraId="645E24DD">
      <w:pPr>
        <w:spacing w:before="0" w:after="0" w:line="360" w:lineRule="auto"/>
        <w:ind w:left="0" w:right="0" w:firstLine="0"/>
        <w:jc w:val="both"/>
      </w:pPr>
      <w:r>
        <w:rPr>
          <w:rFonts w:ascii="Times New Roman" w:hAnsi="Times New Roman" w:eastAsia="宋体" w:cs="Times New Roman"/>
          <w:b/>
          <w:i w:val="0"/>
          <w:sz w:val="21"/>
        </w:rPr>
        <w:t>附录</w:t>
      </w:r>
      <w:r>
        <w:rPr>
          <w:rFonts w:hint="eastAsia" w:ascii="Times New Roman" w:hAnsi="Times New Roman" w:cs="Times New Roman"/>
          <w:b/>
          <w:i w:val="0"/>
          <w:sz w:val="21"/>
          <w:lang w:val="en-US" w:eastAsia="zh-CN"/>
        </w:rPr>
        <w:t>一</w:t>
      </w:r>
      <w:r>
        <w:rPr>
          <w:rFonts w:ascii="Times New Roman" w:hAnsi="Times New Roman" w:eastAsia="宋体" w:cs="Times New Roman"/>
          <w:b/>
          <w:i w:val="0"/>
          <w:sz w:val="21"/>
        </w:rPr>
        <w:t xml:space="preserve">  学习者Can-Do自评与反思</w:t>
      </w:r>
    </w:p>
    <w:p w14:paraId="5C6B8219">
      <w:pPr>
        <w:spacing w:before="0" w:after="0" w:line="360" w:lineRule="auto"/>
        <w:ind w:left="0" w:right="0" w:firstLine="420"/>
        <w:jc w:val="both"/>
      </w:pPr>
      <w:r>
        <w:rPr>
          <w:rFonts w:ascii="Times New Roman" w:hAnsi="Times New Roman" w:eastAsia="宋体" w:cs="Times New Roman"/>
          <w:b w:val="0"/>
          <w:i w:val="0"/>
          <w:sz w:val="21"/>
        </w:rPr>
        <w:t>1. 我能按主要时间节点说明故事的发展。  1  2  3  4  5</w:t>
      </w:r>
    </w:p>
    <w:p w14:paraId="3A6F82B2">
      <w:pPr>
        <w:spacing w:before="0" w:after="0" w:line="360" w:lineRule="auto"/>
        <w:ind w:left="0" w:right="0" w:firstLine="420"/>
        <w:jc w:val="both"/>
      </w:pPr>
      <w:r>
        <w:rPr>
          <w:rFonts w:ascii="Times New Roman" w:hAnsi="Times New Roman" w:eastAsia="宋体" w:cs="Times New Roman"/>
          <w:b w:val="0"/>
          <w:i w:val="0"/>
          <w:sz w:val="21"/>
        </w:rPr>
        <w:t>2. 我能说明5000美元、5万多棵树与长期治沙之间的关系。  1  2  3  4  5</w:t>
      </w:r>
    </w:p>
    <w:p w14:paraId="31609E4F">
      <w:pPr>
        <w:spacing w:before="0" w:after="0" w:line="360" w:lineRule="auto"/>
        <w:ind w:left="0" w:right="0" w:firstLine="420"/>
        <w:jc w:val="both"/>
      </w:pPr>
      <w:r>
        <w:rPr>
          <w:rFonts w:ascii="Times New Roman" w:hAnsi="Times New Roman" w:eastAsia="宋体" w:cs="Times New Roman"/>
          <w:b w:val="0"/>
          <w:i w:val="0"/>
          <w:sz w:val="21"/>
        </w:rPr>
        <w:t>3. 我能用至少两项中国背景解释治沙条件和变化。  1  2  3  4  5</w:t>
      </w:r>
    </w:p>
    <w:p w14:paraId="0D76B43A">
      <w:pPr>
        <w:spacing w:before="0" w:after="0" w:line="360" w:lineRule="auto"/>
        <w:ind w:left="0" w:right="0" w:firstLine="420"/>
        <w:jc w:val="both"/>
      </w:pPr>
      <w:r>
        <w:rPr>
          <w:rFonts w:ascii="Times New Roman" w:hAnsi="Times New Roman" w:eastAsia="宋体" w:cs="Times New Roman"/>
          <w:b w:val="0"/>
          <w:i w:val="0"/>
          <w:sz w:val="21"/>
        </w:rPr>
        <w:t>4. 我能根据一类美国听众调整背景说明和信息顺序。  1  2  3  4  5</w:t>
      </w:r>
    </w:p>
    <w:p w14:paraId="093D7916">
      <w:pPr>
        <w:spacing w:before="0" w:after="0" w:line="360" w:lineRule="auto"/>
        <w:ind w:left="0" w:right="0" w:firstLine="420"/>
        <w:jc w:val="both"/>
      </w:pPr>
      <w:r>
        <w:rPr>
          <w:rFonts w:ascii="Times New Roman" w:hAnsi="Times New Roman" w:eastAsia="宋体" w:cs="Times New Roman"/>
          <w:b w:val="0"/>
          <w:i w:val="0"/>
          <w:sz w:val="21"/>
        </w:rPr>
        <w:t>5. 我能判断一条GAI建议是否适合我的讲述，并说明理由。  1  2  3  4  5</w:t>
      </w:r>
    </w:p>
    <w:p w14:paraId="7207859F">
      <w:pPr>
        <w:spacing w:before="0" w:after="0" w:line="360" w:lineRule="auto"/>
        <w:ind w:left="0" w:right="0" w:firstLine="420"/>
        <w:jc w:val="both"/>
      </w:pPr>
      <w:r>
        <w:rPr>
          <w:rFonts w:ascii="Times New Roman" w:hAnsi="Times New Roman" w:eastAsia="宋体" w:cs="Times New Roman"/>
          <w:b w:val="0"/>
          <w:i w:val="0"/>
          <w:sz w:val="21"/>
        </w:rPr>
        <w:t>（1）完成任务后，我对这个故事的哪一点理解发生了变化？哪条材料或证据促成了变化？</w:t>
      </w:r>
    </w:p>
    <w:p w14:paraId="4AFCFA4F">
      <w:pPr>
        <w:spacing w:before="0" w:after="0" w:line="360" w:lineRule="auto"/>
        <w:ind w:left="0" w:right="0" w:firstLine="420"/>
        <w:jc w:val="both"/>
      </w:pPr>
      <w:r>
        <w:rPr>
          <w:rFonts w:ascii="Times New Roman" w:hAnsi="Times New Roman" w:eastAsia="宋体" w:cs="Times New Roman"/>
          <w:b w:val="0"/>
          <w:i w:val="0"/>
          <w:sz w:val="21"/>
        </w:rPr>
        <w:t>（2）哪一项支架最帮助我完成任务？下一次同类任务我还需要什么支持？</w:t>
      </w:r>
    </w:p>
    <w:p w14:paraId="72A59F1C">
      <w:pPr>
        <w:spacing w:before="0" w:after="0" w:line="360" w:lineRule="auto"/>
        <w:ind w:left="0" w:right="0" w:firstLine="420"/>
        <w:jc w:val="both"/>
      </w:pPr>
      <w:r>
        <w:rPr>
          <w:rFonts w:ascii="Times New Roman" w:hAnsi="Times New Roman" w:eastAsia="宋体" w:cs="Times New Roman"/>
          <w:b w:val="0"/>
          <w:i w:val="0"/>
          <w:sz w:val="21"/>
        </w:rPr>
        <w:t>（3）GAI、同伴或教师反馈中，哪一条真正进入了我的第二次表达？我怎样修改了原来的说法？</w:t>
      </w:r>
    </w:p>
    <w:p w14:paraId="7FC3F0D6">
      <w:pPr>
        <w:spacing w:before="0" w:after="0" w:line="360" w:lineRule="auto"/>
        <w:ind w:left="0" w:right="0" w:firstLine="0"/>
        <w:jc w:val="both"/>
      </w:pPr>
      <w:r>
        <w:rPr>
          <w:rFonts w:ascii="Times New Roman" w:hAnsi="Times New Roman" w:eastAsia="宋体" w:cs="Times New Roman"/>
          <w:b/>
          <w:i w:val="0"/>
          <w:sz w:val="21"/>
        </w:rPr>
        <w:t>附录</w:t>
      </w:r>
      <w:r>
        <w:rPr>
          <w:rFonts w:hint="eastAsia" w:ascii="Times New Roman" w:hAnsi="Times New Roman" w:cs="Times New Roman"/>
          <w:b/>
          <w:i w:val="0"/>
          <w:sz w:val="21"/>
          <w:lang w:val="en-US" w:eastAsia="zh-CN"/>
        </w:rPr>
        <w:t>二</w:t>
      </w:r>
      <w:r>
        <w:rPr>
          <w:rFonts w:ascii="Times New Roman" w:hAnsi="Times New Roman" w:eastAsia="宋体" w:cs="Times New Roman"/>
          <w:b/>
          <w:i w:val="0"/>
          <w:sz w:val="21"/>
        </w:rPr>
        <w:t xml:space="preserve">  教师核心记录与反思</w:t>
      </w:r>
    </w:p>
    <w:p w14:paraId="7E34446C">
      <w:pPr>
        <w:spacing w:before="0" w:after="0" w:line="360" w:lineRule="auto"/>
        <w:ind w:left="0" w:right="0" w:firstLine="420"/>
        <w:jc w:val="both"/>
      </w:pPr>
      <w:r>
        <w:rPr>
          <w:rFonts w:ascii="Times New Roman" w:hAnsi="Times New Roman" w:eastAsia="宋体" w:cs="Times New Roman"/>
          <w:b w:val="0"/>
          <w:i w:val="0"/>
          <w:sz w:val="21"/>
        </w:rPr>
        <w:t>1. 记录真实材料开发总用时及其中人工核查用时。</w:t>
      </w:r>
    </w:p>
    <w:p w14:paraId="34CAFFF0">
      <w:pPr>
        <w:spacing w:before="0" w:after="0" w:line="360" w:lineRule="auto"/>
        <w:ind w:left="0" w:right="0" w:firstLine="420"/>
        <w:jc w:val="both"/>
      </w:pPr>
      <w:r>
        <w:rPr>
          <w:rFonts w:ascii="Times New Roman" w:hAnsi="Times New Roman" w:eastAsia="宋体" w:cs="Times New Roman"/>
          <w:b w:val="0"/>
          <w:i w:val="0"/>
          <w:sz w:val="21"/>
        </w:rPr>
        <w:t>2. 记录课堂任务启动与回收的实际占用时间。</w:t>
      </w:r>
    </w:p>
    <w:p w14:paraId="7000D4ED">
      <w:pPr>
        <w:spacing w:before="0" w:after="0" w:line="360" w:lineRule="auto"/>
        <w:ind w:left="0" w:right="0" w:firstLine="420"/>
        <w:jc w:val="both"/>
      </w:pPr>
      <w:r>
        <w:rPr>
          <w:rFonts w:ascii="Times New Roman" w:hAnsi="Times New Roman" w:eastAsia="宋体" w:cs="Times New Roman"/>
          <w:b w:val="0"/>
          <w:i w:val="0"/>
          <w:sz w:val="21"/>
        </w:rPr>
        <w:t>3. 统计GAI建议直接采用、修改后采用和放弃的数量，并记录最常见的修改原因。</w:t>
      </w:r>
    </w:p>
    <w:p w14:paraId="552E54ED">
      <w:pPr>
        <w:spacing w:before="0" w:after="0" w:line="360" w:lineRule="auto"/>
        <w:ind w:left="0" w:right="0" w:firstLine="420"/>
        <w:jc w:val="both"/>
      </w:pPr>
      <w:r>
        <w:rPr>
          <w:rFonts w:ascii="Times New Roman" w:hAnsi="Times New Roman" w:eastAsia="宋体" w:cs="Times New Roman"/>
          <w:b w:val="0"/>
          <w:i w:val="0"/>
          <w:sz w:val="21"/>
        </w:rPr>
        <w:t>（1）本轮课后材料是否真正补充了教材中缺少的当代中国真实输入？</w:t>
      </w:r>
    </w:p>
    <w:p w14:paraId="21DA2043">
      <w:pPr>
        <w:spacing w:before="0" w:after="0" w:line="360" w:lineRule="auto"/>
        <w:ind w:left="0" w:right="0" w:firstLine="420"/>
        <w:jc w:val="both"/>
      </w:pPr>
      <w:r>
        <w:rPr>
          <w:rFonts w:ascii="Times New Roman" w:hAnsi="Times New Roman" w:eastAsia="宋体" w:cs="Times New Roman"/>
          <w:b w:val="0"/>
          <w:i w:val="0"/>
          <w:sz w:val="21"/>
        </w:rPr>
        <w:t>（2）学习者在哪一个任务环节仍然最需要教师进入？</w:t>
      </w:r>
    </w:p>
    <w:p w14:paraId="4845C488">
      <w:pPr>
        <w:spacing w:before="0" w:after="0" w:line="360" w:lineRule="auto"/>
        <w:ind w:left="0" w:right="0" w:firstLine="420"/>
        <w:jc w:val="both"/>
      </w:pPr>
      <w:r>
        <w:rPr>
          <w:rFonts w:ascii="Times New Roman" w:hAnsi="Times New Roman" w:eastAsia="宋体" w:cs="Times New Roman"/>
          <w:b w:val="0"/>
          <w:i w:val="0"/>
          <w:sz w:val="21"/>
        </w:rPr>
        <w:t>（3）下一轮只优先修改一件事，最应该修改什么？</w:t>
      </w:r>
    </w:p>
    <w:p w14:paraId="1CDF4DD1">
      <w:pPr>
        <w:spacing w:before="0" w:after="0" w:line="360" w:lineRule="auto"/>
        <w:ind w:left="0" w:right="0" w:firstLine="0"/>
        <w:jc w:val="both"/>
      </w:pPr>
      <w:r>
        <w:rPr>
          <w:rFonts w:ascii="Times New Roman" w:hAnsi="Times New Roman" w:eastAsia="宋体" w:cs="Times New Roman"/>
          <w:b/>
          <w:i w:val="0"/>
          <w:sz w:val="21"/>
        </w:rPr>
        <w:t>附录</w:t>
      </w:r>
      <w:r>
        <w:rPr>
          <w:rFonts w:hint="eastAsia" w:ascii="Times New Roman" w:hAnsi="Times New Roman" w:cs="Times New Roman"/>
          <w:b/>
          <w:i w:val="0"/>
          <w:sz w:val="21"/>
          <w:lang w:val="en-US" w:eastAsia="zh-CN"/>
        </w:rPr>
        <w:t>三</w:t>
      </w:r>
      <w:r>
        <w:rPr>
          <w:rFonts w:ascii="Times New Roman" w:hAnsi="Times New Roman" w:eastAsia="宋体" w:cs="Times New Roman"/>
          <w:b/>
          <w:i w:val="0"/>
          <w:sz w:val="21"/>
        </w:rPr>
        <w:t xml:space="preserve">  GAI提示词要点</w:t>
      </w:r>
    </w:p>
    <w:p w14:paraId="26864B90">
      <w:pPr>
        <w:spacing w:before="0" w:after="0" w:line="360" w:lineRule="auto"/>
        <w:ind w:left="0" w:right="0" w:firstLine="420" w:firstLineChars="0"/>
        <w:jc w:val="both"/>
      </w:pPr>
      <w:r>
        <w:rPr>
          <w:rFonts w:ascii="Times New Roman" w:hAnsi="Times New Roman" w:eastAsia="宋体" w:cs="Times New Roman"/>
          <w:b w:val="0"/>
          <w:i w:val="0"/>
          <w:sz w:val="21"/>
        </w:rPr>
        <w:t>1. 资料检索：优先定位新华社、国家林业和草原局、三北工程主管部门及原始新闻页面，按来源、日期、人物、时间、数字和行动整理，冲突信息单独标记。</w:t>
      </w:r>
    </w:p>
    <w:p w14:paraId="5D6C8BC5">
      <w:pPr>
        <w:spacing w:before="0" w:after="0" w:line="360" w:lineRule="auto"/>
        <w:ind w:right="0" w:firstLine="420" w:firstLineChars="0"/>
        <w:jc w:val="both"/>
      </w:pPr>
      <w:r>
        <w:rPr>
          <w:rFonts w:ascii="Times New Roman" w:hAnsi="Times New Roman" w:eastAsia="宋体" w:cs="Times New Roman"/>
          <w:b w:val="0"/>
          <w:i w:val="0"/>
          <w:sz w:val="21"/>
        </w:rPr>
        <w:t>2. 适级改写：只使用教师确认的事实，面向Intermediate High至Advanced Low学习者控制句长、词汇和信息密度，保留关键时间与数字，并根据听力任务设计主旨和细节问题。</w:t>
      </w:r>
    </w:p>
    <w:p w14:paraId="254A9831">
      <w:pPr>
        <w:spacing w:before="0" w:after="0" w:line="360" w:lineRule="auto"/>
        <w:ind w:right="0" w:firstLine="420" w:firstLineChars="0"/>
        <w:jc w:val="both"/>
      </w:pPr>
      <w:r>
        <w:rPr>
          <w:rFonts w:ascii="Times New Roman" w:hAnsi="Times New Roman" w:eastAsia="宋体" w:cs="Times New Roman"/>
          <w:b w:val="0"/>
          <w:i w:val="0"/>
          <w:sz w:val="21"/>
        </w:rPr>
        <w:t>3. 试讲反馈：读取学习者转写、所选受众、</w:t>
      </w:r>
      <w:r>
        <w:rPr>
          <w:rFonts w:hint="eastAsia" w:ascii="Times New Roman" w:hAnsi="Times New Roman" w:cs="Times New Roman"/>
          <w:b w:val="0"/>
          <w:i w:val="0"/>
          <w:sz w:val="21"/>
          <w:lang w:eastAsia="zh-CN"/>
        </w:rPr>
        <w:t>事实清单</w:t>
      </w:r>
      <w:r>
        <w:rPr>
          <w:rFonts w:ascii="Times New Roman" w:hAnsi="Times New Roman" w:eastAsia="宋体" w:cs="Times New Roman"/>
          <w:b w:val="0"/>
          <w:i w:val="0"/>
          <w:sz w:val="21"/>
        </w:rPr>
        <w:t>摘要和口语量表，检查受众、时间、国情背景和因果范围，只提供一条优先修改建议，并给出一个可以立即用于下一次表达的语言提示。</w:t>
      </w:r>
    </w:p>
    <w:sectPr>
      <w:pgSz w:w="11906" w:h="16838"/>
      <w:pgMar w:top="1440" w:right="1800" w:bottom="1440" w:left="1800" w:header="0" w:footer="0" w:gutter="0"/>
      <w:pgNumType w:fmt="decimal"/>
      <w:cols w:space="720"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ngyong" w:date="2026-08-31T21:08:55Z" w:initials="">
    <w:p w14:paraId="55BC233B">
      <w:pPr>
        <w:pStyle w:val="5"/>
        <w:rPr>
          <w:rFonts w:hint="default" w:eastAsia="宋体"/>
          <w:lang w:val="en-US" w:eastAsia="zh-CN"/>
        </w:rPr>
      </w:pPr>
      <w:r>
        <w:rPr>
          <w:rFonts w:hint="eastAsia"/>
          <w:lang w:val="en-US" w:eastAsia="zh-CN"/>
        </w:rPr>
        <w:t>后续补充一些老师们的数据~</w:t>
      </w:r>
    </w:p>
  </w:comment>
  <w:comment w:id="1" w:author="Fengyong" w:date="2026-08-31T19:22:08Z" w:initials="">
    <w:p w14:paraId="7D3CE0A0">
      <w:pPr>
        <w:pStyle w:val="5"/>
        <w:rPr>
          <w:rFonts w:hint="default" w:eastAsia="宋体"/>
          <w:lang w:val="en-US" w:eastAsia="zh-CN"/>
        </w:rPr>
      </w:pPr>
      <w:r>
        <w:rPr>
          <w:rFonts w:hint="eastAsia"/>
          <w:lang w:val="en-US" w:eastAsia="zh-CN"/>
        </w:rPr>
        <w:t>需结束后补充~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5BC233B" w15:done="0"/>
  <w15:commentEx w15:paraId="7D3CE0A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华光大标宋_CNKI;宋体">
    <w:altName w:val="宋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3"/>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31D1B546"/>
    <w:multiLevelType w:val="singleLevel"/>
    <w:tmpl w:val="31D1B546"/>
    <w:lvl w:ilvl="0" w:tentative="0">
      <w:start w:val="2"/>
      <w:numFmt w:val="chineseCounting"/>
      <w:suff w:val="nothing"/>
      <w:lvlText w:val="（%1）"/>
      <w:lvlJc w:val="left"/>
      <w:rPr>
        <w:rFonts w:hint="eastAsia"/>
      </w:rPr>
    </w:lvl>
  </w:abstractNum>
  <w:abstractNum w:abstractNumId="2">
    <w:nsid w:val="3E590C74"/>
    <w:multiLevelType w:val="singleLevel"/>
    <w:tmpl w:val="3E590C74"/>
    <w:lvl w:ilvl="0" w:tentative="0">
      <w:start w:val="2"/>
      <w:numFmt w:val="chineseCounting"/>
      <w:suff w:val="nothing"/>
      <w:lvlText w:val="（%1）"/>
      <w:lvlJc w:val="left"/>
      <w:rPr>
        <w:rFonts w:hint="eastAsia"/>
      </w:rPr>
    </w:lvl>
  </w:abstractNum>
  <w:abstractNum w:abstractNumId="3">
    <w:nsid w:val="489C8E0F"/>
    <w:multiLevelType w:val="singleLevel"/>
    <w:tmpl w:val="489C8E0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ngyong">
    <w15:presenceInfo w15:providerId="WPS Office" w15:userId="14245218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420"/>
  <w:autoHyphenation/>
  <w:hyphenationZone w:val="0"/>
  <w:displayHorizontalDrawingGridEvery w:val="1"/>
  <w:displayVerticalDrawingGridEvery w:val="1"/>
  <w:noPunctuationKerning w:val="1"/>
  <w:compat>
    <w:doNotExpandShiftReturn/>
    <w:doNotWrapTextWithPunct/>
    <w:doNotUseEastAsianBreakRules/>
    <w:useFELayout/>
    <w:useAltKinsokuLineBreakRules/>
    <w:compatSetting w:name="compatibilityMode" w:uri="http://schemas.microsoft.com/office/word" w:val="11"/>
  </w:compat>
  <w:rsids>
    <w:rsidRoot w:val="00000000"/>
    <w:rsid w:val="00982147"/>
    <w:rsid w:val="00F52A8D"/>
    <w:rsid w:val="01515618"/>
    <w:rsid w:val="01727CE0"/>
    <w:rsid w:val="01C81F50"/>
    <w:rsid w:val="01FB40D3"/>
    <w:rsid w:val="02182ED7"/>
    <w:rsid w:val="02447828"/>
    <w:rsid w:val="069245F9"/>
    <w:rsid w:val="06A50AB1"/>
    <w:rsid w:val="07C93402"/>
    <w:rsid w:val="088C017B"/>
    <w:rsid w:val="08A76D63"/>
    <w:rsid w:val="08D37B58"/>
    <w:rsid w:val="08FB2C0B"/>
    <w:rsid w:val="09CB4CD3"/>
    <w:rsid w:val="0A765CF0"/>
    <w:rsid w:val="0AA3084A"/>
    <w:rsid w:val="0B4D146E"/>
    <w:rsid w:val="0D5C0248"/>
    <w:rsid w:val="0DC801A2"/>
    <w:rsid w:val="0F1113DA"/>
    <w:rsid w:val="101F6E50"/>
    <w:rsid w:val="10881228"/>
    <w:rsid w:val="10FE773C"/>
    <w:rsid w:val="11CD7FE3"/>
    <w:rsid w:val="12DB7D35"/>
    <w:rsid w:val="13A57D35"/>
    <w:rsid w:val="13AE0EC3"/>
    <w:rsid w:val="13F82B68"/>
    <w:rsid w:val="14183933"/>
    <w:rsid w:val="156B1917"/>
    <w:rsid w:val="158C17BA"/>
    <w:rsid w:val="161613C6"/>
    <w:rsid w:val="17A96653"/>
    <w:rsid w:val="17F42A87"/>
    <w:rsid w:val="18493992"/>
    <w:rsid w:val="18754787"/>
    <w:rsid w:val="19087FDA"/>
    <w:rsid w:val="19836A30"/>
    <w:rsid w:val="19CA0B03"/>
    <w:rsid w:val="19D8786E"/>
    <w:rsid w:val="1A22449B"/>
    <w:rsid w:val="1A7B3BAB"/>
    <w:rsid w:val="1B876BD4"/>
    <w:rsid w:val="1BF27E9D"/>
    <w:rsid w:val="1C0F6CA1"/>
    <w:rsid w:val="1C7F5BD5"/>
    <w:rsid w:val="1D2E2FCB"/>
    <w:rsid w:val="1E6908EA"/>
    <w:rsid w:val="1F8F5398"/>
    <w:rsid w:val="1FC35DD8"/>
    <w:rsid w:val="1FC917A5"/>
    <w:rsid w:val="20140D2A"/>
    <w:rsid w:val="20875058"/>
    <w:rsid w:val="20B971DB"/>
    <w:rsid w:val="21244694"/>
    <w:rsid w:val="21920158"/>
    <w:rsid w:val="220152DE"/>
    <w:rsid w:val="220E31CA"/>
    <w:rsid w:val="22C97BAA"/>
    <w:rsid w:val="2329689A"/>
    <w:rsid w:val="24244ED1"/>
    <w:rsid w:val="245060A9"/>
    <w:rsid w:val="24973CD7"/>
    <w:rsid w:val="251470D6"/>
    <w:rsid w:val="25453733"/>
    <w:rsid w:val="26661BB3"/>
    <w:rsid w:val="26BC17D3"/>
    <w:rsid w:val="26BD7BB0"/>
    <w:rsid w:val="2786659D"/>
    <w:rsid w:val="282E4ADB"/>
    <w:rsid w:val="28333D17"/>
    <w:rsid w:val="294D1131"/>
    <w:rsid w:val="29A7676B"/>
    <w:rsid w:val="2A475858"/>
    <w:rsid w:val="2A477674"/>
    <w:rsid w:val="2AAF3B29"/>
    <w:rsid w:val="2AF966CA"/>
    <w:rsid w:val="2C475FE3"/>
    <w:rsid w:val="2CF717B7"/>
    <w:rsid w:val="2D273E1A"/>
    <w:rsid w:val="2D55028C"/>
    <w:rsid w:val="2E114AFB"/>
    <w:rsid w:val="2E36630F"/>
    <w:rsid w:val="2FD1009E"/>
    <w:rsid w:val="304940D8"/>
    <w:rsid w:val="31172428"/>
    <w:rsid w:val="31244B45"/>
    <w:rsid w:val="3137275C"/>
    <w:rsid w:val="31457C05"/>
    <w:rsid w:val="32497E89"/>
    <w:rsid w:val="32823AE1"/>
    <w:rsid w:val="32B819E9"/>
    <w:rsid w:val="32F766FA"/>
    <w:rsid w:val="333849C6"/>
    <w:rsid w:val="335356E2"/>
    <w:rsid w:val="33ED26AF"/>
    <w:rsid w:val="341C1B03"/>
    <w:rsid w:val="345B4DF5"/>
    <w:rsid w:val="347D4D3B"/>
    <w:rsid w:val="36580F9D"/>
    <w:rsid w:val="365B6767"/>
    <w:rsid w:val="36813910"/>
    <w:rsid w:val="382C4A0B"/>
    <w:rsid w:val="38846DF5"/>
    <w:rsid w:val="38B43F5B"/>
    <w:rsid w:val="392F4087"/>
    <w:rsid w:val="39567866"/>
    <w:rsid w:val="39D864CC"/>
    <w:rsid w:val="3BBD597A"/>
    <w:rsid w:val="3C3A0953"/>
    <w:rsid w:val="3C5C33E5"/>
    <w:rsid w:val="3E560D75"/>
    <w:rsid w:val="3E7358B0"/>
    <w:rsid w:val="3E782349"/>
    <w:rsid w:val="3F3643C1"/>
    <w:rsid w:val="4529115C"/>
    <w:rsid w:val="45605CF4"/>
    <w:rsid w:val="457D7D94"/>
    <w:rsid w:val="45C83899"/>
    <w:rsid w:val="46EB3CE3"/>
    <w:rsid w:val="47370CD6"/>
    <w:rsid w:val="474E0F8B"/>
    <w:rsid w:val="47694C08"/>
    <w:rsid w:val="47833F1C"/>
    <w:rsid w:val="4787140D"/>
    <w:rsid w:val="47E80223"/>
    <w:rsid w:val="47ED5839"/>
    <w:rsid w:val="4814642C"/>
    <w:rsid w:val="48390A7E"/>
    <w:rsid w:val="4896658D"/>
    <w:rsid w:val="49555444"/>
    <w:rsid w:val="4968161B"/>
    <w:rsid w:val="4C26756B"/>
    <w:rsid w:val="4CB46925"/>
    <w:rsid w:val="4D0E24D9"/>
    <w:rsid w:val="4D4E1E3C"/>
    <w:rsid w:val="4DFA480C"/>
    <w:rsid w:val="4E077869"/>
    <w:rsid w:val="4E1B35C4"/>
    <w:rsid w:val="4E946A0E"/>
    <w:rsid w:val="4F3F7B86"/>
    <w:rsid w:val="50680152"/>
    <w:rsid w:val="512115A6"/>
    <w:rsid w:val="522462FB"/>
    <w:rsid w:val="52337E0A"/>
    <w:rsid w:val="52AD62F0"/>
    <w:rsid w:val="5303022D"/>
    <w:rsid w:val="530B47E6"/>
    <w:rsid w:val="535350EA"/>
    <w:rsid w:val="53BA0A12"/>
    <w:rsid w:val="53E53868"/>
    <w:rsid w:val="55085A60"/>
    <w:rsid w:val="55142657"/>
    <w:rsid w:val="555749F4"/>
    <w:rsid w:val="55D76AFD"/>
    <w:rsid w:val="56764680"/>
    <w:rsid w:val="56DE2F1C"/>
    <w:rsid w:val="571E32C5"/>
    <w:rsid w:val="57CC546B"/>
    <w:rsid w:val="58311772"/>
    <w:rsid w:val="584D72E6"/>
    <w:rsid w:val="589075B2"/>
    <w:rsid w:val="589C6BEB"/>
    <w:rsid w:val="59B22918"/>
    <w:rsid w:val="59C77C98"/>
    <w:rsid w:val="59E22D24"/>
    <w:rsid w:val="5A3C245B"/>
    <w:rsid w:val="5C683B65"/>
    <w:rsid w:val="5E257683"/>
    <w:rsid w:val="5ECE1AC8"/>
    <w:rsid w:val="5F630463"/>
    <w:rsid w:val="5FEB66AA"/>
    <w:rsid w:val="600A4D82"/>
    <w:rsid w:val="6037544B"/>
    <w:rsid w:val="614E014D"/>
    <w:rsid w:val="619A2136"/>
    <w:rsid w:val="62375BD7"/>
    <w:rsid w:val="626D784A"/>
    <w:rsid w:val="63151D4E"/>
    <w:rsid w:val="63D530FA"/>
    <w:rsid w:val="643423CE"/>
    <w:rsid w:val="64A21A2D"/>
    <w:rsid w:val="64F8164D"/>
    <w:rsid w:val="651D2E62"/>
    <w:rsid w:val="65BD2897"/>
    <w:rsid w:val="67E265E5"/>
    <w:rsid w:val="686F60CA"/>
    <w:rsid w:val="68BB130F"/>
    <w:rsid w:val="68E32614"/>
    <w:rsid w:val="69586B5E"/>
    <w:rsid w:val="69FE3258"/>
    <w:rsid w:val="6A1163FA"/>
    <w:rsid w:val="6A242EE4"/>
    <w:rsid w:val="6A575068"/>
    <w:rsid w:val="6B1271E1"/>
    <w:rsid w:val="6BCA2EC5"/>
    <w:rsid w:val="6C5630FD"/>
    <w:rsid w:val="6D5E2269"/>
    <w:rsid w:val="6F1C79B6"/>
    <w:rsid w:val="6F392F8E"/>
    <w:rsid w:val="6FB10D76"/>
    <w:rsid w:val="70D80585"/>
    <w:rsid w:val="715A543E"/>
    <w:rsid w:val="715F2A54"/>
    <w:rsid w:val="727147ED"/>
    <w:rsid w:val="734463A5"/>
    <w:rsid w:val="738642C8"/>
    <w:rsid w:val="73D026F0"/>
    <w:rsid w:val="74746816"/>
    <w:rsid w:val="74A4534E"/>
    <w:rsid w:val="74E20EC9"/>
    <w:rsid w:val="75A849CA"/>
    <w:rsid w:val="75DC6B41"/>
    <w:rsid w:val="76443835"/>
    <w:rsid w:val="769E70AD"/>
    <w:rsid w:val="76C05D43"/>
    <w:rsid w:val="77297D8C"/>
    <w:rsid w:val="777A02FF"/>
    <w:rsid w:val="77D01FB6"/>
    <w:rsid w:val="786F5C73"/>
    <w:rsid w:val="78925980"/>
    <w:rsid w:val="78E71CAD"/>
    <w:rsid w:val="78E75809"/>
    <w:rsid w:val="79231E78"/>
    <w:rsid w:val="79440EAD"/>
    <w:rsid w:val="79E221C8"/>
    <w:rsid w:val="79F93A46"/>
    <w:rsid w:val="79FF6B82"/>
    <w:rsid w:val="7C186948"/>
    <w:rsid w:val="7C691716"/>
    <w:rsid w:val="7D20753B"/>
    <w:rsid w:val="7D480840"/>
    <w:rsid w:val="7D661436"/>
    <w:rsid w:val="7DB67EA0"/>
    <w:rsid w:val="7DC97BD3"/>
    <w:rsid w:val="7E941F8F"/>
    <w:rsid w:val="7E957AB5"/>
    <w:rsid w:val="7EEA6053"/>
    <w:rsid w:val="7EEF5417"/>
    <w:rsid w:val="7EFA3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0"/>
    <w:pPr>
      <w:numPr>
        <w:ilvl w:val="2"/>
        <w:numId w:val="1"/>
      </w:numPr>
      <w:spacing w:before="100" w:after="100"/>
      <w:jc w:val="left"/>
      <w:outlineLvl w:val="2"/>
    </w:pPr>
    <w:rPr>
      <w:rFonts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rFonts w:cs="Lohit Devanagari"/>
      <w:i/>
      <w:iCs/>
      <w:sz w:val="24"/>
      <w:szCs w:val="24"/>
    </w:rPr>
  </w:style>
  <w:style w:type="paragraph" w:styleId="5">
    <w:name w:val="annotation text"/>
    <w:basedOn w:val="1"/>
    <w:uiPriority w:val="0"/>
    <w:pPr>
      <w:jc w:val="left"/>
    </w:pPr>
  </w:style>
  <w:style w:type="paragraph" w:styleId="6">
    <w:name w:val="Body Text"/>
    <w:basedOn w:val="1"/>
    <w:qFormat/>
    <w:uiPriority w:val="0"/>
    <w:pPr>
      <w:spacing w:before="0" w:after="140" w:line="276" w:lineRule="auto"/>
    </w:pPr>
  </w:style>
  <w:style w:type="paragraph" w:styleId="7">
    <w:name w:val="List"/>
    <w:basedOn w:val="6"/>
    <w:qFormat/>
    <w:uiPriority w:val="0"/>
    <w:rPr>
      <w:rFonts w:cs="Lohit Devanagari"/>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3"/>
    <w:qFormat/>
    <w:uiPriority w:val="0"/>
    <w:rPr>
      <w:b/>
    </w:rPr>
  </w:style>
  <w:style w:type="character" w:customStyle="1" w:styleId="13">
    <w:name w:val="默认段落字体1"/>
    <w:qFormat/>
    <w:uiPriority w:val="0"/>
  </w:style>
  <w:style w:type="character" w:styleId="14">
    <w:name w:val="Hyperlink"/>
    <w:basedOn w:val="11"/>
    <w:qFormat/>
    <w:uiPriority w:val="0"/>
    <w:rPr>
      <w:color w:val="0000FF"/>
      <w:u w:val="single"/>
    </w:rPr>
  </w:style>
  <w:style w:type="paragraph" w:customStyle="1" w:styleId="15">
    <w:name w:val="Heading"/>
    <w:basedOn w:val="1"/>
    <w:next w:val="6"/>
    <w:qFormat/>
    <w:uiPriority w:val="0"/>
    <w:pPr>
      <w:keepNext/>
      <w:spacing w:before="240" w:after="120"/>
    </w:pPr>
    <w:rPr>
      <w:rFonts w:ascii="Liberation Sans" w:hAnsi="Liberation Sans" w:eastAsia="Noto Sans CJK SC" w:cs="Lohit Devanagari"/>
      <w:sz w:val="28"/>
      <w:szCs w:val="28"/>
    </w:rPr>
  </w:style>
  <w:style w:type="paragraph" w:customStyle="1" w:styleId="16">
    <w:name w:val="Index"/>
    <w:basedOn w:val="1"/>
    <w:qFormat/>
    <w:uiPriority w:val="0"/>
    <w:pPr>
      <w:suppressLineNumbers/>
    </w:pPr>
    <w:rPr>
      <w:rFonts w:cs="Lohit Devanagari"/>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2626</Words>
  <Characters>2705</Characters>
  <TotalTime>12</TotalTime>
  <ScaleCrop>false</ScaleCrop>
  <LinksUpToDate>false</LinksUpToDate>
  <CharactersWithSpaces>2710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2026-05-09T02:45:00Z</dcterms:created>
  <dc:creator>丰迪</dc:creator>
  <cp:lastModifiedBy>Fengyong</cp:lastModifiedBy>
  <dcterms:modified xsi:type="dcterms:W3CDTF">2026-09-01T04:11:55Z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E19D21B793694C0185B81264001911CB_12</vt:lpwstr>
  </property>
  <property fmtid="{D5CDD505-2E9C-101B-9397-08002B2CF9AE}" pid="3" name="KSOProductBuildVer">
    <vt:lpwstr>2052-12.1.0.28043</vt:lpwstr>
  </property>
  <property fmtid="{D5CDD505-2E9C-101B-9397-08002B2CF9AE}" pid="4" name="KSOTemplateDocerSaveRecord">
    <vt:lpwstr>eyJoZGlkIjoiNzhjOTJjOGQ0M2ViNjI5MDJiOTcyNTMwZDhmNzk5YzUiLCJ1c2VySWQiOiI2NTUxNDE1NzkifQ==</vt:lpwstr>
  </property>
</Properties>
</file>