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EB02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b/>
          <w:bCs/>
          <w:color w:val="auto"/>
          <w:sz w:val="60"/>
          <w:szCs w:val="60"/>
        </w:rPr>
      </w:pPr>
    </w:p>
    <w:p w14:paraId="53276C2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b/>
          <w:bCs/>
          <w:color w:val="auto"/>
          <w:sz w:val="60"/>
          <w:szCs w:val="60"/>
        </w:rPr>
      </w:pPr>
    </w:p>
    <w:p w14:paraId="0BC63AC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bCs/>
          <w:color w:val="auto"/>
          <w:sz w:val="60"/>
          <w:szCs w:val="60"/>
        </w:rPr>
      </w:pPr>
    </w:p>
    <w:p w14:paraId="779BF87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color w:val="auto"/>
        </w:rPr>
      </w:pPr>
      <w:r>
        <w:rPr>
          <w:rFonts w:hint="default" w:ascii="Times New Roman" w:hAnsi="Times New Roman" w:eastAsia="宋体" w:cs="Times New Roman"/>
          <w:b/>
          <w:bCs/>
          <w:color w:val="auto"/>
          <w:sz w:val="60"/>
          <w:szCs w:val="60"/>
        </w:rPr>
        <w:t>美国本土版中文教育</w:t>
      </w:r>
    </w:p>
    <w:p w14:paraId="2C511D4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color w:val="auto"/>
        </w:rPr>
      </w:pPr>
      <w:bookmarkStart w:id="0" w:name="_GoBack"/>
      <w:r>
        <w:rPr>
          <w:rFonts w:hint="default" w:ascii="Times New Roman" w:hAnsi="Times New Roman" w:eastAsia="宋体" w:cs="Times New Roman"/>
          <w:b/>
          <w:bCs/>
          <w:color w:val="auto"/>
          <w:sz w:val="50"/>
          <w:szCs w:val="50"/>
        </w:rPr>
        <w:t>词汇与语法量表研制结项报告</w:t>
      </w:r>
    </w:p>
    <w:bookmarkEnd w:id="0"/>
    <w:p w14:paraId="7DF5E83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r>
        <w:rPr>
          <w:rFonts w:hint="default" w:ascii="Times New Roman" w:hAnsi="Times New Roman" w:cs="Times New Roman"/>
          <w:i/>
          <w:iCs/>
          <w:color w:val="auto"/>
          <w:sz w:val="20"/>
          <w:szCs w:val="20"/>
          <w:lang w:val="en-US" w:eastAsia="zh-CN"/>
        </w:rPr>
        <w:t>Development of ACTFL-Aligned Chinese Vocabulary and Grammar Proficiency Scales for U.S. K-12 Chinese Language Education: Final Report</w:t>
      </w:r>
    </w:p>
    <w:p w14:paraId="61A855E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B99CC7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0F94A75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7E6A08F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1AB967C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300152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42B9F14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2D5789B">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5945708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07DF54EE">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D9AD89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2244B9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130DE9D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3BE90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val="0"/>
          <w:iCs w:val="0"/>
          <w:color w:val="auto"/>
          <w:sz w:val="28"/>
          <w:szCs w:val="28"/>
          <w:lang w:val="en-US" w:eastAsia="zh-CN"/>
        </w:rPr>
      </w:pPr>
      <w:r>
        <w:rPr>
          <w:rFonts w:hint="default" w:ascii="Times New Roman" w:hAnsi="Times New Roman" w:cs="Times New Roman"/>
          <w:i w:val="0"/>
          <w:iCs w:val="0"/>
          <w:color w:val="auto"/>
          <w:sz w:val="28"/>
          <w:szCs w:val="28"/>
          <w:lang w:val="en-US" w:eastAsia="zh-CN"/>
        </w:rPr>
        <w:t>教育部中外语言交流合作中心</w:t>
      </w:r>
    </w:p>
    <w:p w14:paraId="6626A09D">
      <w:pPr>
        <w:keepNext w:val="0"/>
        <w:keepLines w:val="0"/>
        <w:pageBreakBefore w:val="0"/>
        <w:wordWrap/>
        <w:overflowPunct/>
        <w:topLinePunct w:val="0"/>
        <w:bidi w:val="0"/>
        <w:adjustRightInd w:val="0"/>
        <w:snapToGrid w:val="0"/>
        <w:spacing w:line="360" w:lineRule="auto"/>
        <w:jc w:val="center"/>
        <w:rPr>
          <w:rFonts w:hint="default" w:ascii="Times New Roman" w:hAnsi="Times New Roman" w:cs="Times New Roman"/>
        </w:rPr>
      </w:pPr>
      <w:r>
        <w:rPr>
          <w:rFonts w:hint="default" w:ascii="Times New Roman" w:hAnsi="Times New Roman" w:eastAsia="宋体" w:cs="Times New Roman"/>
          <w:color w:val="606060"/>
          <w:sz w:val="22"/>
          <w:szCs w:val="22"/>
        </w:rPr>
        <w:t>2026年3月</w:t>
      </w:r>
    </w:p>
    <w:p w14:paraId="0731D12A">
      <w:pPr>
        <w:keepNext w:val="0"/>
        <w:keepLines w:val="0"/>
        <w:pageBreakBefore w:val="0"/>
        <w:wordWrap/>
        <w:overflowPunct/>
        <w:topLinePunct w:val="0"/>
        <w:bidi w:val="0"/>
        <w:adjustRightInd w:val="0"/>
        <w:snapToGrid w:val="0"/>
        <w:spacing w:line="360" w:lineRule="auto"/>
        <w:rPr>
          <w:rFonts w:hint="default" w:ascii="Times New Roman" w:hAnsi="Times New Roman" w:cs="Times New Roman"/>
        </w:rPr>
      </w:pPr>
    </w:p>
    <w:p w14:paraId="340B4956">
      <w:pPr>
        <w:keepNext w:val="0"/>
        <w:keepLines w:val="0"/>
        <w:pageBreakBefore w:val="0"/>
        <w:wordWrap/>
        <w:overflowPunct/>
        <w:topLinePunct w:val="0"/>
        <w:bidi w:val="0"/>
        <w:adjustRightInd w:val="0"/>
        <w:snapToGrid w:val="0"/>
        <w:spacing w:line="360" w:lineRule="auto"/>
        <w:rPr>
          <w:rFonts w:hint="default" w:ascii="Times New Roman" w:hAnsi="Times New Roman" w:cs="Times New Roman"/>
        </w:rPr>
      </w:pPr>
      <w:r>
        <w:rPr>
          <w:rFonts w:hint="default" w:ascii="Times New Roman" w:hAnsi="Times New Roman" w:cs="Times New Roman"/>
        </w:rPr>
        <w:br w:type="page"/>
      </w:r>
    </w:p>
    <w:p w14:paraId="508E274D">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default" w:ascii="Times New Roman" w:hAnsi="Times New Roman" w:eastAsia="宋体" w:cs="Times New Roman"/>
          <w:b/>
          <w:bCs/>
          <w:snapToGrid w:val="0"/>
          <w:color w:val="000000"/>
          <w:spacing w:val="-5"/>
          <w:kern w:val="0"/>
          <w:sz w:val="31"/>
          <w:szCs w:val="31"/>
          <w:lang w:val="en-US" w:eastAsia="en-US" w:bidi="ar-SA"/>
        </w:rPr>
      </w:pPr>
      <w:r>
        <w:rPr>
          <w:rFonts w:hint="default" w:ascii="Times New Roman" w:hAnsi="Times New Roman" w:eastAsia="宋体" w:cs="Times New Roman"/>
          <w:b/>
          <w:bCs/>
          <w:snapToGrid w:val="0"/>
          <w:color w:val="000000"/>
          <w:spacing w:val="-5"/>
          <w:kern w:val="0"/>
          <w:sz w:val="31"/>
          <w:szCs w:val="31"/>
          <w:lang w:val="en-US" w:eastAsia="en-US" w:bidi="ar-SA"/>
        </w:rPr>
        <w:t>摘要</w:t>
      </w:r>
    </w:p>
    <w:p w14:paraId="55CE648A">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eastAsia="宋体" w:cs="Times New Roman"/>
          <w:b w:val="0"/>
          <w:bCs w:val="0"/>
          <w:color w:val="auto"/>
          <w:sz w:val="22"/>
          <w:szCs w:val="22"/>
          <w:u w:val="none"/>
          <w:lang w:eastAsia="zh-CN"/>
        </w:rPr>
      </w:pPr>
      <w:r>
        <w:rPr>
          <w:rFonts w:hint="eastAsia" w:ascii="Times New Roman" w:hAnsi="Times New Roman" w:cs="Times New Roman"/>
          <w:b w:val="0"/>
          <w:bCs w:val="0"/>
          <w:color w:val="auto"/>
          <w:sz w:val="22"/>
          <w:szCs w:val="22"/>
          <w:u w:val="none"/>
          <w:lang w:eastAsia="zh-CN"/>
        </w:rPr>
        <w:t>……</w:t>
      </w:r>
    </w:p>
    <w:p w14:paraId="0C48146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default" w:ascii="Times New Roman" w:hAnsi="Times New Roman" w:cs="Times New Roman"/>
          <w:b/>
          <w:bCs/>
          <w:color w:val="auto"/>
          <w:sz w:val="28"/>
          <w:szCs w:val="28"/>
          <w:u w:val="none"/>
        </w:rPr>
      </w:pPr>
      <w:r>
        <w:rPr>
          <w:rFonts w:hint="default" w:ascii="Times New Roman" w:hAnsi="Times New Roman" w:cs="Times New Roman"/>
          <w:b/>
          <w:bCs/>
          <w:color w:val="auto"/>
          <w:sz w:val="28"/>
          <w:szCs w:val="28"/>
          <w:u w:val="none"/>
        </w:rPr>
        <w:t>研制背景</w:t>
      </w:r>
    </w:p>
    <w:p w14:paraId="32069C19">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sz w:val="24"/>
          <w:szCs w:val="24"/>
          <w:u w:val="none"/>
        </w:rPr>
      </w:pPr>
      <w:r>
        <w:rPr>
          <w:rFonts w:hint="default" w:ascii="Times New Roman" w:hAnsi="Times New Roman" w:eastAsia="宋体" w:cs="Times New Roman"/>
          <w:b/>
          <w:bCs/>
          <w:color w:val="auto"/>
          <w:sz w:val="24"/>
          <w:szCs w:val="24"/>
          <w:u w:val="none"/>
        </w:rPr>
        <w:t>1.1 美国中文教育的政策背景</w:t>
      </w:r>
    </w:p>
    <w:p w14:paraId="05DEE85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中文自21世纪初被美国</w:t>
      </w:r>
      <w:r>
        <w:rPr>
          <w:rFonts w:hint="eastAsia" w:ascii="宋体" w:hAnsi="宋体" w:eastAsia="宋体" w:cs="宋体"/>
          <w:b w:val="0"/>
          <w:bCs w:val="0"/>
          <w:color w:val="auto"/>
          <w:sz w:val="22"/>
          <w:szCs w:val="22"/>
          <w:u w:val="none"/>
        </w:rPr>
        <w:t>联邦政府纳入</w:t>
      </w:r>
      <w:r>
        <w:rPr>
          <w:rFonts w:hint="eastAsia" w:ascii="宋体" w:hAnsi="宋体" w:eastAsia="宋体" w:cs="宋体"/>
          <w:b w:val="0"/>
          <w:bCs w:val="0"/>
          <w:color w:val="auto"/>
          <w:sz w:val="22"/>
          <w:szCs w:val="22"/>
          <w:u w:val="none"/>
          <w:lang w:eastAsia="zh-CN"/>
        </w:rPr>
        <w:t>“</w:t>
      </w:r>
      <w:r>
        <w:rPr>
          <w:rFonts w:hint="eastAsia" w:ascii="宋体" w:hAnsi="宋体" w:eastAsia="宋体" w:cs="宋体"/>
          <w:b w:val="0"/>
          <w:bCs w:val="0"/>
          <w:color w:val="auto"/>
          <w:sz w:val="22"/>
          <w:szCs w:val="22"/>
          <w:u w:val="none"/>
        </w:rPr>
        <w:t>关键语言</w:t>
      </w:r>
      <w:r>
        <w:rPr>
          <w:rFonts w:hint="eastAsia" w:ascii="宋体" w:hAnsi="宋体" w:eastAsia="宋体" w:cs="宋体"/>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（Critical Language）</w:t>
      </w:r>
      <w:r>
        <w:rPr>
          <w:rFonts w:hint="eastAsia" w:ascii="Times New Roman" w:hAnsi="Times New Roman" w:cs="Times New Roman"/>
          <w:b w:val="0"/>
          <w:bCs w:val="0"/>
          <w:color w:val="auto"/>
          <w:sz w:val="22"/>
          <w:szCs w:val="22"/>
          <w:u w:val="none"/>
          <w:lang w:val="en-US" w:eastAsia="zh-CN"/>
        </w:rPr>
        <w:t>目录</w:t>
      </w:r>
      <w:r>
        <w:rPr>
          <w:rFonts w:hint="default" w:ascii="Times New Roman" w:hAnsi="Times New Roman" w:eastAsia="宋体" w:cs="Times New Roman"/>
          <w:b w:val="0"/>
          <w:bCs w:val="0"/>
          <w:color w:val="auto"/>
          <w:sz w:val="22"/>
          <w:szCs w:val="22"/>
          <w:u w:val="none"/>
        </w:rPr>
        <w:t>。根据美国现代语言学会（MLA）2021年调查，中文在美高校外语课程注册人数达46492人，位居第六；美国国际教育委员会2017年报告显示K-12约46727名学生注册中文课程；皮尤研究中心2019年数据显示美国约540万美籍华人，其中51%从事专业技术和管理工作（伍晨辰、梁宇，2023）。AP中文2021年参考人数达9879人，平均分761分（满分800）。美国中文教育已有140余年历史，已深植于从基础教育到高等教育的国民教育体系，形成了相对完善的教学结构。尽管美国已在2015年推</w:t>
      </w:r>
      <w:r>
        <w:rPr>
          <w:rFonts w:hint="eastAsia" w:ascii="宋体" w:hAnsi="宋体" w:eastAsia="宋体" w:cs="宋体"/>
          <w:b w:val="0"/>
          <w:bCs w:val="0"/>
          <w:color w:val="auto"/>
          <w:sz w:val="22"/>
          <w:szCs w:val="22"/>
          <w:u w:val="none"/>
        </w:rPr>
        <w:t>行“通用核心”教学大纲</w:t>
      </w:r>
      <w:r>
        <w:rPr>
          <w:rFonts w:hint="default" w:ascii="Times New Roman" w:hAnsi="Times New Roman" w:eastAsia="宋体" w:cs="Times New Roman"/>
          <w:b w:val="0"/>
          <w:bCs w:val="0"/>
          <w:color w:val="auto"/>
          <w:sz w:val="22"/>
          <w:szCs w:val="22"/>
          <w:u w:val="none"/>
        </w:rPr>
        <w:t>（Common Core Standards），各州和学区可据此因地制宜制定课程内容，但至今几乎尚未制定专门针对中文或沉浸式中文教育的具体标准（雷歌、吴应辉，2024）</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而</w:t>
      </w:r>
      <w:r>
        <w:rPr>
          <w:rFonts w:hint="default" w:ascii="Times New Roman" w:hAnsi="Times New Roman" w:eastAsia="宋体" w:cs="Times New Roman"/>
          <w:b w:val="0"/>
          <w:bCs w:val="0"/>
          <w:color w:val="auto"/>
          <w:sz w:val="22"/>
          <w:szCs w:val="22"/>
          <w:u w:val="none"/>
        </w:rPr>
        <w:t>在评估层面，AP中文、IB中文、ACTFL OPI及Avant STAMP 4S等多套体系并行，形成了规模可观但缺乏统一语言要素参照框架的教学生态。</w:t>
      </w:r>
    </w:p>
    <w:p w14:paraId="55EB4B96">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1.2 ACTFL标准体系与核心缺口</w:t>
      </w:r>
    </w:p>
    <w:p w14:paraId="03387E8F">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left"/>
        <w:textAlignment w:val="auto"/>
        <w:rPr>
          <w:rFonts w:hint="default" w:ascii="Times New Roman" w:hAnsi="Times New Roman" w:eastAsia="Times New Roman" w:cs="Times New Roman"/>
          <w:snapToGrid w:val="0"/>
          <w:color w:val="000000"/>
          <w:spacing w:val="2"/>
          <w:kern w:val="0"/>
          <w:sz w:val="24"/>
          <w:szCs w:val="24"/>
          <w:lang w:val="en-US" w:eastAsia="zh-CN" w:bidi="ar-SA"/>
        </w:rPr>
      </w:pPr>
      <w:r>
        <w:rPr>
          <w:rFonts w:hint="default" w:ascii="Times New Roman" w:hAnsi="Times New Roman" w:eastAsia="宋体" w:cs="Times New Roman"/>
          <w:b w:val="0"/>
          <w:bCs w:val="0"/>
          <w:color w:val="auto"/>
          <w:sz w:val="22"/>
          <w:szCs w:val="22"/>
          <w:u w:val="none"/>
        </w:rPr>
        <w:t>美国中文教育的能力框架主要依赖ACTFL系列标准</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其</w:t>
      </w:r>
      <w:r>
        <w:rPr>
          <w:rFonts w:hint="default" w:ascii="Times New Roman" w:hAnsi="Times New Roman" w:eastAsia="宋体" w:cs="Times New Roman"/>
          <w:b w:val="0"/>
          <w:bCs w:val="0"/>
          <w:color w:val="auto"/>
          <w:sz w:val="22"/>
          <w:szCs w:val="22"/>
          <w:u w:val="none"/>
        </w:rPr>
        <w:t>历史可追溯至1970年代末期。1978年，ACTFL获得美国教育部国际外语教育项目拨款，委托开发面向学术教育情境的语言能力等级描述，以补充此前仅服务于政府情报机构的美国政府跨部门语言圆桌会议量表（Interagency Language Roundtable Scale，ILR Scale）。ILR量表采用数字编码、且在初级段缺乏足够细分，难以直接适用于课堂教学（ACTFL，2024）。经1982年初稿在全领域广泛征询意见后，1986年正式发布《ACTFL语言水平大纲》，并于同年发布专项语言分册，其中《ACTFL中文水平大纲》于1987年在Foreign Language Annals上正式发表（ACTFL，1987）。大纲此后于1999年、2001年、2012年经历多次修订，最新版本《ACTFL语言水平大纲2024版》重点在于与《面向世界的语言学习标准》（World-Readiness Standards，2015版）、《语言学习者表现描述》及《NCSSFL-ACTFL能做陈述》三套核心文件的系统对齐（ACTFL，2024）。ACTFL能力框架的核心评估维度由FACT四项标准构成：功能与任务（Functions and Tasks，学习者能处理的交际活动类型）、准确性（Accuracy，语言特征的使用精准度）、情境与内容（Context/Content，语言使用的情境范围和话题宽度）、文本类型（Text Type，学习者能理解或产出的语篇形态）。四个维度共同界定了各等级的能力特征。ACTFL系列标准</w:t>
      </w:r>
      <w:r>
        <w:rPr>
          <w:rFonts w:hint="eastAsia" w:ascii="Times New Roman" w:hAnsi="Times New Roman" w:cs="Times New Roman"/>
          <w:b w:val="0"/>
          <w:bCs w:val="0"/>
          <w:color w:val="auto"/>
          <w:sz w:val="22"/>
          <w:szCs w:val="22"/>
          <w:u w:val="none"/>
          <w:lang w:val="en-US" w:eastAsia="zh-CN"/>
        </w:rPr>
        <w:t>旨在</w:t>
      </w:r>
      <w:r>
        <w:rPr>
          <w:rFonts w:hint="default" w:ascii="Times New Roman" w:hAnsi="Times New Roman" w:eastAsia="宋体" w:cs="Times New Roman"/>
          <w:b w:val="0"/>
          <w:bCs w:val="0"/>
          <w:color w:val="auto"/>
          <w:sz w:val="22"/>
          <w:szCs w:val="22"/>
          <w:u w:val="none"/>
        </w:rPr>
        <w:t>适用于</w:t>
      </w:r>
      <w:r>
        <w:rPr>
          <w:rFonts w:hint="eastAsia" w:ascii="Times New Roman" w:hAnsi="Times New Roman" w:cs="Times New Roman"/>
          <w:b w:val="0"/>
          <w:bCs w:val="0"/>
          <w:color w:val="auto"/>
          <w:sz w:val="22"/>
          <w:szCs w:val="22"/>
          <w:u w:val="none"/>
          <w:lang w:val="en-US" w:eastAsia="zh-CN"/>
        </w:rPr>
        <w:t>美国境内教授</w:t>
      </w:r>
      <w:r>
        <w:rPr>
          <w:rFonts w:hint="default" w:ascii="Times New Roman" w:hAnsi="Times New Roman" w:eastAsia="宋体" w:cs="Times New Roman"/>
          <w:b w:val="0"/>
          <w:bCs w:val="0"/>
          <w:color w:val="auto"/>
          <w:sz w:val="22"/>
          <w:szCs w:val="22"/>
          <w:u w:val="none"/>
        </w:rPr>
        <w:t>的所有语言</w:t>
      </w:r>
      <w:r>
        <w:rPr>
          <w:rFonts w:hint="eastAsia" w:ascii="宋体" w:hAnsi="宋体" w:eastAsia="宋体" w:cs="宋体"/>
          <w:b w:val="0"/>
          <w:bCs w:val="0"/>
          <w:color w:val="auto"/>
          <w:sz w:val="22"/>
          <w:szCs w:val="22"/>
          <w:u w:val="none"/>
          <w:lang w:val="en-US" w:eastAsia="zh-CN"/>
        </w:rPr>
        <w:t>，它在本质上必须保持“语言中立”。这</w:t>
      </w:r>
      <w:r>
        <w:rPr>
          <w:rFonts w:hint="default" w:ascii="Times New Roman" w:hAnsi="Times New Roman" w:eastAsia="宋体" w:cs="Times New Roman"/>
          <w:b w:val="0"/>
          <w:bCs w:val="0"/>
          <w:color w:val="auto"/>
          <w:sz w:val="22"/>
          <w:szCs w:val="22"/>
          <w:u w:val="none"/>
        </w:rPr>
        <w:t>就意味着，</w:t>
      </w:r>
      <w:r>
        <w:rPr>
          <w:rFonts w:hint="eastAsia" w:ascii="Times New Roman" w:hAnsi="Times New Roman" w:cs="Times New Roman"/>
          <w:b w:val="0"/>
          <w:bCs w:val="0"/>
          <w:color w:val="auto"/>
          <w:sz w:val="22"/>
          <w:szCs w:val="22"/>
          <w:u w:val="none"/>
          <w:lang w:val="en-US" w:eastAsia="zh-CN"/>
        </w:rPr>
        <w:t>它</w:t>
      </w:r>
      <w:r>
        <w:rPr>
          <w:rFonts w:hint="default" w:ascii="Times New Roman" w:hAnsi="Times New Roman" w:eastAsia="宋体" w:cs="Times New Roman"/>
          <w:b w:val="0"/>
          <w:bCs w:val="0"/>
          <w:color w:val="auto"/>
          <w:sz w:val="22"/>
          <w:szCs w:val="22"/>
          <w:u w:val="none"/>
        </w:rPr>
        <w:t>本身是一个高度概括的理论容器，它缺乏针对具体语言在特定能力级别上应该掌握哪些具体词汇和语法结构的精确说明。为了解决这一宏观框架与微观教学内容之间</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本项目旨在以通过本土词汇与语法大纲与美国标准的融合，</w:t>
      </w:r>
      <w:r>
        <w:rPr>
          <w:rFonts w:hint="default" w:ascii="Times New Roman" w:hAnsi="Times New Roman" w:eastAsia="Times New Roman" w:cs="Times New Roman"/>
          <w:snapToGrid w:val="0"/>
          <w:color w:val="000000"/>
          <w:spacing w:val="2"/>
          <w:kern w:val="0"/>
          <w:sz w:val="24"/>
          <w:szCs w:val="24"/>
          <w:lang w:val="en-US" w:eastAsia="zh-CN" w:bidi="ar-SA"/>
        </w:rPr>
        <w:t>将</w:t>
      </w:r>
      <w:r>
        <w:rPr>
          <w:rFonts w:hint="default" w:ascii="Times New Roman" w:hAnsi="Times New Roman" w:eastAsia="宋体" w:cs="Times New Roman"/>
          <w:b w:val="0"/>
          <w:bCs w:val="0"/>
          <w:color w:val="auto"/>
          <w:sz w:val="22"/>
          <w:szCs w:val="22"/>
          <w:u w:val="none"/>
        </w:rPr>
        <w:t>ACTFL</w:t>
      </w:r>
      <w:r>
        <w:rPr>
          <w:rFonts w:hint="default" w:ascii="Times New Roman" w:hAnsi="Times New Roman" w:eastAsia="Times New Roman" w:cs="Times New Roman"/>
          <w:snapToGrid w:val="0"/>
          <w:color w:val="000000"/>
          <w:spacing w:val="2"/>
          <w:kern w:val="0"/>
          <w:sz w:val="24"/>
          <w:szCs w:val="24"/>
          <w:lang w:val="en-US" w:eastAsia="zh-CN" w:bidi="ar-SA"/>
        </w:rPr>
        <w:t>那些宽泛的功能性描述，转译为特定语言在不同层级下具体的语言形式库</w:t>
      </w:r>
      <w:r>
        <w:rPr>
          <w:rFonts w:hint="eastAsia" w:ascii="Times New Roman" w:hAnsi="Times New Roman" w:eastAsia="Times New Roman" w:cs="Times New Roman"/>
          <w:snapToGrid w:val="0"/>
          <w:color w:val="000000"/>
          <w:spacing w:val="2"/>
          <w:kern w:val="0"/>
          <w:sz w:val="24"/>
          <w:szCs w:val="24"/>
          <w:lang w:val="en-US" w:eastAsia="zh-CN" w:bidi="ar-SA"/>
        </w:rPr>
        <w:t>，</w:t>
      </w:r>
      <w:r>
        <w:rPr>
          <w:rFonts w:hint="default" w:ascii="Times New Roman" w:hAnsi="Times New Roman" w:eastAsia="Times New Roman" w:cs="Times New Roman"/>
          <w:snapToGrid w:val="0"/>
          <w:color w:val="000000"/>
          <w:spacing w:val="2"/>
          <w:kern w:val="0"/>
          <w:sz w:val="24"/>
          <w:szCs w:val="24"/>
          <w:lang w:val="en-US" w:eastAsia="zh-CN" w:bidi="ar-SA"/>
        </w:rPr>
        <w:t>即词汇、语法、语言功能等的集合</w:t>
      </w:r>
      <w:r>
        <w:rPr>
          <w:rFonts w:hint="eastAsia" w:ascii="Times New Roman" w:hAnsi="Times New Roman" w:eastAsia="Times New Roman" w:cs="Times New Roman"/>
          <w:snapToGrid w:val="0"/>
          <w:color w:val="000000"/>
          <w:spacing w:val="2"/>
          <w:kern w:val="0"/>
          <w:sz w:val="24"/>
          <w:szCs w:val="24"/>
          <w:lang w:val="en-US" w:eastAsia="zh-CN" w:bidi="ar-SA"/>
        </w:rPr>
        <w:t>。</w:t>
      </w:r>
    </w:p>
    <w:p w14:paraId="53E44E5D">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1.3 中国国际中文教育标准体系及其与ACTFL的关系</w:t>
      </w:r>
    </w:p>
    <w:p w14:paraId="0BF5311F">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rPr>
      </w:pPr>
      <w:r>
        <w:rPr>
          <w:rFonts w:hint="default" w:ascii="Times New Roman" w:hAnsi="Times New Roman" w:eastAsia="宋体" w:cs="Times New Roman"/>
          <w:b w:val="0"/>
          <w:bCs w:val="0"/>
          <w:color w:val="000000"/>
          <w:sz w:val="22"/>
          <w:szCs w:val="22"/>
        </w:rPr>
        <w:t>中国的国际中文教育标准体系在过去三十余年间经历了三次重大演进。第一阶段的《汉语水平等级标准与等级大纲》（1992）将学习者分为初、中、高三个等级，是HSK考试的最初理论依据；第二阶段的《国际汉语教学通用课程大纲》（2008）</w:t>
      </w:r>
      <w:r>
        <w:rPr>
          <w:rFonts w:hint="eastAsia" w:ascii="Times New Roman" w:hAnsi="Times New Roman" w:cs="Times New Roman"/>
          <w:b w:val="0"/>
          <w:bCs w:val="0"/>
          <w:color w:val="000000"/>
          <w:sz w:val="22"/>
          <w:szCs w:val="22"/>
          <w:lang w:val="en-US" w:eastAsia="zh-CN"/>
        </w:rPr>
        <w:t>将能力标准与词汇</w:t>
      </w:r>
      <w:r>
        <w:rPr>
          <w:rFonts w:hint="default" w:ascii="Times New Roman" w:hAnsi="Times New Roman" w:eastAsia="宋体" w:cs="Times New Roman"/>
          <w:b w:val="0"/>
          <w:bCs w:val="0"/>
          <w:color w:val="000000"/>
          <w:sz w:val="22"/>
          <w:szCs w:val="22"/>
        </w:rPr>
        <w:t>在课程层面进行了系统整合；第三阶段的《等级标准》</w:t>
      </w:r>
      <w:r>
        <w:rPr>
          <w:rFonts w:hint="eastAsia" w:ascii="Times New Roman" w:hAnsi="Times New Roman" w:cs="Times New Roman"/>
          <w:b w:val="0"/>
          <w:bCs w:val="0"/>
          <w:color w:val="000000"/>
          <w:sz w:val="22"/>
          <w:szCs w:val="22"/>
          <w:lang w:val="en-US" w:eastAsia="zh-CN"/>
        </w:rPr>
        <w:t>则进一步细化，分为三等九级，</w:t>
      </w:r>
      <w:r>
        <w:rPr>
          <w:rFonts w:hint="default" w:ascii="Times New Roman" w:hAnsi="Times New Roman" w:eastAsia="宋体" w:cs="Times New Roman"/>
          <w:b w:val="0"/>
          <w:bCs w:val="0"/>
          <w:color w:val="000000"/>
          <w:sz w:val="22"/>
          <w:szCs w:val="22"/>
        </w:rPr>
        <w:t>覆盖词汇、汉字、语音、语法、话题、功能等多维语言要素。与《等级标准》配套的HSK 3.0考试大纲于202</w:t>
      </w:r>
      <w:r>
        <w:rPr>
          <w:rFonts w:hint="eastAsia" w:ascii="Times New Roman" w:hAnsi="Times New Roman" w:cs="Times New Roman"/>
          <w:b w:val="0"/>
          <w:bCs w:val="0"/>
          <w:color w:val="000000"/>
          <w:sz w:val="22"/>
          <w:szCs w:val="22"/>
          <w:lang w:val="en-US" w:eastAsia="zh-CN"/>
        </w:rPr>
        <w:t>5</w:t>
      </w:r>
      <w:r>
        <w:rPr>
          <w:rFonts w:hint="default" w:ascii="Times New Roman" w:hAnsi="Times New Roman" w:eastAsia="宋体" w:cs="Times New Roman"/>
          <w:b w:val="0"/>
          <w:bCs w:val="0"/>
          <w:color w:val="000000"/>
          <w:sz w:val="22"/>
          <w:szCs w:val="22"/>
        </w:rPr>
        <w:t>正式公布，词汇大纲收录11000词，语法大纲593条。</w:t>
      </w:r>
    </w:p>
    <w:p w14:paraId="33963CDD">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sz w:val="22"/>
          <w:szCs w:val="22"/>
        </w:rPr>
        <w:t>HSK和《等级标准》均以语言要素的难度递进为组织轴心，以词汇量化指标为分级的主要依据；ACTFL则以交际任务能力为组织轴心，等级描述聚焦于学习者在特定情境下能完成什么任务，而非掌握了多少语言要素。</w:t>
      </w:r>
      <w:r>
        <w:rPr>
          <w:rFonts w:hint="eastAsia" w:ascii="Times New Roman" w:hAnsi="Times New Roman" w:cs="Times New Roman"/>
          <w:b w:val="0"/>
          <w:bCs w:val="0"/>
          <w:color w:val="000000"/>
          <w:sz w:val="22"/>
          <w:szCs w:val="22"/>
          <w:lang w:val="en-US" w:eastAsia="zh-CN"/>
        </w:rPr>
        <w:t>因此，如何科学地处理中国词表与ACTFL功能词表的等级对应，成为了本项目需要解决的主要问题。</w:t>
      </w:r>
    </w:p>
    <w:p w14:paraId="237CD61C">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default" w:ascii="Times New Roman" w:hAnsi="Times New Roman" w:cs="Times New Roman"/>
          <w:b/>
          <w:bCs/>
          <w:color w:val="auto"/>
          <w:sz w:val="28"/>
          <w:szCs w:val="28"/>
          <w:u w:val="none"/>
          <w:lang w:eastAsia="zh-CN"/>
        </w:rPr>
      </w:pPr>
      <w:r>
        <w:rPr>
          <w:rFonts w:hint="default" w:ascii="Times New Roman" w:hAnsi="Times New Roman" w:cs="Times New Roman"/>
          <w:b/>
          <w:bCs/>
          <w:color w:val="auto"/>
          <w:sz w:val="28"/>
          <w:szCs w:val="28"/>
          <w:u w:val="none"/>
        </w:rPr>
        <w:t>理论</w:t>
      </w:r>
      <w:r>
        <w:rPr>
          <w:rFonts w:hint="default" w:ascii="Times New Roman" w:hAnsi="Times New Roman" w:cs="Times New Roman"/>
          <w:b/>
          <w:bCs/>
          <w:color w:val="auto"/>
          <w:sz w:val="28"/>
          <w:szCs w:val="28"/>
          <w:u w:val="none"/>
          <w:lang w:val="en-US" w:eastAsia="zh-CN"/>
        </w:rPr>
        <w:t>基础</w:t>
      </w:r>
    </w:p>
    <w:p w14:paraId="43F60433">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2.</w:t>
      </w:r>
      <w:r>
        <w:rPr>
          <w:rFonts w:hint="default" w:ascii="Times New Roman" w:hAnsi="Times New Roman" w:eastAsia="宋体" w:cs="Times New Roman"/>
          <w:b/>
          <w:bCs/>
          <w:color w:val="auto"/>
          <w:sz w:val="24"/>
          <w:szCs w:val="24"/>
          <w:u w:val="none"/>
          <w:lang w:val="en-US" w:eastAsia="zh-CN"/>
        </w:rPr>
        <w:t>1</w:t>
      </w:r>
      <w:r>
        <w:rPr>
          <w:rFonts w:hint="default" w:ascii="Times New Roman" w:hAnsi="Times New Roman" w:eastAsia="宋体" w:cs="Times New Roman"/>
          <w:b/>
          <w:bCs/>
          <w:color w:val="auto"/>
          <w:sz w:val="24"/>
          <w:szCs w:val="24"/>
          <w:u w:val="none"/>
        </w:rPr>
        <w:t xml:space="preserve"> 词表研制的国际理论与实践</w:t>
      </w:r>
    </w:p>
    <w:p w14:paraId="23A9196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.1</w:t>
      </w:r>
      <w:r>
        <w:rPr>
          <w:rFonts w:hint="eastAsia" w:ascii="Times New Roman" w:hAnsi="Times New Roman" w:cs="Times New Roman"/>
          <w:lang w:val="en-US" w:eastAsia="zh-CN"/>
        </w:rPr>
        <w:t>英文分级词表的研制</w:t>
      </w:r>
    </w:p>
    <w:p w14:paraId="66F21EF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现代分级词表研制的奠基之作是West于1953年出版的《基础服务词表》（</w:t>
      </w:r>
      <w:r>
        <w:rPr>
          <w:rFonts w:hint="eastAsia" w:ascii="Times New Roman" w:hAnsi="Times New Roman" w:eastAsia="宋体" w:cs="Times New Roman"/>
          <w:b w:val="0"/>
          <w:bCs w:val="0"/>
          <w:color w:val="auto"/>
          <w:sz w:val="22"/>
          <w:szCs w:val="22"/>
          <w:u w:val="none"/>
        </w:rPr>
        <w:t>General Service List</w:t>
      </w:r>
      <w:r>
        <w:rPr>
          <w:rFonts w:hint="eastAsia" w:ascii="Times New Roman" w:hAnsi="Times New Roman" w:eastAsia="宋体" w:cs="Times New Roman"/>
          <w:b w:val="0"/>
          <w:bCs w:val="0"/>
          <w:color w:val="auto"/>
          <w:sz w:val="22"/>
          <w:szCs w:val="22"/>
          <w:u w:val="none"/>
          <w:lang w:val="en-US" w:eastAsia="zh-CN"/>
        </w:rPr>
        <w:t>,</w:t>
      </w:r>
      <w:r>
        <w:rPr>
          <w:rFonts w:hint="default" w:ascii="Times New Roman" w:hAnsi="Times New Roman" w:eastAsia="宋体" w:cs="Times New Roman"/>
          <w:b w:val="0"/>
          <w:bCs w:val="0"/>
          <w:color w:val="auto"/>
          <w:sz w:val="22"/>
          <w:szCs w:val="22"/>
          <w:u w:val="none"/>
        </w:rPr>
        <w:t>GSL），收录约2000个词族。GSL的研制方法综合了量化标准与质性判断两个维度，确立了此后词表研制的基本范式。量化层面，West以涵盖小说、报纸、期刊、教科书、商业手册、儿童读本等多类文本</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超过500万词的书面英语语料库为数据来源，以词频统计为主要选词依据；质性层面，West额外引入四项补充标准：易学性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包括词形相似度带来的迁移便利）</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必要性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即某一概念的不可替代性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覆盖度，指一个词能替代其他词所表达意义的程度</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风格中性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确保词表收录的是风格无标记的通用表达）（West，1953；Brezina &amp; Gablasova，2015）。</w:t>
      </w:r>
    </w:p>
    <w:p w14:paraId="5BBD735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Nation（2001，2016）系统提出了词表选取的三大量化标准：频率（frequency，目标语料库中词语出现的绝对次数）、范围（range，词语在语料库不同子语料中出现的广度）、分散度（dispersion，词语在语料库不同部分分布的均匀程度）。三者综合考量可过滤掉「频率高但范围窄」的特化词汇，保留在广泛情境中均有使用价值的通用词汇。</w:t>
      </w:r>
    </w:p>
    <w:p w14:paraId="39CD98D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GSL的局限性在于语料库规模仅500万词且以1950年前的书面文本为主，缺少口语语料，使其对当代学习者的适用性受到质疑（Tong et al.，2025）。Coxhead（2000）在GSL基础上研制了《学术词汇表》（AWL），专门覆盖学术语境的高频词汇。其研制方法在量化标准上有明确创新：要求候选词语在学术语料库（涵盖人文、法律、科学、商科四大领域共计350万词）中不仅具有较高频率，且必须出现在10个学科领域子语料库中的至少7个——</w:t>
      </w:r>
      <w:r>
        <w:rPr>
          <w:rFonts w:ascii="宋体" w:hAnsi="宋体" w:eastAsia="宋体" w:cs="宋体"/>
          <w:b w:val="0"/>
          <w:bCs w:val="0"/>
          <w:color w:val="000000"/>
          <w:sz w:val="22"/>
          <w:szCs w:val="22"/>
        </w:rPr>
        <w:t>以此确保</w:t>
      </w:r>
      <w:r>
        <w:rPr>
          <w:rFonts w:hint="eastAsia" w:cs="宋体"/>
          <w:b w:val="0"/>
          <w:bCs w:val="0"/>
          <w:color w:val="000000"/>
          <w:sz w:val="22"/>
          <w:szCs w:val="22"/>
          <w:lang w:eastAsia="zh-CN"/>
        </w:rPr>
        <w:t>“</w:t>
      </w:r>
      <w:r>
        <w:rPr>
          <w:rFonts w:ascii="宋体" w:hAnsi="宋体" w:eastAsia="宋体" w:cs="宋体"/>
          <w:b w:val="0"/>
          <w:bCs w:val="0"/>
          <w:color w:val="000000"/>
          <w:sz w:val="22"/>
          <w:szCs w:val="22"/>
        </w:rPr>
        <w:t>领域范围</w:t>
      </w:r>
      <w:r>
        <w:rPr>
          <w:rFonts w:hint="default" w:ascii="Times New Roman" w:hAnsi="Times New Roman" w:eastAsia="宋体" w:cs="Times New Roman"/>
          <w:b w:val="0"/>
          <w:bCs w:val="0"/>
          <w:color w:val="auto"/>
          <w:sz w:val="22"/>
          <w:szCs w:val="22"/>
          <w:u w:val="none"/>
        </w:rPr>
        <w:t>（range）</w:t>
      </w:r>
      <w:r>
        <w:rPr>
          <w:rFonts w:hint="eastAsia" w:cs="宋体"/>
          <w:b w:val="0"/>
          <w:bCs w:val="0"/>
          <w:color w:val="000000"/>
          <w:sz w:val="22"/>
          <w:szCs w:val="22"/>
          <w:lang w:eastAsia="zh-CN"/>
        </w:rPr>
        <w:t>”</w:t>
      </w:r>
      <w:r>
        <w:rPr>
          <w:rFonts w:ascii="宋体" w:hAnsi="宋体" w:eastAsia="宋体" w:cs="宋体"/>
          <w:b w:val="0"/>
          <w:bCs w:val="0"/>
          <w:color w:val="000000"/>
          <w:sz w:val="22"/>
          <w:szCs w:val="22"/>
        </w:rPr>
        <w:t>足够广泛，避免收录只在少</w:t>
      </w:r>
      <w:r>
        <w:rPr>
          <w:rFonts w:hint="default" w:ascii="Times New Roman" w:hAnsi="Times New Roman" w:eastAsia="宋体" w:cs="Times New Roman"/>
          <w:b w:val="0"/>
          <w:bCs w:val="0"/>
          <w:color w:val="auto"/>
          <w:sz w:val="22"/>
          <w:szCs w:val="22"/>
          <w:u w:val="none"/>
        </w:rPr>
        <w:t>数学科高频的专门化词汇。AWL的研制框架直接影响了此后的专域词表研究（如医学词表、科学词表等）。Browne, Culligan &amp; Phillips（2013）的NGSL（New General Service List）以2.73亿词的剑桥英语语料库子集为数据来源，采用纯频率排序方法，剔除了West版本中的质性判断成分，最终收录2809词族；Brezina &amp; Gablasova（2015）的new-GSL以英国国家语料库等多个大型语料库为数据来源，引入</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平均缩减频率</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（Average Reduced Frequency，ARF）作为综合频率与分散度的量化指标，以</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频率×跨语料库稳定性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为单一量化标准，体现了向纯量化方向的转向。两个新版词表的实践意义在于：大幅扩大了语料库规模</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从500万词提升至2-10亿词量级，增加了口语语料的比重，并提高了对当代语言使用状态的反映程度（Browne et al.，2013；Brezina &amp; Gablasova，2015）。</w:t>
      </w:r>
    </w:p>
    <w:p w14:paraId="2625E80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cs="Times New Roman"/>
        </w:rPr>
      </w:pP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w:t>
      </w:r>
      <w:r>
        <w:rPr>
          <w:rFonts w:hint="eastAsia" w:ascii="Times New Roman" w:hAnsi="Times New Roman" w:cs="Times New Roman"/>
          <w:lang w:val="en-US" w:eastAsia="zh-CN"/>
        </w:rPr>
        <w:t>2中</w:t>
      </w:r>
      <w:r>
        <w:rPr>
          <w:rFonts w:hint="default" w:ascii="Times New Roman" w:hAnsi="Times New Roman" w:cs="Times New Roman"/>
        </w:rPr>
        <w:t>文分级词表的研制</w:t>
      </w:r>
    </w:p>
    <w:p w14:paraId="121B49F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ascii="宋体" w:hAnsi="宋体" w:eastAsia="宋体" w:cs="宋体"/>
          <w:b w:val="0"/>
          <w:bCs w:val="0"/>
          <w:color w:val="000000"/>
          <w:sz w:val="22"/>
          <w:szCs w:val="22"/>
        </w:rPr>
        <w:t>《等级标准》</w:t>
      </w:r>
      <w:r>
        <w:rPr>
          <w:rFonts w:hint="default" w:ascii="Times New Roman" w:hAnsi="Times New Roman" w:eastAsia="宋体" w:cs="Times New Roman"/>
          <w:b w:val="0"/>
          <w:bCs w:val="0"/>
          <w:color w:val="auto"/>
          <w:sz w:val="22"/>
          <w:szCs w:val="22"/>
          <w:u w:val="none"/>
        </w:rPr>
        <w:t>词汇表参考《等级划分</w:t>
      </w:r>
      <w:r>
        <w:rPr>
          <w:rFonts w:hint="eastAsia" w:ascii="宋体" w:hAnsi="宋体" w:eastAsia="宋体" w:cs="宋体"/>
          <w:b w:val="0"/>
          <w:bCs w:val="0"/>
          <w:color w:val="auto"/>
          <w:sz w:val="22"/>
          <w:szCs w:val="22"/>
          <w:u w:val="none"/>
        </w:rPr>
        <w:t>》普及化等级分档分层词汇表(2010)、“国际中文教材编写指南”高频词表、国家语言文字工作委员会“现代汉语语料库”(2015)、《义务</w:t>
      </w:r>
      <w:r>
        <w:rPr>
          <w:rFonts w:hint="default" w:ascii="Times New Roman" w:hAnsi="Times New Roman" w:eastAsia="宋体" w:cs="Times New Roman"/>
          <w:b w:val="0"/>
          <w:bCs w:val="0"/>
          <w:color w:val="auto"/>
          <w:sz w:val="22"/>
          <w:szCs w:val="22"/>
          <w:u w:val="none"/>
        </w:rPr>
        <w:t>教育常用词表(草案)》(2019)、《中国语言生活状况报告》(2011一2019)及《HSK考试大纲》词汇表(2015)等相关资料，共收录11092个词语，其中初等2245个、中等新增3211个、高等新增5636个。</w:t>
      </w:r>
    </w:p>
    <w:p w14:paraId="23422369">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auto"/>
          <w:sz w:val="22"/>
          <w:szCs w:val="22"/>
          <w:u w:val="none"/>
          <w:lang w:eastAsia="zh-CN"/>
        </w:rPr>
      </w:pPr>
      <w:r>
        <w:rPr>
          <w:rFonts w:hint="default" w:ascii="Times New Roman" w:hAnsi="Times New Roman" w:eastAsia="宋体" w:cs="Times New Roman"/>
          <w:b w:val="0"/>
          <w:bCs w:val="0"/>
          <w:color w:val="auto"/>
          <w:sz w:val="22"/>
          <w:szCs w:val="22"/>
          <w:u w:val="none"/>
        </w:rPr>
        <w:t>HSK 3.0《词汇大纲》以HSK 2.0《词汇大纲》及《等级标准》词表为主要收词来源，并参考了《中国语言生活状况报告》（2022）、《中国语言生活状况报告》（2023）、《现代汉语常用词表》（2008）、《义务教育常用词表（草案）》（2019），以及使用范围广、影响力大的多套中文教材，优先收录其中的高频词，并借助大型中文语料库获取词频等数据，以权威工具书作为进一步判定词汇的收录依据。《等级标准》</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2021</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将学习者中文水平分为初等一至三级、中等四至六级、高等七至九级三个等次共九个级别（刘家宁、李宝贵，2024）</w:t>
      </w:r>
      <w:r>
        <w:rPr>
          <w:rFonts w:hint="default" w:ascii="Times New Roman" w:hAnsi="Times New Roman" w:cs="Times New Roman"/>
          <w:b w:val="0"/>
          <w:bCs w:val="0"/>
          <w:color w:val="auto"/>
          <w:sz w:val="22"/>
          <w:szCs w:val="22"/>
          <w:u w:val="none"/>
          <w:lang w:eastAsia="zh-CN"/>
        </w:rPr>
        <w:t>，</w:t>
      </w:r>
      <w:r>
        <w:rPr>
          <w:rFonts w:hint="default" w:ascii="Times New Roman" w:hAnsi="Times New Roman" w:cs="Times New Roman"/>
          <w:b w:val="0"/>
          <w:bCs w:val="0"/>
          <w:color w:val="auto"/>
          <w:sz w:val="22"/>
          <w:szCs w:val="22"/>
          <w:u w:val="none"/>
          <w:lang w:val="en-US" w:eastAsia="zh-CN"/>
        </w:rPr>
        <w:t>共收录词汇11092 词、572个核心语法</w:t>
      </w:r>
      <w:r>
        <w:rPr>
          <w:rFonts w:hint="default" w:ascii="Times New Roman" w:hAnsi="Times New Roman" w:eastAsia="宋体" w:cs="Times New Roman"/>
          <w:b w:val="0"/>
          <w:bCs w:val="0"/>
          <w:color w:val="auto"/>
          <w:sz w:val="22"/>
          <w:szCs w:val="22"/>
          <w:u w:val="none"/>
        </w:rPr>
        <w:t>。</w:t>
      </w:r>
      <w:r>
        <w:rPr>
          <w:rFonts w:hint="default" w:ascii="Times New Roman" w:hAnsi="Times New Roman" w:cs="Times New Roman"/>
          <w:b w:val="0"/>
          <w:bCs w:val="0"/>
          <w:color w:val="auto"/>
          <w:sz w:val="22"/>
          <w:szCs w:val="22"/>
          <w:u w:val="none"/>
          <w:lang w:val="en-US" w:eastAsia="zh-CN"/>
        </w:rPr>
        <w:t>2025年11月发布的</w:t>
      </w:r>
      <w:r>
        <w:rPr>
          <w:rFonts w:hint="default" w:ascii="Times New Roman" w:hAnsi="Times New Roman" w:eastAsia="宋体" w:cs="Times New Roman"/>
          <w:b w:val="0"/>
          <w:bCs w:val="0"/>
          <w:color w:val="auto"/>
          <w:sz w:val="22"/>
          <w:szCs w:val="22"/>
          <w:u w:val="none"/>
        </w:rPr>
        <w:t>HSK 3.0考试大纲收录词汇11000词、语法大纲593条。</w:t>
      </w:r>
    </w:p>
    <w:p w14:paraId="6177DC7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ascii="宋体" w:hAnsi="宋体" w:eastAsia="宋体" w:cs="宋体"/>
          <w:b w:val="0"/>
          <w:bCs w:val="0"/>
          <w:color w:val="000000"/>
          <w:sz w:val="22"/>
          <w:szCs w:val="22"/>
        </w:rPr>
      </w:pPr>
      <w:r>
        <w:rPr>
          <w:rFonts w:ascii="宋体" w:hAnsi="宋体" w:eastAsia="宋体" w:cs="宋体"/>
          <w:b w:val="0"/>
          <w:bCs w:val="0"/>
          <w:color w:val="000000"/>
          <w:sz w:val="22"/>
          <w:szCs w:val="22"/>
        </w:rPr>
        <w:t>《台湾华语文能力基准》（Taiwan Benchmarks for the Chinese Language，TBCL）以《当代台湾华语语料库》（Corpus of Contemporary Taiwanese Mandarin，COCT）为核心数据来源，收录14425词，按三等七级分级；汉字单独建立3100字的字表；语法方面设立1-5级共496个语法点。能力指标层面：以</w:t>
      </w:r>
      <w:r>
        <w:rPr>
          <w:rFonts w:hint="eastAsia" w:cs="宋体"/>
          <w:b w:val="0"/>
          <w:bCs w:val="0"/>
          <w:color w:val="000000"/>
          <w:sz w:val="22"/>
          <w:szCs w:val="22"/>
          <w:lang w:val="en-US" w:eastAsia="zh-CN"/>
        </w:rPr>
        <w:t>听说读写译</w:t>
      </w:r>
      <w:r>
        <w:rPr>
          <w:rFonts w:ascii="宋体" w:hAnsi="宋体" w:eastAsia="宋体" w:cs="宋体"/>
          <w:b w:val="0"/>
          <w:bCs w:val="0"/>
          <w:color w:val="000000"/>
          <w:sz w:val="22"/>
          <w:szCs w:val="22"/>
        </w:rPr>
        <w:t>五项技能为维度，建立三等七级的能力描述语，并完成与ACTFL和CEFR的等级对应验证（国家教育研究院，2021）。</w:t>
      </w:r>
    </w:p>
    <w:p w14:paraId="6D66AA93">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ascii="宋体" w:hAnsi="宋体" w:eastAsia="宋体" w:cs="宋体"/>
          <w:b w:val="0"/>
          <w:bCs w:val="0"/>
          <w:color w:val="000000"/>
          <w:sz w:val="22"/>
          <w:szCs w:val="22"/>
        </w:rPr>
      </w:pPr>
      <w:r>
        <w:rPr>
          <w:rFonts w:hint="eastAsia" w:ascii="宋体" w:hAnsi="宋体" w:eastAsia="宋体" w:cs="宋体"/>
          <w:b w:val="0"/>
          <w:bCs w:val="0"/>
          <w:color w:val="000000"/>
          <w:sz w:val="22"/>
          <w:szCs w:val="22"/>
        </w:rPr>
        <w:t>《来华留学预科教育的汉语能力标准》</w:t>
      </w:r>
      <w:r>
        <w:rPr>
          <w:rFonts w:hint="eastAsia" w:cs="宋体"/>
          <w:b w:val="0"/>
          <w:bCs w:val="0"/>
          <w:color w:val="000000"/>
          <w:sz w:val="22"/>
          <w:szCs w:val="22"/>
          <w:lang w:eastAsia="zh-CN"/>
        </w:rPr>
        <w:t>（王佶旻，</w:t>
      </w:r>
      <w:r>
        <w:rPr>
          <w:rFonts w:hint="eastAsia" w:cs="宋体"/>
          <w:b w:val="0"/>
          <w:bCs w:val="0"/>
          <w:color w:val="000000"/>
          <w:sz w:val="22"/>
          <w:szCs w:val="22"/>
          <w:lang w:val="en-US" w:eastAsia="zh-CN"/>
        </w:rPr>
        <w:t>2021</w:t>
      </w:r>
      <w:r>
        <w:rPr>
          <w:rFonts w:hint="eastAsia" w:cs="宋体"/>
          <w:b w:val="0"/>
          <w:bCs w:val="0"/>
          <w:color w:val="000000"/>
          <w:sz w:val="22"/>
          <w:szCs w:val="22"/>
          <w:lang w:eastAsia="zh-CN"/>
        </w:rPr>
        <w:t>）</w:t>
      </w:r>
      <w:r>
        <w:rPr>
          <w:rFonts w:hint="eastAsia" w:cs="宋体"/>
          <w:b w:val="0"/>
          <w:bCs w:val="0"/>
          <w:color w:val="000000"/>
          <w:sz w:val="22"/>
          <w:szCs w:val="22"/>
          <w:lang w:val="en-US" w:eastAsia="zh-CN"/>
        </w:rPr>
        <w:t>指出</w:t>
      </w:r>
      <w:r>
        <w:rPr>
          <w:rFonts w:hint="eastAsia" w:ascii="宋体" w:hAnsi="宋体" w:eastAsia="宋体" w:cs="宋体"/>
          <w:b w:val="0"/>
          <w:bCs w:val="0"/>
          <w:color w:val="000000"/>
          <w:sz w:val="22"/>
          <w:szCs w:val="22"/>
        </w:rPr>
        <w:t>收集了三类语料</w:t>
      </w:r>
      <w:r>
        <w:rPr>
          <w:rFonts w:hint="eastAsia" w:cs="宋体"/>
          <w:b w:val="0"/>
          <w:bCs w:val="0"/>
          <w:color w:val="000000"/>
          <w:sz w:val="22"/>
          <w:szCs w:val="22"/>
          <w:lang w:eastAsia="zh-CN"/>
        </w:rPr>
        <w:t>：</w:t>
      </w:r>
      <w:r>
        <w:rPr>
          <w:rFonts w:hint="eastAsia" w:ascii="宋体" w:hAnsi="宋体" w:eastAsia="宋体" w:cs="宋体"/>
          <w:b w:val="0"/>
          <w:bCs w:val="0"/>
          <w:color w:val="000000"/>
          <w:sz w:val="22"/>
          <w:szCs w:val="22"/>
        </w:rPr>
        <w:t>第一类是汉语作为第二语言的教学和考试大纲，包括《汉语水平等级标准与语法等级大纲《汉语水平词汇与汉字等级大纲》高等学校外国留学生汉语教学大纲》《高等学校外国留学生汉语言专业教学大纲》以及HSK词汇表等。第二类是中学语文课本中的现代文，并形成了《中学语文课文现代文词表》。第三类是大学本科一年级第一学期留学生的必修课(不含汉语类课程)教材。这些教材选自经贸、理工、文科、医学四大专业门类(预科教学的大学科分类)中的12个热门专业的通行教材，从而形成《预科四大专业门类教材汇总词表》。在这三类词表的基础上，经过几轮的专家论证和修改，最终形成了《中国政府奖学金预科教育结业考试基础汉语常用词汇表》</w:t>
      </w:r>
      <w:r>
        <w:rPr>
          <w:rFonts w:hint="eastAsia" w:cs="宋体"/>
          <w:b w:val="0"/>
          <w:bCs w:val="0"/>
          <w:color w:val="000000"/>
          <w:sz w:val="22"/>
          <w:szCs w:val="22"/>
          <w:lang w:eastAsia="zh-CN"/>
        </w:rPr>
        <w:t>。</w:t>
      </w:r>
      <w:r>
        <w:rPr>
          <w:rFonts w:hint="eastAsia" w:cs="宋体"/>
          <w:b w:val="0"/>
          <w:bCs w:val="0"/>
          <w:color w:val="000000"/>
          <w:sz w:val="22"/>
          <w:szCs w:val="22"/>
          <w:lang w:val="en-US" w:eastAsia="zh-CN"/>
        </w:rPr>
        <w:t>该表</w:t>
      </w:r>
      <w:r>
        <w:rPr>
          <w:rFonts w:hint="eastAsia" w:ascii="宋体" w:hAnsi="宋体" w:eastAsia="宋体" w:cs="宋体"/>
          <w:b w:val="0"/>
          <w:bCs w:val="0"/>
          <w:color w:val="000000"/>
          <w:sz w:val="22"/>
          <w:szCs w:val="22"/>
        </w:rPr>
        <w:t>包含基准级(要求听说读写四会)词汇1600个、扩展级(要求听读两会)1400个，总计3000词。我们认为这3000词是预科结业需要掌握的用以适应大学学习和生活的基本词汇。在3000基本词汇之外，预科结业还需要掌握一定的学术汉语词汇，用以更好地适应大学课堂内外的专业学习。</w:t>
      </w:r>
    </w:p>
    <w:p w14:paraId="62BC1766">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纯量化方法具有可重复性高、主观性低的优势，但可能将教学上有重要价值但语料库频率偏低的词汇排除在外；而West式的质性补充标准虽然增加了教学适配性，但可复制性和透明度较低。本项目的收词方法有意识地调和了这两种倾向：以《等级标准》和HSK大纲的频率数据作为量化基础，以美国本土教材词频比对和专家判断作为质性补充，来确保量表对目标学习者群体的教学适配性。</w:t>
      </w:r>
    </w:p>
    <w:p w14:paraId="17AAB722">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highlight w:val="yellow"/>
          <w:u w:val="none"/>
          <w:lang w:val="en-US" w:eastAsia="zh-CN"/>
        </w:rPr>
      </w:pPr>
      <w:r>
        <w:rPr>
          <w:rFonts w:hint="default" w:ascii="Times New Roman" w:hAnsi="Times New Roman" w:eastAsia="宋体" w:cs="Times New Roman"/>
          <w:b/>
          <w:bCs/>
          <w:color w:val="auto"/>
          <w:sz w:val="24"/>
          <w:szCs w:val="24"/>
          <w:highlight w:val="yellow"/>
          <w:u w:val="none"/>
        </w:rPr>
        <w:t>2.4 语法大纲研制的</w:t>
      </w:r>
      <w:r>
        <w:rPr>
          <w:rFonts w:hint="eastAsia" w:ascii="Times New Roman" w:hAnsi="Times New Roman" w:cs="Times New Roman"/>
          <w:b/>
          <w:bCs/>
          <w:color w:val="auto"/>
          <w:sz w:val="24"/>
          <w:szCs w:val="24"/>
          <w:highlight w:val="yellow"/>
          <w:u w:val="none"/>
          <w:lang w:val="en-US" w:eastAsia="zh-CN"/>
        </w:rPr>
        <w:t>理论基础</w:t>
      </w:r>
    </w:p>
    <w:p w14:paraId="2894E650">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语法大纲的研制方法论在过去半个世纪经历了三次主要范式转变。</w:t>
      </w:r>
    </w:p>
    <w:p w14:paraId="0998109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第一次范式转变以Wilkins（1972/1976）的意念功能大纲（Notional-Functional Syllabus）为标志。传统语法大纲以语言形式的复杂度为唯一组织轴心，按语法结构难易程度线性排列教学内容，主要缺陷在于学习者可能掌握大量语法知识却无法有效交际。Wilkins提出以</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意念</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（notions）和</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功能</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（functions）替代或补充纯语法结构作为大纲组织原则（Wilkins，1976），其直接继承者是交际语言教学（Communicative Language Teaching，CLT），1980年代以后成为全球外语教学的主流取向。第二次范式转变以Long &amp; Crookes（1993）的任务型大纲（Task-Based Syllabus）为代表，主张以真实世界中的完整交际任务为单位，语法和词汇通过完成任务的过程自然习得，而非作为预定产品分解传授。ACTFL能做陈述的「交际任务」导向正是与此一脉相承，本项目以能做陈述为词汇与语法配置的轴心，也体现了任务导向的理论立场。第三次范式转变体现为「语言表现描述」（Language Descriptors）体系的兴起，以欧洲委员会2001年发布的《欧洲语言共同参考框架》（CEFR）为代表。CEFR的独特之处在于：它既不提供纯语法大纲，也不提供词汇清单，而是以「能做语句」描述学习者在各等级的语言表现，将语法和词汇的具体实现留给各语言的「参考级别描述」（Reference Level Descriptions）来补充（Council of Europe，2001）。</w:t>
      </w:r>
    </w:p>
    <w:p w14:paraId="65EDBBA2">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Richards（2001）在语言课程发展的系统综述中指出，语言大纲的评估需要同时考量内容效度（大纲覆盖的语言要素是否代表目标语言使用的真实情况）、构念效度（大纲背后的语言能力理论是否合理）和面向学习者的预测效度（大纲规定的学习序列是否符合学习者的实际习得顺序）。</w:t>
      </w:r>
    </w:p>
    <w:p w14:paraId="7A06BA8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eastAsia" w:ascii="Times New Roman" w:hAnsi="Times New Roman" w:cs="Times New Roman"/>
          <w:b/>
          <w:bCs/>
          <w:color w:val="auto"/>
          <w:sz w:val="28"/>
          <w:szCs w:val="28"/>
          <w:u w:val="none"/>
          <w:lang w:val="en-US" w:eastAsia="zh-CN"/>
        </w:rPr>
      </w:pPr>
      <w:r>
        <w:rPr>
          <w:rFonts w:hint="eastAsia" w:ascii="Times New Roman" w:hAnsi="Times New Roman" w:cs="Times New Roman"/>
          <w:b/>
          <w:bCs/>
          <w:color w:val="auto"/>
          <w:sz w:val="28"/>
          <w:szCs w:val="28"/>
          <w:u w:val="none"/>
          <w:lang w:val="en-US" w:eastAsia="zh-CN"/>
        </w:rPr>
        <w:t>整体框架</w:t>
      </w:r>
    </w:p>
    <w:p w14:paraId="5CCDAA9C">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w:t>
      </w:r>
      <w:r>
        <w:rPr>
          <w:rFonts w:hint="default" w:ascii="Times New Roman" w:hAnsi="Times New Roman" w:eastAsia="宋体" w:cs="Times New Roman"/>
          <w:b w:val="0"/>
          <w:bCs w:val="0"/>
          <w:color w:val="000000"/>
          <w:sz w:val="22"/>
          <w:szCs w:val="22"/>
          <w:lang w:val="en-US" w:eastAsia="zh-CN"/>
        </w:rPr>
        <w:t>美国本土版中文教育词汇与语法量表</w:t>
      </w:r>
      <w:r>
        <w:rPr>
          <w:rFonts w:hint="eastAsia" w:ascii="Times New Roman" w:hAnsi="Times New Roman" w:cs="Times New Roman"/>
          <w:b w:val="0"/>
          <w:bCs w:val="0"/>
          <w:color w:val="000000"/>
          <w:sz w:val="22"/>
          <w:szCs w:val="22"/>
          <w:lang w:val="en-US" w:eastAsia="zh-CN"/>
        </w:rPr>
        <w:t>》</w:t>
      </w:r>
      <w:r>
        <w:rPr>
          <w:rFonts w:hint="default" w:ascii="Times New Roman" w:hAnsi="Times New Roman" w:eastAsia="宋体" w:cs="Times New Roman"/>
          <w:b w:val="0"/>
          <w:bCs w:val="0"/>
          <w:color w:val="000000"/>
          <w:sz w:val="22"/>
          <w:szCs w:val="22"/>
          <w:lang w:val="en-US" w:eastAsia="zh-CN"/>
        </w:rPr>
        <w:t>由三类核心文件构成，即词汇量表、语法量表和不同等级分表的教学资源单。其中，词汇量表提供跨标准、可检索的词汇基础，语法量表提供相对独立的结构规则参照体系，不同等级分表的教学资源单则以ACTFL能力等级为主线，将能力目标、主题话题、词汇配置与功能语段整合为可直接服务教学实施的操作单元。</w:t>
      </w:r>
    </w:p>
    <w:p w14:paraId="32E15019">
      <w:pPr>
        <w:keepNext w:val="0"/>
        <w:keepLines w:val="0"/>
        <w:pageBreakBefore w:val="0"/>
        <w:wordWrap/>
        <w:overflowPunct/>
        <w:topLinePunct w:val="0"/>
        <w:bidi w:val="0"/>
        <w:adjustRightInd w:val="0"/>
        <w:snapToGrid w:val="0"/>
        <w:spacing w:line="360" w:lineRule="auto"/>
        <w:ind w:firstLine="440"/>
        <w:jc w:val="center"/>
        <w:rPr>
          <w:rFonts w:hint="eastAsia" w:eastAsia="宋体"/>
          <w:lang w:eastAsia="zh-CN"/>
        </w:rPr>
      </w:pPr>
      <w:r>
        <w:rPr>
          <w:rFonts w:hint="eastAsia" w:eastAsia="宋体"/>
          <w:lang w:eastAsia="zh-CN"/>
        </w:rPr>
        <w:drawing>
          <wp:inline distT="0" distB="0" distL="114300" distR="114300">
            <wp:extent cx="6017895" cy="4338955"/>
            <wp:effectExtent l="0" t="0" r="1905" b="4445"/>
            <wp:docPr id="10" name="图片 10" descr="ACTFL_Chinese_Framework_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TFL_Chinese_Framework_Mindmap"/>
                    <pic:cNvPicPr>
                      <a:picLocks noChangeAspect="1"/>
                    </pic:cNvPicPr>
                  </pic:nvPicPr>
                  <pic:blipFill>
                    <a:blip r:embed="rId6"/>
                    <a:stretch>
                      <a:fillRect/>
                    </a:stretch>
                  </pic:blipFill>
                  <pic:spPr>
                    <a:xfrm>
                      <a:off x="0" y="0"/>
                      <a:ext cx="6017895" cy="4338955"/>
                    </a:xfrm>
                    <a:prstGeom prst="rect">
                      <a:avLst/>
                    </a:prstGeom>
                  </pic:spPr>
                </pic:pic>
              </a:graphicData>
            </a:graphic>
          </wp:inline>
        </w:drawing>
      </w:r>
    </w:p>
    <w:p w14:paraId="6538BC22">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eastAsia" w:ascii="楷体" w:hAnsi="楷体" w:eastAsia="楷体" w:cs="楷体"/>
          <w:snapToGrid w:val="0"/>
          <w:color w:val="000000"/>
          <w:spacing w:val="-3"/>
          <w:kern w:val="0"/>
          <w:sz w:val="18"/>
          <w:szCs w:val="18"/>
          <w:lang w:val="en-US" w:eastAsia="zh-CN" w:bidi="ar-SA"/>
        </w:rPr>
      </w:pPr>
      <w:r>
        <w:rPr>
          <w:rFonts w:hint="eastAsia" w:ascii="楷体" w:hAnsi="楷体" w:eastAsia="楷体" w:cs="楷体"/>
          <w:snapToGrid w:val="0"/>
          <w:color w:val="000000"/>
          <w:spacing w:val="-3"/>
          <w:kern w:val="0"/>
          <w:sz w:val="18"/>
          <w:szCs w:val="18"/>
          <w:lang w:val="en-US" w:eastAsia="zh-CN" w:bidi="ar-SA"/>
        </w:rPr>
        <w:t>图1：《美国本土版中文教育词汇与语法量表》框架图</w:t>
      </w:r>
    </w:p>
    <w:p w14:paraId="2815F2ED">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词汇量表构成本系统的基础词汇库，共收录约12000个词条。每个词条均标注 ACTFL 等级，并标明其与 HSK、《国际中文教育中文水平等级标准》等主要词表或等级体系的对应关系，从而为跨标准查询、筛选提供基础支持。在分级处理上，词汇量表以 ACTFL 次等级为基本单位，自 Novice Low 逐级展开；对于 Advanced High 以上阶段，则结合美国中文教学实际，合并 Superior 和 Distinguished，统一处理为 AH+。</w:t>
      </w:r>
    </w:p>
    <w:p w14:paraId="5DD1F49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语法量表构成本系统中相对独立的结构规则参照体系，用于呈现语言结构在不同能力阶段的发展路径。与词汇量表和等级分表相比，语法量表在高级阶段采取更高层级的合并方式：整体分为 Novice、Intermediate 和 Advanced Low 以上</w:t>
      </w:r>
      <w:r>
        <w:rPr>
          <w:rFonts w:hint="eastAsia" w:ascii="Times New Roman" w:hAnsi="Times New Roman" w:cs="Times New Roman"/>
          <w:b w:val="0"/>
          <w:bCs w:val="0"/>
          <w:color w:val="000000"/>
          <w:sz w:val="22"/>
          <w:szCs w:val="22"/>
          <w:highlight w:val="none"/>
          <w:lang w:val="en-US" w:eastAsia="zh-CN"/>
        </w:rPr>
        <w:t>（AL+）</w:t>
      </w:r>
      <w:r>
        <w:rPr>
          <w:rFonts w:hint="default" w:ascii="Times New Roman" w:hAnsi="Times New Roman" w:eastAsia="宋体" w:cs="Times New Roman"/>
          <w:b w:val="0"/>
          <w:bCs w:val="0"/>
          <w:color w:val="000000"/>
          <w:sz w:val="22"/>
          <w:szCs w:val="22"/>
          <w:highlight w:val="none"/>
          <w:lang w:val="en-US" w:eastAsia="zh-CN"/>
        </w:rPr>
        <w:t xml:space="preserve"> 三个阶段，其中 Novice 阶段约收录 130 条，Intermediate 阶段约收录 106 条，Advanced Low 以上合并后的 AL+ 阶段约收录 14</w:t>
      </w:r>
      <w:r>
        <w:rPr>
          <w:rFonts w:hint="eastAsia" w:ascii="Times New Roman" w:hAnsi="Times New Roman" w:cs="Times New Roman"/>
          <w:b w:val="0"/>
          <w:bCs w:val="0"/>
          <w:color w:val="000000"/>
          <w:sz w:val="22"/>
          <w:szCs w:val="22"/>
          <w:highlight w:val="none"/>
          <w:lang w:val="en-US" w:eastAsia="zh-CN"/>
        </w:rPr>
        <w:t>8</w:t>
      </w:r>
      <w:r>
        <w:rPr>
          <w:rFonts w:hint="default" w:ascii="Times New Roman" w:hAnsi="Times New Roman" w:eastAsia="宋体" w:cs="Times New Roman"/>
          <w:b w:val="0"/>
          <w:bCs w:val="0"/>
          <w:color w:val="000000"/>
          <w:sz w:val="22"/>
          <w:szCs w:val="22"/>
          <w:highlight w:val="none"/>
          <w:lang w:val="en-US" w:eastAsia="zh-CN"/>
        </w:rPr>
        <w:t xml:space="preserve"> 条，共约 38</w:t>
      </w:r>
      <w:r>
        <w:rPr>
          <w:rFonts w:hint="eastAsia" w:ascii="Times New Roman" w:hAnsi="Times New Roman" w:cs="Times New Roman"/>
          <w:b w:val="0"/>
          <w:bCs w:val="0"/>
          <w:color w:val="000000"/>
          <w:sz w:val="22"/>
          <w:szCs w:val="22"/>
          <w:highlight w:val="none"/>
          <w:lang w:val="en-US" w:eastAsia="zh-CN"/>
        </w:rPr>
        <w:t>4</w:t>
      </w:r>
      <w:r>
        <w:rPr>
          <w:rFonts w:hint="default" w:ascii="Times New Roman" w:hAnsi="Times New Roman" w:eastAsia="宋体" w:cs="Times New Roman"/>
          <w:b w:val="0"/>
          <w:bCs w:val="0"/>
          <w:color w:val="000000"/>
          <w:sz w:val="22"/>
          <w:szCs w:val="22"/>
          <w:highlight w:val="none"/>
          <w:lang w:val="en-US" w:eastAsia="zh-CN"/>
        </w:rPr>
        <w:t>条。每一语法项目均包含名称、类别、结构规则说明和配套例句。</w:t>
      </w:r>
      <w:r>
        <w:rPr>
          <w:rFonts w:hint="eastAsia" w:ascii="宋体" w:hAnsi="宋体" w:eastAsia="宋体" w:cs="宋体"/>
          <w:b w:val="0"/>
          <w:bCs w:val="0"/>
          <w:color w:val="000000"/>
          <w:sz w:val="22"/>
          <w:szCs w:val="22"/>
          <w:highlight w:val="none"/>
          <w:lang w:val="en-US" w:eastAsia="zh-CN"/>
        </w:rPr>
        <w:t>语法量表并不与某一具体“能做”条目逐项绑定，而是作为学习者语言表达的结构支撑系统，在不同等级分表所呈现的语段、任务与教学活动中自然体现。</w:t>
      </w:r>
    </w:p>
    <w:p w14:paraId="7242E9B1">
      <w:pPr>
        <w:keepNext w:val="0"/>
        <w:keepLines w:val="0"/>
        <w:pageBreakBefore w:val="0"/>
        <w:wordWrap/>
        <w:overflowPunct/>
        <w:topLinePunct w:val="0"/>
        <w:bidi w:val="0"/>
        <w:adjustRightInd w:val="0"/>
        <w:snapToGrid w:val="0"/>
        <w:spacing w:line="360" w:lineRule="auto"/>
        <w:ind w:firstLine="440"/>
        <w:jc w:val="both"/>
        <w:rPr>
          <w:rFonts w:hint="eastAsia" w:ascii="宋体" w:hAnsi="宋体" w:eastAsia="宋体" w:cs="宋体"/>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等级分表教学资源单是本系统中最具教学操作性的核心文件。该部分以 ACTFL 次等级为编排主线，并结合美国中文教学实际，对 Advanced High 以上内容作合并处理，形成自 Novice Low 至 AH+ 的分等级资源序列。每份分表均纳入相应等级的 NCSSFL-ACTFL 水平基准及能力指标说明，</w:t>
      </w:r>
      <w:r>
        <w:rPr>
          <w:rFonts w:hint="eastAsia" w:ascii="宋体" w:hAnsi="宋体" w:eastAsia="宋体" w:cs="宋体"/>
          <w:b w:val="0"/>
          <w:bCs w:val="0"/>
          <w:color w:val="000000"/>
          <w:sz w:val="22"/>
          <w:szCs w:val="22"/>
          <w:highlight w:val="none"/>
          <w:lang w:val="en-US" w:eastAsia="zh-CN"/>
        </w:rPr>
        <w:t>并以“能做—主题—词汇—示例”为基本组织方式，将能做陈述、交际模态、话题编码、核心词汇、相关词汇和功能语段样例整合为一个教学资源单元。</w:t>
      </w:r>
    </w:p>
    <w:p w14:paraId="75E277FF">
      <w:pPr>
        <w:keepNext w:val="0"/>
        <w:keepLines w:val="0"/>
        <w:pageBreakBefore w:val="0"/>
        <w:wordWrap/>
        <w:overflowPunct/>
        <w:topLinePunct w:val="0"/>
        <w:bidi w:val="0"/>
        <w:adjustRightInd w:val="0"/>
        <w:snapToGrid w:val="0"/>
        <w:spacing w:line="360" w:lineRule="auto"/>
        <w:ind w:firstLine="440"/>
        <w:jc w:val="both"/>
        <w:rPr>
          <w:rFonts w:hint="eastAsia" w:ascii="宋体" w:hAnsi="宋体" w:eastAsia="宋体" w:cs="宋体"/>
          <w:b w:val="0"/>
          <w:bCs w:val="0"/>
          <w:color w:val="000000"/>
          <w:sz w:val="22"/>
          <w:szCs w:val="22"/>
          <w:lang w:val="en-US" w:eastAsia="zh-CN"/>
        </w:rPr>
      </w:pPr>
      <w:r>
        <w:rPr>
          <w:rFonts w:hint="eastAsia" w:ascii="宋体" w:hAnsi="宋体" w:eastAsia="宋体" w:cs="宋体"/>
          <w:b w:val="0"/>
          <w:bCs w:val="0"/>
          <w:color w:val="000000"/>
          <w:sz w:val="22"/>
          <w:szCs w:val="22"/>
          <w:lang w:val="en-US" w:eastAsia="zh-CN"/>
        </w:rPr>
        <w:t>总体而言，词汇量表、语法量表和不同等级分表的教学资源单分别承担不同功能：词汇量表解决“有哪些词、处于什么等级、与哪些标准对应”的问题；语法量表解决“语言结构如何在不同阶段逐步展开”的问题；等级分表则解决“如何将能力目标、主题内容、词汇配置与功能语段整合为可教、可学、可评的教学单元”的问题。因此，</w:t>
      </w:r>
      <w:r>
        <w:rPr>
          <w:rFonts w:hint="eastAsia" w:cs="宋体"/>
          <w:b w:val="0"/>
          <w:bCs w:val="0"/>
          <w:color w:val="000000"/>
          <w:sz w:val="22"/>
          <w:szCs w:val="22"/>
          <w:lang w:val="en-US" w:eastAsia="zh-CN"/>
        </w:rPr>
        <w:t>三者</w:t>
      </w:r>
      <w:r>
        <w:rPr>
          <w:rFonts w:hint="eastAsia" w:ascii="宋体" w:hAnsi="宋体" w:eastAsia="宋体" w:cs="宋体"/>
          <w:b w:val="0"/>
          <w:bCs w:val="0"/>
          <w:color w:val="000000"/>
          <w:sz w:val="22"/>
          <w:szCs w:val="22"/>
          <w:lang w:val="en-US" w:eastAsia="zh-CN"/>
        </w:rPr>
        <w:t>目并非并列建设三套彼此分离的资源文件，而是</w:t>
      </w:r>
      <w:r>
        <w:rPr>
          <w:rFonts w:hint="eastAsia" w:cs="宋体"/>
          <w:b w:val="0"/>
          <w:bCs w:val="0"/>
          <w:color w:val="000000"/>
          <w:sz w:val="22"/>
          <w:szCs w:val="22"/>
          <w:lang w:val="en-US" w:eastAsia="zh-CN"/>
        </w:rPr>
        <w:t>共同</w:t>
      </w:r>
      <w:r>
        <w:rPr>
          <w:rFonts w:hint="eastAsia" w:ascii="宋体" w:hAnsi="宋体" w:eastAsia="宋体" w:cs="宋体"/>
          <w:b w:val="0"/>
          <w:bCs w:val="0"/>
          <w:color w:val="000000"/>
          <w:sz w:val="22"/>
          <w:szCs w:val="22"/>
          <w:lang w:val="en-US" w:eastAsia="zh-CN"/>
        </w:rPr>
        <w:t>构建了一个由词汇基础、语法框架和教学转化单元协同支撑的本土化中文教育资源体系。</w:t>
      </w:r>
    </w:p>
    <w:p w14:paraId="78DED45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default" w:ascii="Times New Roman" w:hAnsi="Times New Roman" w:cs="Times New Roman"/>
          <w:b/>
          <w:bCs/>
          <w:color w:val="auto"/>
          <w:sz w:val="28"/>
          <w:szCs w:val="28"/>
          <w:u w:val="none"/>
          <w:lang w:val="en-US" w:eastAsia="zh-CN"/>
        </w:rPr>
      </w:pPr>
      <w:r>
        <w:rPr>
          <w:rFonts w:hint="default" w:ascii="Times New Roman" w:hAnsi="Times New Roman" w:cs="Times New Roman"/>
          <w:b/>
          <w:bCs/>
          <w:color w:val="auto"/>
          <w:sz w:val="28"/>
          <w:szCs w:val="28"/>
          <w:u w:val="none"/>
          <w:lang w:val="en-US" w:eastAsia="zh-CN"/>
        </w:rPr>
        <w:t>研制过程</w:t>
      </w:r>
    </w:p>
    <w:p w14:paraId="0D0C8A71">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eastAsia"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4.1 词汇量表的研制</w:t>
      </w:r>
    </w:p>
    <w:p w14:paraId="2E0D7A6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ACTFL中文词汇量表以HSK 3.0词汇表收录的11000个词语和《国际中文教育中文水平等级标准》收录的11092个词语为基础参照，并吸收美国主流中文教材中的实际用词情况，对词汇收录范围和等级归属进行综合校准。教材参照兼顾综合教材与专题教材：综合教材主要包括《中文听说读写》《趣学中文》等，专题教材主要包括《新的中国》《事事关心》《焦点中国》《文化纵横观》《各抒己见》等。研制过程中，重点考察词语在不同教材中的出现阶段、使用频率及任务功能，并结合专家审定结果，将这些信息纳入等级划分和边界调整，由此形成“标准参照—教材验证—专家校准”的研制路径。</w:t>
      </w:r>
    </w:p>
    <w:p w14:paraId="636A929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4.1.1 词汇筛选与等级确定机制</w:t>
      </w:r>
    </w:p>
    <w:p w14:paraId="12C59A7A">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中文词汇量表在词汇筛选与等级确定上采用“多源参照、逐级递进、人工校验”的基本机制。具体而言，在多个参照来源中重复出现、且能够支撑相应等级教学任务的词语，优先纳入该等级；对边界词、跨级词以及教材分布与现有标准不完全一致的词语，则通过人工校验和专家审定进行调整。</w:t>
      </w:r>
    </w:p>
    <w:p w14:paraId="0945C2A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整体上，ACTFL词表采取由低到高、逐级扩展的建构路径：初级阶段优先吸纳基础标准和初级教材中高频重合的词语；中级阶段逐步扩大至能够支撑叙述、说明和专题交流任务的词汇；高级阶段则进一步扩展至议题讨论、论证、劝说、辩论以及高阶书面表达所需的词语。换言之，各等级词表并非一次性汇总生成，而是在参照范围、教材覆盖和任务要求不断扩展的基础上逐步建立。这一建构思路在各等级词表的初步建库依据中体现得较为清楚，如表1所示。</w:t>
      </w:r>
    </w:p>
    <w:p w14:paraId="7A0A7AC9">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楷体" w:cs="Times New Roman"/>
          <w:snapToGrid w:val="0"/>
          <w:color w:val="000000"/>
          <w:spacing w:val="-3"/>
          <w:kern w:val="0"/>
          <w:sz w:val="18"/>
          <w:szCs w:val="18"/>
          <w:lang w:val="en-US" w:eastAsia="zh-CN" w:bidi="ar-SA"/>
        </w:rPr>
      </w:pPr>
      <w:r>
        <w:rPr>
          <w:rFonts w:hint="eastAsia" w:ascii="Times New Roman" w:hAnsi="Times New Roman" w:eastAsia="楷体" w:cs="Times New Roman"/>
          <w:snapToGrid w:val="0"/>
          <w:color w:val="000000"/>
          <w:spacing w:val="-3"/>
          <w:kern w:val="0"/>
          <w:sz w:val="18"/>
          <w:szCs w:val="18"/>
          <w:lang w:val="en-US" w:eastAsia="zh-CN" w:bidi="ar-SA"/>
        </w:rPr>
        <w:t>表1  ACTFL各等级词表的初步建库依据</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12"/>
        <w:gridCol w:w="8544"/>
      </w:tblGrid>
      <w:tr w14:paraId="1EC0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top"/>
          </w:tcPr>
          <w:p w14:paraId="43F49AA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bCs/>
                <w:sz w:val="16"/>
                <w:szCs w:val="21"/>
              </w:rPr>
            </w:pPr>
            <w:r>
              <w:rPr>
                <w:rFonts w:hint="eastAsia" w:ascii="Times New Roman" w:hAnsi="Times New Roman" w:eastAsia="宋体" w:cs="Times New Roman"/>
                <w:b/>
                <w:bCs/>
                <w:sz w:val="16"/>
                <w:szCs w:val="21"/>
                <w:lang w:val="en-US" w:eastAsia="zh-CN"/>
              </w:rPr>
              <w:t>等级</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top"/>
          </w:tcPr>
          <w:p w14:paraId="005C76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bCs/>
                <w:sz w:val="16"/>
                <w:szCs w:val="21"/>
                <w:lang w:val="en-US"/>
              </w:rPr>
            </w:pPr>
            <w:r>
              <w:rPr>
                <w:rFonts w:hint="default" w:ascii="Times New Roman" w:hAnsi="Times New Roman" w:eastAsia="宋体" w:cs="Times New Roman"/>
                <w:b/>
                <w:bCs/>
                <w:sz w:val="16"/>
                <w:szCs w:val="21"/>
                <w:lang w:val="en-US"/>
              </w:rPr>
              <w:t>初步建库依据</w:t>
            </w:r>
          </w:p>
        </w:tc>
      </w:tr>
      <w:tr w14:paraId="0393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3"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4BCD6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199795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，《中文听说读写》和《趣学中文》</w:t>
            </w:r>
            <w:r>
              <w:rPr>
                <w:rFonts w:hint="default" w:ascii="Times New Roman" w:hAnsi="Times New Roman" w:eastAsia="宋体" w:cs="Times New Roman"/>
                <w:b w:val="0"/>
                <w:sz w:val="16"/>
                <w:szCs w:val="21"/>
                <w:lang w:val="en-US" w:eastAsia="zh-CN"/>
              </w:rPr>
              <w:t>第</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册前半部分</w:t>
            </w:r>
            <w:r>
              <w:rPr>
                <w:rFonts w:hint="eastAsia" w:ascii="Times New Roman" w:hAnsi="Times New Roman" w:eastAsia="宋体" w:cs="Times New Roman"/>
                <w:b w:val="0"/>
                <w:sz w:val="16"/>
                <w:szCs w:val="21"/>
                <w:lang w:val="en-US" w:eastAsia="zh-CN"/>
              </w:rPr>
              <w:t>语料</w:t>
            </w:r>
            <w:r>
              <w:rPr>
                <w:rFonts w:hint="default" w:ascii="Times New Roman" w:hAnsi="Times New Roman" w:eastAsia="宋体" w:cs="Times New Roman"/>
                <w:b w:val="0"/>
                <w:sz w:val="16"/>
                <w:szCs w:val="21"/>
                <w:lang w:val="en-US" w:eastAsia="zh-CN"/>
              </w:rPr>
              <w:t>；优先纳入在两个及以上来源中重复出现的词语。</w:t>
            </w:r>
          </w:p>
        </w:tc>
      </w:tr>
      <w:tr w14:paraId="230F0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7"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3E93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Mid</w:t>
            </w:r>
          </w:p>
        </w:tc>
        <w:tc>
          <w:tcPr>
            <w:tcW w:w="8544" w:type="dxa"/>
            <w:tcBorders>
              <w:top w:val="single" w:color="000000" w:sz="4" w:space="0"/>
              <w:left w:val="single" w:color="000000" w:sz="4" w:space="0"/>
              <w:bottom w:val="nil"/>
              <w:right w:val="single" w:color="000000" w:sz="4" w:space="0"/>
            </w:tcBorders>
            <w:shd w:val="clear" w:color="auto" w:fill="auto"/>
            <w:vAlign w:val="bottom"/>
          </w:tcPr>
          <w:p w14:paraId="498A18E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HSK和《等级标准》1</w:t>
            </w:r>
            <w:r>
              <w:rPr>
                <w:rFonts w:hint="eastAsia" w:ascii="Times New Roman" w:hAnsi="Times New Roman" w:eastAsia="宋体" w:cs="Times New Roman"/>
                <w:b w:val="0"/>
                <w:sz w:val="16"/>
                <w:szCs w:val="21"/>
                <w:lang w:val="en-US" w:eastAsia="zh-CN"/>
              </w:rPr>
              <w:t>-2</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《趣学中文》</w:t>
            </w:r>
            <w:r>
              <w:rPr>
                <w:rFonts w:hint="default" w:ascii="Times New Roman" w:hAnsi="Times New Roman" w:eastAsia="宋体" w:cs="Times New Roman"/>
                <w:b w:val="0"/>
                <w:sz w:val="16"/>
                <w:szCs w:val="21"/>
                <w:lang w:val="en-US" w:eastAsia="zh-CN"/>
              </w:rPr>
              <w:t>第</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册完整语料；优先纳入在两个及以上来源中重复出现的词语。</w:t>
            </w:r>
          </w:p>
        </w:tc>
      </w:tr>
      <w:tr w14:paraId="7B165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CBCF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A62F2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1-3</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《趣学中文》1</w:t>
            </w:r>
            <w:r>
              <w:rPr>
                <w:rFonts w:hint="default" w:ascii="Times New Roman" w:hAnsi="Times New Roman" w:eastAsia="宋体" w:cs="Times New Roman"/>
                <w:b w:val="0"/>
                <w:sz w:val="16"/>
                <w:szCs w:val="21"/>
                <w:lang w:val="en-US" w:eastAsia="zh-CN"/>
              </w:rPr>
              <w:t>至</w:t>
            </w:r>
            <w:r>
              <w:rPr>
                <w:rFonts w:hint="eastAsia" w:ascii="Times New Roman" w:hAnsi="Times New Roman" w:eastAsia="宋体" w:cs="Times New Roman"/>
                <w:b w:val="0"/>
                <w:sz w:val="16"/>
                <w:szCs w:val="21"/>
                <w:lang w:val="en-US" w:eastAsia="zh-CN"/>
              </w:rPr>
              <w:t>2册完整</w:t>
            </w:r>
            <w:r>
              <w:rPr>
                <w:rFonts w:hint="default" w:ascii="Times New Roman" w:hAnsi="Times New Roman" w:eastAsia="宋体" w:cs="Times New Roman"/>
                <w:b w:val="0"/>
                <w:sz w:val="16"/>
                <w:szCs w:val="21"/>
                <w:lang w:val="en-US" w:eastAsia="zh-CN"/>
              </w:rPr>
              <w:t>语料；优先纳入在两个及以上来源中重复出现的词语。</w:t>
            </w:r>
          </w:p>
        </w:tc>
      </w:tr>
      <w:tr w14:paraId="14429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D7A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2B8A08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HSK和《等级标准》1</w:t>
            </w:r>
            <w:r>
              <w:rPr>
                <w:rFonts w:hint="eastAsia" w:ascii="Times New Roman" w:hAnsi="Times New Roman" w:eastAsia="宋体" w:cs="Times New Roman"/>
                <w:b w:val="0"/>
                <w:sz w:val="16"/>
                <w:szCs w:val="21"/>
                <w:lang w:val="en-US" w:eastAsia="zh-CN"/>
              </w:rPr>
              <w:t>-4</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《中文听说读写》1-3</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优先</w:t>
            </w:r>
            <w:r>
              <w:rPr>
                <w:rFonts w:hint="default" w:ascii="Times New Roman" w:hAnsi="Times New Roman" w:eastAsia="宋体" w:cs="Times New Roman"/>
                <w:b w:val="0"/>
                <w:sz w:val="16"/>
                <w:szCs w:val="21"/>
                <w:lang w:val="en-US" w:eastAsia="zh-CN"/>
              </w:rPr>
              <w:t>纳入</w:t>
            </w:r>
            <w:r>
              <w:rPr>
                <w:rFonts w:hint="eastAsia" w:ascii="Times New Roman" w:hAnsi="Times New Roman" w:eastAsia="宋体" w:cs="Times New Roman"/>
                <w:b w:val="0"/>
                <w:sz w:val="16"/>
                <w:szCs w:val="21"/>
                <w:lang w:val="en-US" w:eastAsia="zh-CN"/>
              </w:rPr>
              <w:t>同时在一项标准或任何一册美国教材中</w:t>
            </w:r>
            <w:r>
              <w:rPr>
                <w:rFonts w:hint="default" w:ascii="Times New Roman" w:hAnsi="Times New Roman" w:eastAsia="宋体" w:cs="Times New Roman"/>
                <w:b w:val="0"/>
                <w:sz w:val="16"/>
                <w:szCs w:val="21"/>
                <w:lang w:val="en-US" w:eastAsia="zh-CN"/>
              </w:rPr>
              <w:t>出现</w:t>
            </w:r>
            <w:r>
              <w:rPr>
                <w:rFonts w:hint="eastAsia" w:ascii="Times New Roman" w:hAnsi="Times New Roman" w:eastAsia="宋体" w:cs="Times New Roman"/>
                <w:b w:val="0"/>
                <w:sz w:val="16"/>
                <w:szCs w:val="21"/>
                <w:lang w:val="en-US" w:eastAsia="zh-CN"/>
              </w:rPr>
              <w:t>的词语</w:t>
            </w:r>
            <w:r>
              <w:rPr>
                <w:rFonts w:hint="default" w:ascii="Times New Roman" w:hAnsi="Times New Roman" w:eastAsia="宋体" w:cs="Times New Roman"/>
                <w:b w:val="0"/>
                <w:sz w:val="16"/>
                <w:szCs w:val="21"/>
                <w:lang w:val="en-US" w:eastAsia="zh-CN"/>
              </w:rPr>
              <w:t>。</w:t>
            </w:r>
          </w:p>
        </w:tc>
      </w:tr>
      <w:tr w14:paraId="103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28CE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Mid</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9FC0D8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1-5</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w:t>
            </w:r>
            <w:r>
              <w:rPr>
                <w:rFonts w:hint="default" w:ascii="Times New Roman" w:hAnsi="Times New Roman" w:eastAsia="宋体" w:cs="Times New Roman"/>
                <w:b w:val="0"/>
                <w:sz w:val="16"/>
                <w:szCs w:val="21"/>
                <w:lang w:val="en-US" w:eastAsia="zh-CN"/>
              </w:rPr>
              <w:t>中至少命中两类，</w:t>
            </w:r>
            <w:r>
              <w:rPr>
                <w:rFonts w:hint="eastAsia" w:ascii="Times New Roman" w:hAnsi="Times New Roman" w:eastAsia="宋体" w:cs="Times New Roman"/>
                <w:b w:val="0"/>
                <w:sz w:val="16"/>
                <w:szCs w:val="21"/>
                <w:lang w:val="en-US" w:eastAsia="zh-CN"/>
              </w:rPr>
              <w:t>优先归于该等级。</w:t>
            </w:r>
          </w:p>
        </w:tc>
      </w:tr>
      <w:tr w14:paraId="0C11F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CEC44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662A2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 1</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lang w:val="en-US" w:eastAsia="zh-CN"/>
              </w:rPr>
              <w:t>5 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、《新的中国》出现过，但前面均未收录的优先</w:t>
            </w:r>
            <w:r>
              <w:rPr>
                <w:rFonts w:hint="default" w:ascii="Times New Roman" w:hAnsi="Times New Roman" w:eastAsia="宋体" w:cs="Times New Roman"/>
                <w:b w:val="0"/>
                <w:sz w:val="16"/>
                <w:szCs w:val="21"/>
                <w:lang w:val="en-US" w:eastAsia="zh-CN"/>
              </w:rPr>
              <w:t>纳入该等级。</w:t>
            </w:r>
          </w:p>
        </w:tc>
      </w:tr>
      <w:tr w14:paraId="0A363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4ACF6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5A9AA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w:t>
            </w:r>
            <w:r>
              <w:rPr>
                <w:rFonts w:hint="eastAsia" w:ascii="Times New Roman" w:hAnsi="Times New Roman" w:eastAsia="宋体" w:cs="Times New Roman"/>
                <w:b w:val="0"/>
                <w:sz w:val="16"/>
                <w:szCs w:val="21"/>
                <w:lang w:val="en-US" w:eastAsia="zh-CN"/>
              </w:rPr>
              <w:t>1-6级</w:t>
            </w:r>
            <w:r>
              <w:rPr>
                <w:rFonts w:hint="default" w:ascii="Times New Roman" w:hAnsi="Times New Roman" w:eastAsia="宋体" w:cs="Times New Roman"/>
                <w:b w:val="0"/>
                <w:sz w:val="16"/>
                <w:szCs w:val="21"/>
              </w:rPr>
              <w:t>，</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、《新的中国》、《事事关心》等语料；优先纳入上述任一资料出现的词语。</w:t>
            </w:r>
          </w:p>
        </w:tc>
      </w:tr>
      <w:tr w14:paraId="4953C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3EA73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Mid</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9B42A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《等级标准》7</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rPr>
              <w:t>9级，</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焦点中国</w:t>
            </w:r>
            <w:r>
              <w:rPr>
                <w:rFonts w:hint="eastAsia"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rPr>
              <w:t>、</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事事关心</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各抒己见</w:t>
            </w:r>
            <w:r>
              <w:rPr>
                <w:rFonts w:hint="eastAsia"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rPr>
              <w:t>及</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default" w:ascii="Times New Roman" w:hAnsi="Times New Roman" w:eastAsia="宋体" w:cs="Times New Roman"/>
                <w:b w:val="0"/>
                <w:sz w:val="16"/>
                <w:szCs w:val="21"/>
              </w:rPr>
              <w:t>中</w:t>
            </w:r>
            <w:r>
              <w:rPr>
                <w:rFonts w:hint="eastAsia" w:ascii="Times New Roman" w:hAnsi="Times New Roman" w:eastAsia="宋体" w:cs="Times New Roman"/>
                <w:b w:val="0"/>
                <w:sz w:val="16"/>
                <w:szCs w:val="21"/>
                <w:lang w:val="en-US" w:eastAsia="zh-CN"/>
              </w:rPr>
              <w:t>出现过2次以上的</w:t>
            </w:r>
            <w:r>
              <w:rPr>
                <w:rFonts w:hint="default" w:ascii="Times New Roman" w:hAnsi="Times New Roman" w:eastAsia="宋体" w:cs="Times New Roman"/>
                <w:b w:val="0"/>
                <w:sz w:val="16"/>
                <w:szCs w:val="21"/>
              </w:rPr>
              <w:t>词语，</w:t>
            </w:r>
            <w:r>
              <w:rPr>
                <w:rFonts w:hint="eastAsia" w:ascii="Times New Roman" w:hAnsi="Times New Roman" w:eastAsia="宋体" w:cs="Times New Roman"/>
                <w:b w:val="0"/>
                <w:sz w:val="16"/>
                <w:szCs w:val="21"/>
                <w:lang w:val="en-US" w:eastAsia="zh-CN"/>
              </w:rPr>
              <w:t>优先</w:t>
            </w:r>
            <w:r>
              <w:rPr>
                <w:rFonts w:hint="default" w:ascii="Times New Roman" w:hAnsi="Times New Roman" w:eastAsia="宋体" w:cs="Times New Roman"/>
                <w:b w:val="0"/>
                <w:sz w:val="16"/>
                <w:szCs w:val="21"/>
              </w:rPr>
              <w:t>纳入具有较强专题性和书面性的新增词语。</w:t>
            </w:r>
          </w:p>
        </w:tc>
      </w:tr>
      <w:tr w14:paraId="2658A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12FCEF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DD486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《等级标准》7</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rPr>
              <w:t>9级，</w:t>
            </w:r>
            <w:r>
              <w:rPr>
                <w:rFonts w:hint="eastAsia" w:ascii="Times New Roman" w:hAnsi="Times New Roman" w:eastAsia="宋体" w:cs="Times New Roman"/>
                <w:b w:val="0"/>
                <w:sz w:val="16"/>
                <w:szCs w:val="21"/>
                <w:lang w:val="en-US" w:eastAsia="zh-CN"/>
              </w:rPr>
              <w:t>《文化纵横观》以及前面全部使用过的教材语料，优先</w:t>
            </w:r>
            <w:r>
              <w:rPr>
                <w:rFonts w:hint="default" w:ascii="Times New Roman" w:hAnsi="Times New Roman" w:eastAsia="宋体" w:cs="Times New Roman"/>
                <w:b w:val="0"/>
                <w:sz w:val="16"/>
                <w:szCs w:val="21"/>
              </w:rPr>
              <w:t>纳入各等级未覆盖的剩余词语</w:t>
            </w:r>
            <w:r>
              <w:rPr>
                <w:rFonts w:hint="eastAsia" w:ascii="Times New Roman" w:hAnsi="Times New Roman" w:eastAsia="宋体" w:cs="Times New Roman"/>
                <w:b w:val="0"/>
                <w:sz w:val="16"/>
                <w:szCs w:val="21"/>
                <w:lang w:val="en-US" w:eastAsia="zh-CN"/>
              </w:rPr>
              <w:t>及</w:t>
            </w:r>
            <w:r>
              <w:rPr>
                <w:rFonts w:hint="default" w:ascii="Times New Roman" w:hAnsi="Times New Roman" w:eastAsia="宋体" w:cs="Times New Roman"/>
                <w:b w:val="0"/>
                <w:sz w:val="16"/>
                <w:szCs w:val="21"/>
              </w:rPr>
              <w:t>研究、学术及高阶书面表达中使用的词汇。</w:t>
            </w:r>
          </w:p>
        </w:tc>
      </w:tr>
    </w:tbl>
    <w:p w14:paraId="621C2ED7">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4.1.2 专家校订原则与本土化调整</w:t>
      </w:r>
    </w:p>
    <w:p w14:paraId="3E09E4F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初步建库基础上，ACTFL词表并未直接保留所有来源中的既有分层结果，而是结合美国中文教学场景进行了进一步校订和调整。其核心目的，不是对既有标准作零散修补，而是在保持基础词汇体系稳定的前提下，提高词表与美国中文课程路径、课堂任务及教材使用情况之间的匹配度。具体而言，这种校订主要体现在以下几个方面。</w:t>
      </w:r>
    </w:p>
    <w:p w14:paraId="4FFF411A">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明确词汇单位边界。ACTFL词表主要收录具有相对独立词汇意义和较稳定语法功能的核心词形单位。对于固定搭配、结构性短语和高频表达式，通常根据其词汇化程度决定是否纳入词表。例如，HSK 3.0收录的“上半场、下半场、哪个、你好、这个、那个、新春、贪吃”，以及《等级标准》收录的“是不是、有没有、上个月、下个月、想到、想起、抚养费、慢车、慢慢来、成问题、高速公路”等，并未在ACTFL词表中一一单列。原因在于，这些项目中相当一部分更接近寒暄套语、常用搭配、动补结构或语义较透明的组合形式，适合在语法、功能表达或具体任务中处理，而不必全部作为独立词条进入核心词库。与此同时，ACTFL也注意字、构词成分与词之间的层级协调。以“短、信、短信”为例，HSK中“短”“信”为3级，“短信”为4级；《等级标准》中三者均为2级。结合教材分布和实际教学需要，ACTFL将三者统一置于Novice Mid。</w:t>
      </w:r>
    </w:p>
    <w:p w14:paraId="69F8CF8C">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专有名词原则上不大规模纳入核心词汇。ACTFL仅吸纳少量在美国中文教学中具有明显跨教材高频性、基础交际功能和稳定任务支撑价值的专有名词，如“美国”“北京”“中文”“英文”“汉语”“英语”等。相较之下，初级教材中较常出现的姓氏和地名，如“李”“王”“纽约”“上海”等，以及《等级标准》收录的““法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日语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西班牙语”（6级）和“阿拉伯语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俄语”（高等）等语言名称，则未整体纳入核心词汇体系。</w:t>
      </w:r>
      <w:r>
        <w:rPr>
          <w:rFonts w:hint="eastAsia" w:ascii="Times New Roman" w:hAnsi="Times New Roman" w:cs="Times New Roman"/>
          <w:b w:val="0"/>
          <w:bCs w:val="0"/>
          <w:color w:val="000000"/>
          <w:sz w:val="22"/>
          <w:szCs w:val="22"/>
          <w:lang w:val="en-US" w:eastAsia="zh-CN"/>
        </w:rPr>
        <w:t>原因在于，</w:t>
      </w:r>
      <w:r>
        <w:rPr>
          <w:rFonts w:hint="eastAsia" w:ascii="Times New Roman" w:hAnsi="Times New Roman" w:eastAsia="宋体" w:cs="Times New Roman"/>
          <w:b w:val="0"/>
          <w:bCs w:val="0"/>
          <w:color w:val="000000"/>
          <w:sz w:val="22"/>
          <w:szCs w:val="22"/>
          <w:lang w:val="en-US" w:eastAsia="zh-CN"/>
        </w:rPr>
        <w:t>这类词语高度依赖具体教材主题、课程内容和教学场景，适宜作为专题扩展项目，而不宜直接进入主词库的稳定层级。</w:t>
      </w:r>
    </w:p>
    <w:p w14:paraId="36A99B57">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兼顾高频搭配关系与语义场系统。ACTFL在筛选词语时，不仅考察单个词项是否高频，也关注其高频共现关系和语义场内部的系统性。例如，在纳入“足球（HSK 2级，《等级标准》3级）”和“风（HSK 3级，《等级标准》1级）”时，也需同步考察“踢（HSK 2级，《等级标准》6级）”和“刮（HSK 3级，《等级标准》6级）”这类高频搭配动词，以避免词表中保留名词却缺失基本表达支撑。又如，“小姐（HSK 5级，《等级标准》1级）”“女士（HSK 1级，《等级标准》4级）”“先生（HSK 1级，《等级标准》1级）”在美国初级教材中常处于同一教学层次，因此统一置于Novice Low。颜色词的处理也体现了同样思路。HSK中“红、黑、白、黄”处于5级或6级，“红色、绿色”为2级，“黄色、蓝”为3级，且未收“绿”和“蓝色”；《等级标准》则将“绿、绿色、蓝、蓝色、黄色、黄、白色、白、黑色、红、红色”等基本颜色词大多归入2级。ACTFL结合教材分布和语义场系统性，将“白、白色、黑、黑色”置于Novice Low，其余常用颜色词统一置于Novice Mid。</w:t>
      </w:r>
    </w:p>
    <w:p w14:paraId="7E53F2E2">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急学先用的词语优先处理。对于美国学习者在课堂互动、校园生活和日常交际中使用迫切性较高的词语，即便其在既有标准中的等级偏高，也可在教材分布和专家判断支持下适度前移。例如，例如，“英文（HSK未收，《等级标准》2级）”“一起（HSK 2级</w:t>
      </w:r>
      <w:r>
        <w:rPr>
          <w:rFonts w:hint="eastAsia" w:ascii="Times New Roman" w:hAnsi="Times New Roman" w:cs="Times New Roman"/>
          <w:b w:val="0"/>
          <w:bCs w:val="0"/>
          <w:color w:val="000000"/>
          <w:sz w:val="22"/>
          <w:szCs w:val="22"/>
          <w:lang w:val="en-US" w:eastAsia="zh-CN"/>
        </w:rPr>
        <w:t>，等级标准1级</w:t>
      </w:r>
      <w:r>
        <w:rPr>
          <w:rFonts w:hint="eastAsia" w:ascii="Times New Roman" w:hAnsi="Times New Roman" w:eastAsia="宋体" w:cs="Times New Roman"/>
          <w:b w:val="0"/>
          <w:bCs w:val="0"/>
          <w:color w:val="000000"/>
          <w:sz w:val="22"/>
          <w:szCs w:val="22"/>
          <w:lang w:val="en-US" w:eastAsia="zh-CN"/>
        </w:rPr>
        <w:t>）”“书包（HSK 2级</w:t>
      </w:r>
      <w:r>
        <w:rPr>
          <w:rFonts w:hint="eastAsia" w:ascii="Times New Roman" w:hAnsi="Times New Roman" w:cs="Times New Roman"/>
          <w:b w:val="0"/>
          <w:bCs w:val="0"/>
          <w:color w:val="000000"/>
          <w:sz w:val="22"/>
          <w:szCs w:val="22"/>
          <w:lang w:val="en-US" w:eastAsia="zh-CN"/>
        </w:rPr>
        <w:t>，等级标准1级</w:t>
      </w:r>
      <w:r>
        <w:rPr>
          <w:rFonts w:hint="eastAsia" w:ascii="Times New Roman" w:hAnsi="Times New Roman" w:eastAsia="宋体" w:cs="Times New Roman"/>
          <w:b w:val="0"/>
          <w:bCs w:val="0"/>
          <w:color w:val="000000"/>
          <w:sz w:val="22"/>
          <w:szCs w:val="22"/>
          <w:lang w:val="en-US" w:eastAsia="zh-CN"/>
        </w:rPr>
        <w:t>）”“拼音（HSK 5级</w:t>
      </w:r>
      <w:r>
        <w:rPr>
          <w:rFonts w:hint="eastAsia" w:ascii="Times New Roman" w:hAnsi="Times New Roman" w:cs="Times New Roman"/>
          <w:b w:val="0"/>
          <w:bCs w:val="0"/>
          <w:color w:val="000000"/>
          <w:sz w:val="22"/>
          <w:szCs w:val="22"/>
          <w:lang w:val="en-US" w:eastAsia="zh-CN"/>
        </w:rPr>
        <w:t>，等级标准未收录</w:t>
      </w:r>
      <w:r>
        <w:rPr>
          <w:rFonts w:hint="eastAsia" w:ascii="Times New Roman" w:hAnsi="Times New Roman" w:eastAsia="宋体" w:cs="Times New Roman"/>
          <w:b w:val="0"/>
          <w:bCs w:val="0"/>
          <w:color w:val="000000"/>
          <w:sz w:val="22"/>
          <w:szCs w:val="22"/>
          <w:lang w:val="en-US" w:eastAsia="zh-CN"/>
        </w:rPr>
        <w:t>）”在美国教材和课堂任务中出现频率较高，均归入Novice Low；“书架（HSK 5级，《等级标准》3级）”“人民币（HSK 5级，《等级标准》3级）”“美元（HSK未收，《等级标准》3级）”则归入Novice High。</w:t>
      </w:r>
    </w:p>
    <w:p w14:paraId="7F73649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第五，</w:t>
      </w:r>
      <w:r>
        <w:rPr>
          <w:rFonts w:hint="eastAsia" w:ascii="Times New Roman" w:hAnsi="Times New Roman" w:cs="Times New Roman"/>
          <w:b w:val="0"/>
          <w:bCs w:val="0"/>
          <w:color w:val="000000"/>
          <w:sz w:val="22"/>
          <w:szCs w:val="22"/>
          <w:lang w:val="en-US" w:eastAsia="zh-CN"/>
        </w:rPr>
        <w:t>基于</w:t>
      </w:r>
      <w:r>
        <w:rPr>
          <w:rFonts w:hint="eastAsia" w:ascii="Times New Roman" w:hAnsi="Times New Roman" w:eastAsia="宋体" w:cs="Times New Roman"/>
          <w:b w:val="0"/>
          <w:bCs w:val="0"/>
          <w:color w:val="000000"/>
          <w:sz w:val="22"/>
          <w:szCs w:val="22"/>
          <w:lang w:val="en-US" w:eastAsia="zh-CN"/>
        </w:rPr>
        <w:t>ACTFL“能做”</w:t>
      </w:r>
      <w:r>
        <w:rPr>
          <w:rFonts w:hint="eastAsia" w:ascii="Times New Roman" w:hAnsi="Times New Roman" w:cs="Times New Roman"/>
          <w:b w:val="0"/>
          <w:bCs w:val="0"/>
          <w:color w:val="000000"/>
          <w:sz w:val="22"/>
          <w:szCs w:val="22"/>
          <w:lang w:val="en-US" w:eastAsia="zh-CN"/>
        </w:rPr>
        <w:t>需求做出调整</w:t>
      </w:r>
      <w:r>
        <w:rPr>
          <w:rFonts w:hint="eastAsia" w:ascii="Times New Roman" w:hAnsi="Times New Roman" w:eastAsia="宋体" w:cs="Times New Roman"/>
          <w:b w:val="0"/>
          <w:bCs w:val="0"/>
          <w:color w:val="000000"/>
          <w:sz w:val="22"/>
          <w:szCs w:val="22"/>
          <w:lang w:val="en-US" w:eastAsia="zh-CN"/>
        </w:rPr>
        <w:t>。对于在美国主流教材中稳定出现、且能够直接支撑某一等级“能做”任务的词语，ACTFL会根据教材覆盖情况和任务需求进行本土化校准。例如，在Novice Low阶段，ACTFL“能做”任务包括“我能说出我周末去的地方”“我可以回答关于最喜欢的周末活动的提问”等。因此，“周末”虽在HSK 3.0中为3级、在《等级标准》中为2级，但由于其在美国初级教材和课堂活动中出现频繁，并能够直接支撑该等级任务表达，最终移至Novice Low。这样的处理使词汇等级不再只是静态的难度排序，而成为与交际任务、课堂活动和能力目标相衔接的动态配置。</w:t>
      </w:r>
    </w:p>
    <w:p w14:paraId="11EFD09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总体来看，ACTFL词表的专家校订并非对既有标准的局部修补，而是在核心词汇单位、系统配置和任务适配三个层面进行的本土化重整。</w:t>
      </w:r>
    </w:p>
    <w:p w14:paraId="0AE4446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4.1.3 词形与词性标注原则</w:t>
      </w:r>
    </w:p>
    <w:p w14:paraId="26A45B9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ACTFL词表与HSK 3.0、《国际中文教育中文水平等级标准》的差异，不仅体现在收词范围和等级安排上，也体现在词形标注和词性处理上。</w:t>
      </w:r>
    </w:p>
    <w:p w14:paraId="2986C22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词形标注方面，ACTFL结合美国教材中的实际分布和课堂呈现需求，对部分词语形式作了适度归并。具体而言，主要包括四类情况：一是对教材中常出现儿化形式的词语，采用“词语（儿）”的方式标注，如“一下（儿）”“一会（儿）”“一块（儿）”“好玩（儿）”“公园（儿）”“男孩（儿）”“女孩（儿）”等；二是对既可完整出现、又可省略部分成分的词语，采用括注形式体现其可伸缩结构，如“没（有）”“有时（候）”“但（是）”“有（一）点”“有（一）些”“差（一）点（儿）”“（一）些”等；三是对带有附加成分但实际使用中存在有无并行情况的词语，采用可选标注方式呈现其形式变体，如“兔（子）”“窗（子）”“棋（子）”“竹（子）”“（老）虎”“胸（部）”等；四是对意义相同、功能一致、但教材和实际书写中存在全称与简缩形式并行的项目，采用合并处理，如“零（〇）”“爸（爸）”“妈（妈）”等。这类处理并不意味着不同形式在所有语境中完全等值，而是为了在词汇组织层面体现其常见并存关系，减轻学习者在形式识别上的割裂感。</w:t>
      </w:r>
    </w:p>
    <w:p w14:paraId="5DAE6D5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词性标注方面，ACTFL综合参考HSK、《等级标准》及《现代汉语词典（第7版）》进行了修订、整理与合并，差异主要体现在三类。第一，语气词及相关虚词的归属分歧，反映出不同体系对语用功能和句法地位的判断并不一致。例如，“哇”“呀”等词，在不同体系中分别被处理为助词、叹词或拟声词。第二，词性宽窄分歧，即既有体系往往只标注一个主要词性，而ACTFL对兼类现象较明显的词语适度保留双词性标注。例如，“科普”“构造”标为“动、名”，“数码”标为“形、名”</w:t>
      </w:r>
      <w:r>
        <w:rPr>
          <w:rFonts w:hint="eastAsia" w:ascii="Times New Roman" w:hAnsi="Times New Roman" w:cs="Times New Roman"/>
          <w:b w:val="0"/>
          <w:bCs w:val="0"/>
          <w:color w:val="000000"/>
          <w:sz w:val="22"/>
          <w:szCs w:val="22"/>
          <w:lang w:val="en-US" w:eastAsia="zh-CN"/>
        </w:rPr>
        <w:t>等</w:t>
      </w:r>
      <w:r>
        <w:rPr>
          <w:rFonts w:hint="eastAsia" w:ascii="Times New Roman" w:hAnsi="Times New Roman" w:eastAsia="宋体" w:cs="Times New Roman"/>
          <w:b w:val="0"/>
          <w:bCs w:val="0"/>
          <w:color w:val="000000"/>
          <w:sz w:val="22"/>
          <w:szCs w:val="22"/>
          <w:lang w:val="en-US" w:eastAsia="zh-CN"/>
        </w:rPr>
        <w:t>。第三，个别词语的范畴判断分歧，即某些词在不同体系中所归属的语法类别并不完全相同，如“良”标为“副、形”，“在内”标为动词等。</w:t>
      </w:r>
      <w:r>
        <w:rPr>
          <w:rFonts w:hint="eastAsia" w:ascii="Times New Roman" w:hAnsi="Times New Roman" w:cs="Times New Roman"/>
          <w:b w:val="0"/>
          <w:bCs w:val="0"/>
          <w:color w:val="000000"/>
          <w:sz w:val="22"/>
          <w:szCs w:val="22"/>
          <w:lang w:val="en-US" w:eastAsia="zh-CN"/>
        </w:rPr>
        <w:t>具体内容详见表2示例。</w:t>
      </w:r>
    </w:p>
    <w:p w14:paraId="7806FF0F">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Arial" w:hAnsi="Arial" w:cs="Arial"/>
          <w:b w:val="0"/>
          <w:bCs w:val="0"/>
          <w:i w:val="0"/>
          <w:iCs w:val="0"/>
          <w:color w:val="000000"/>
          <w:sz w:val="22"/>
          <w:szCs w:val="22"/>
          <w:lang w:val="en-US" w:eastAsia="zh-CN"/>
        </w:rPr>
      </w:pPr>
      <w:r>
        <w:rPr>
          <w:rFonts w:hint="eastAsia" w:ascii="楷体" w:hAnsi="楷体" w:eastAsia="楷体" w:cs="楷体"/>
          <w:snapToGrid w:val="0"/>
          <w:color w:val="000000"/>
          <w:spacing w:val="-3"/>
          <w:kern w:val="0"/>
          <w:sz w:val="18"/>
          <w:szCs w:val="18"/>
          <w:lang w:val="en-US" w:eastAsia="zh-CN" w:bidi="ar-SA"/>
        </w:rPr>
        <w:t xml:space="preserve">表2  </w:t>
      </w:r>
      <w:r>
        <w:rPr>
          <w:rFonts w:hint="default" w:ascii="Times New Roman" w:hAnsi="Times New Roman" w:eastAsia="楷体" w:cs="Times New Roman"/>
          <w:snapToGrid w:val="0"/>
          <w:color w:val="000000"/>
          <w:spacing w:val="-3"/>
          <w:kern w:val="0"/>
          <w:sz w:val="18"/>
          <w:szCs w:val="18"/>
          <w:lang w:val="en-US" w:eastAsia="zh-CN" w:bidi="ar-SA"/>
        </w:rPr>
        <w:t>ACTFL量表与HSK</w:t>
      </w:r>
      <w:r>
        <w:rPr>
          <w:rFonts w:hint="eastAsia" w:ascii="Times New Roman" w:hAnsi="Times New Roman" w:eastAsia="楷体" w:cs="Times New Roman"/>
          <w:snapToGrid w:val="0"/>
          <w:color w:val="000000"/>
          <w:spacing w:val="-3"/>
          <w:kern w:val="0"/>
          <w:sz w:val="18"/>
          <w:szCs w:val="18"/>
          <w:lang w:val="en-US" w:eastAsia="zh-CN" w:bidi="ar-SA"/>
        </w:rPr>
        <w:t>、</w:t>
      </w:r>
      <w:r>
        <w:rPr>
          <w:rFonts w:hint="eastAsia" w:ascii="楷体" w:hAnsi="楷体" w:eastAsia="楷体" w:cs="楷体"/>
          <w:snapToGrid w:val="0"/>
          <w:color w:val="000000"/>
          <w:spacing w:val="-3"/>
          <w:kern w:val="0"/>
          <w:sz w:val="18"/>
          <w:szCs w:val="18"/>
          <w:lang w:val="en-US" w:eastAsia="zh-CN" w:bidi="ar-SA"/>
        </w:rPr>
        <w:t>《等级标准》及《现汉》的词性标注差异示例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560"/>
        <w:gridCol w:w="1099"/>
        <w:gridCol w:w="913"/>
        <w:gridCol w:w="797"/>
        <w:gridCol w:w="2953"/>
      </w:tblGrid>
      <w:tr w14:paraId="2AA9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jc w:val="center"/>
        </w:trPr>
        <w:tc>
          <w:tcPr>
            <w:tcW w:w="0" w:type="auto"/>
            <w:shd w:val="clear" w:color="auto" w:fill="auto"/>
            <w:tcMar>
              <w:top w:w="60" w:type="dxa"/>
              <w:left w:w="120" w:type="dxa"/>
              <w:bottom w:w="60" w:type="dxa"/>
              <w:right w:w="120" w:type="dxa"/>
            </w:tcMar>
            <w:vAlign w:val="center"/>
          </w:tcPr>
          <w:p w14:paraId="06C1252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词语</w:t>
            </w:r>
          </w:p>
        </w:tc>
        <w:tc>
          <w:tcPr>
            <w:tcW w:w="0" w:type="auto"/>
            <w:shd w:val="clear" w:color="auto" w:fill="auto"/>
            <w:tcMar>
              <w:top w:w="60" w:type="dxa"/>
              <w:left w:w="120" w:type="dxa"/>
              <w:bottom w:w="60" w:type="dxa"/>
              <w:right w:w="120" w:type="dxa"/>
            </w:tcMar>
            <w:vAlign w:val="center"/>
          </w:tcPr>
          <w:p w14:paraId="3953A1C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ACTFL词性</w:t>
            </w:r>
          </w:p>
        </w:tc>
        <w:tc>
          <w:tcPr>
            <w:tcW w:w="0" w:type="auto"/>
            <w:shd w:val="clear" w:color="auto" w:fill="auto"/>
            <w:tcMar>
              <w:top w:w="60" w:type="dxa"/>
              <w:left w:w="120" w:type="dxa"/>
              <w:bottom w:w="60" w:type="dxa"/>
              <w:right w:w="120" w:type="dxa"/>
            </w:tcMar>
            <w:vAlign w:val="center"/>
          </w:tcPr>
          <w:p w14:paraId="01690D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HSK词性</w:t>
            </w:r>
          </w:p>
        </w:tc>
        <w:tc>
          <w:tcPr>
            <w:tcW w:w="0" w:type="auto"/>
            <w:shd w:val="clear" w:color="auto" w:fill="auto"/>
            <w:tcMar>
              <w:top w:w="60" w:type="dxa"/>
              <w:left w:w="120" w:type="dxa"/>
              <w:bottom w:w="60" w:type="dxa"/>
              <w:right w:w="120" w:type="dxa"/>
            </w:tcMar>
            <w:vAlign w:val="center"/>
          </w:tcPr>
          <w:p w14:paraId="7954902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PG词性</w:t>
            </w:r>
          </w:p>
        </w:tc>
        <w:tc>
          <w:tcPr>
            <w:tcW w:w="0" w:type="auto"/>
            <w:shd w:val="clear" w:color="auto" w:fill="auto"/>
            <w:tcMar>
              <w:top w:w="60" w:type="dxa"/>
              <w:left w:w="120" w:type="dxa"/>
              <w:bottom w:w="60" w:type="dxa"/>
              <w:right w:w="120" w:type="dxa"/>
            </w:tcMar>
            <w:vAlign w:val="center"/>
          </w:tcPr>
          <w:p w14:paraId="7E54E07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lang w:val="en-US" w:eastAsia="zh-CN"/>
              </w:rPr>
              <w:t>现汉</w:t>
            </w:r>
            <w:r>
              <w:rPr>
                <w:rFonts w:hint="default"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lang w:val="en-US" w:eastAsia="zh-CN"/>
              </w:rPr>
              <w:t>词性</w:t>
            </w:r>
          </w:p>
        </w:tc>
      </w:tr>
      <w:tr w14:paraId="735B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4674FF6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继</w:t>
            </w:r>
          </w:p>
        </w:tc>
        <w:tc>
          <w:tcPr>
            <w:tcW w:w="0" w:type="auto"/>
            <w:shd w:val="clear" w:color="auto" w:fill="auto"/>
            <w:tcMar>
              <w:top w:w="60" w:type="dxa"/>
              <w:left w:w="120" w:type="dxa"/>
              <w:bottom w:w="60" w:type="dxa"/>
              <w:right w:w="120" w:type="dxa"/>
            </w:tcMar>
            <w:vAlign w:val="center"/>
          </w:tcPr>
          <w:p w14:paraId="7F4C689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动、连</w:t>
            </w:r>
          </w:p>
        </w:tc>
        <w:tc>
          <w:tcPr>
            <w:tcW w:w="0" w:type="auto"/>
            <w:shd w:val="clear" w:color="auto" w:fill="auto"/>
            <w:tcMar>
              <w:top w:w="60" w:type="dxa"/>
              <w:left w:w="120" w:type="dxa"/>
              <w:bottom w:w="60" w:type="dxa"/>
              <w:right w:w="120" w:type="dxa"/>
            </w:tcMar>
            <w:vAlign w:val="center"/>
          </w:tcPr>
          <w:p w14:paraId="61DD478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连</w:t>
            </w:r>
          </w:p>
        </w:tc>
        <w:tc>
          <w:tcPr>
            <w:tcW w:w="0" w:type="auto"/>
            <w:shd w:val="clear" w:color="auto" w:fill="auto"/>
            <w:tcMar>
              <w:top w:w="60" w:type="dxa"/>
              <w:left w:w="120" w:type="dxa"/>
              <w:bottom w:w="60" w:type="dxa"/>
              <w:right w:w="120" w:type="dxa"/>
            </w:tcMar>
            <w:vAlign w:val="center"/>
          </w:tcPr>
          <w:p w14:paraId="740B918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437D002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连、动</w:t>
            </w:r>
          </w:p>
        </w:tc>
      </w:tr>
      <w:tr w14:paraId="1E25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0A6E49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世故</w:t>
            </w:r>
          </w:p>
        </w:tc>
        <w:tc>
          <w:tcPr>
            <w:tcW w:w="0" w:type="auto"/>
            <w:shd w:val="clear" w:color="auto" w:fill="auto"/>
            <w:tcMar>
              <w:top w:w="60" w:type="dxa"/>
              <w:left w:w="120" w:type="dxa"/>
              <w:bottom w:w="60" w:type="dxa"/>
              <w:right w:w="120" w:type="dxa"/>
            </w:tcMar>
            <w:vAlign w:val="center"/>
          </w:tcPr>
          <w:p w14:paraId="4017785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65A4EC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5CEBABE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72D2B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收录2条，世故（形）与世故（名）</w:t>
            </w:r>
          </w:p>
        </w:tc>
      </w:tr>
      <w:tr w14:paraId="130C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14CCAE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用心</w:t>
            </w:r>
          </w:p>
        </w:tc>
        <w:tc>
          <w:tcPr>
            <w:tcW w:w="0" w:type="auto"/>
            <w:shd w:val="clear" w:color="auto" w:fill="auto"/>
            <w:tcMar>
              <w:top w:w="60" w:type="dxa"/>
              <w:left w:w="120" w:type="dxa"/>
              <w:bottom w:w="60" w:type="dxa"/>
              <w:right w:w="120" w:type="dxa"/>
            </w:tcMar>
            <w:vAlign w:val="center"/>
          </w:tcPr>
          <w:p w14:paraId="1AA8FCE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2ACD1C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266B35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65671B3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收录2条，用心（名）和用心（形）</w:t>
            </w:r>
          </w:p>
        </w:tc>
      </w:tr>
      <w:tr w14:paraId="4FD1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167B8E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哇</w:t>
            </w:r>
          </w:p>
        </w:tc>
        <w:tc>
          <w:tcPr>
            <w:tcW w:w="0" w:type="auto"/>
            <w:shd w:val="clear" w:color="auto" w:fill="auto"/>
            <w:tcMar>
              <w:top w:w="60" w:type="dxa"/>
              <w:left w:w="120" w:type="dxa"/>
              <w:bottom w:w="60" w:type="dxa"/>
              <w:right w:w="120" w:type="dxa"/>
            </w:tcMar>
            <w:vAlign w:val="center"/>
          </w:tcPr>
          <w:p w14:paraId="0AD58D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助、拟声</w:t>
            </w:r>
          </w:p>
        </w:tc>
        <w:tc>
          <w:tcPr>
            <w:tcW w:w="0" w:type="auto"/>
            <w:shd w:val="clear" w:color="auto" w:fill="auto"/>
            <w:tcMar>
              <w:top w:w="60" w:type="dxa"/>
              <w:left w:w="120" w:type="dxa"/>
              <w:bottom w:w="60" w:type="dxa"/>
              <w:right w:w="120" w:type="dxa"/>
            </w:tcMar>
            <w:vAlign w:val="center"/>
          </w:tcPr>
          <w:p w14:paraId="1634012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拟声</w:t>
            </w:r>
          </w:p>
        </w:tc>
        <w:tc>
          <w:tcPr>
            <w:tcW w:w="0" w:type="auto"/>
            <w:shd w:val="clear" w:color="auto" w:fill="auto"/>
            <w:tcMar>
              <w:top w:w="60" w:type="dxa"/>
              <w:left w:w="120" w:type="dxa"/>
              <w:bottom w:w="60" w:type="dxa"/>
              <w:right w:w="120" w:type="dxa"/>
            </w:tcMar>
            <w:vAlign w:val="center"/>
          </w:tcPr>
          <w:p w14:paraId="4D7518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074775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收录2条，世故（</w:t>
            </w:r>
            <w:r>
              <w:rPr>
                <w:rFonts w:hint="default" w:ascii="Times New Roman" w:hAnsi="Times New Roman" w:eastAsia="宋体" w:cs="Times New Roman"/>
                <w:b w:val="0"/>
                <w:sz w:val="16"/>
                <w:szCs w:val="21"/>
              </w:rPr>
              <w:t>拟声</w:t>
            </w:r>
            <w:r>
              <w:rPr>
                <w:rFonts w:hint="default" w:ascii="Times New Roman" w:hAnsi="Times New Roman" w:eastAsia="宋体" w:cs="Times New Roman"/>
                <w:b w:val="0"/>
                <w:sz w:val="16"/>
                <w:szCs w:val="21"/>
                <w:lang w:val="en-US" w:eastAsia="zh-CN"/>
              </w:rPr>
              <w:t>）与世故（</w:t>
            </w:r>
            <w:r>
              <w:rPr>
                <w:rFonts w:hint="default" w:ascii="Times New Roman" w:hAnsi="Times New Roman" w:eastAsia="宋体" w:cs="Times New Roman"/>
                <w:b w:val="0"/>
                <w:sz w:val="16"/>
                <w:szCs w:val="21"/>
              </w:rPr>
              <w:t>助</w:t>
            </w:r>
            <w:r>
              <w:rPr>
                <w:rFonts w:hint="default" w:ascii="Times New Roman" w:hAnsi="Times New Roman" w:eastAsia="宋体" w:cs="Times New Roman"/>
                <w:b w:val="0"/>
                <w:sz w:val="16"/>
                <w:szCs w:val="21"/>
                <w:lang w:val="en-US" w:eastAsia="zh-CN"/>
              </w:rPr>
              <w:t>）</w:t>
            </w:r>
          </w:p>
        </w:tc>
      </w:tr>
      <w:tr w14:paraId="0F2F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E645D0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式</w:t>
            </w:r>
          </w:p>
        </w:tc>
        <w:tc>
          <w:tcPr>
            <w:tcW w:w="0" w:type="auto"/>
            <w:shd w:val="clear" w:color="auto" w:fill="auto"/>
            <w:tcMar>
              <w:top w:w="60" w:type="dxa"/>
              <w:left w:w="120" w:type="dxa"/>
              <w:bottom w:w="60" w:type="dxa"/>
              <w:right w:w="120" w:type="dxa"/>
            </w:tcMar>
            <w:vAlign w:val="center"/>
          </w:tcPr>
          <w:p w14:paraId="5E79CD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0485C3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2B7F950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6631F0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w:t>
            </w:r>
          </w:p>
        </w:tc>
      </w:tr>
      <w:tr w14:paraId="7941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03DD3E1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风趣</w:t>
            </w:r>
          </w:p>
        </w:tc>
        <w:tc>
          <w:tcPr>
            <w:tcW w:w="0" w:type="auto"/>
            <w:shd w:val="clear" w:color="auto" w:fill="auto"/>
            <w:tcMar>
              <w:top w:w="60" w:type="dxa"/>
              <w:left w:w="120" w:type="dxa"/>
              <w:bottom w:w="60" w:type="dxa"/>
              <w:right w:w="120" w:type="dxa"/>
            </w:tcMar>
            <w:vAlign w:val="center"/>
          </w:tcPr>
          <w:p w14:paraId="5DA128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08740B8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F43424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5EE7FA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名、形</w:t>
            </w:r>
          </w:p>
        </w:tc>
      </w:tr>
      <w:tr w14:paraId="335C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90" w:hRule="atLeast"/>
          <w:jc w:val="center"/>
        </w:trPr>
        <w:tc>
          <w:tcPr>
            <w:tcW w:w="0" w:type="auto"/>
            <w:shd w:val="clear" w:color="auto" w:fill="auto"/>
            <w:tcMar>
              <w:top w:w="60" w:type="dxa"/>
              <w:left w:w="120" w:type="dxa"/>
              <w:bottom w:w="60" w:type="dxa"/>
              <w:right w:w="120" w:type="dxa"/>
            </w:tcMar>
            <w:vAlign w:val="center"/>
          </w:tcPr>
          <w:p w14:paraId="41F406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良</w:t>
            </w:r>
          </w:p>
        </w:tc>
        <w:tc>
          <w:tcPr>
            <w:tcW w:w="0" w:type="auto"/>
            <w:shd w:val="clear" w:color="auto" w:fill="auto"/>
            <w:tcMar>
              <w:top w:w="60" w:type="dxa"/>
              <w:left w:w="120" w:type="dxa"/>
              <w:bottom w:w="60" w:type="dxa"/>
              <w:right w:w="120" w:type="dxa"/>
            </w:tcMar>
            <w:vAlign w:val="center"/>
          </w:tcPr>
          <w:p w14:paraId="74600DE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副、形</w:t>
            </w:r>
          </w:p>
        </w:tc>
        <w:tc>
          <w:tcPr>
            <w:tcW w:w="0" w:type="auto"/>
            <w:shd w:val="clear" w:color="auto" w:fill="auto"/>
            <w:tcMar>
              <w:top w:w="60" w:type="dxa"/>
              <w:left w:w="120" w:type="dxa"/>
              <w:bottom w:w="60" w:type="dxa"/>
              <w:right w:w="120" w:type="dxa"/>
            </w:tcMar>
            <w:vAlign w:val="center"/>
          </w:tcPr>
          <w:p w14:paraId="5587C9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副</w:t>
            </w:r>
          </w:p>
        </w:tc>
        <w:tc>
          <w:tcPr>
            <w:tcW w:w="0" w:type="auto"/>
            <w:shd w:val="clear" w:color="auto" w:fill="auto"/>
            <w:tcMar>
              <w:top w:w="60" w:type="dxa"/>
              <w:left w:w="120" w:type="dxa"/>
              <w:bottom w:w="60" w:type="dxa"/>
              <w:right w:w="120" w:type="dxa"/>
            </w:tcMar>
            <w:vAlign w:val="center"/>
          </w:tcPr>
          <w:p w14:paraId="79D33EA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45491B1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形、副</w:t>
            </w:r>
          </w:p>
        </w:tc>
      </w:tr>
      <w:tr w14:paraId="6D8C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7F9C8D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呀</w:t>
            </w:r>
          </w:p>
        </w:tc>
        <w:tc>
          <w:tcPr>
            <w:tcW w:w="0" w:type="auto"/>
            <w:shd w:val="clear" w:color="auto" w:fill="auto"/>
            <w:tcMar>
              <w:top w:w="60" w:type="dxa"/>
              <w:left w:w="120" w:type="dxa"/>
              <w:bottom w:w="60" w:type="dxa"/>
              <w:right w:w="120" w:type="dxa"/>
            </w:tcMar>
            <w:vAlign w:val="center"/>
          </w:tcPr>
          <w:p w14:paraId="786E47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叹</w:t>
            </w:r>
          </w:p>
        </w:tc>
        <w:tc>
          <w:tcPr>
            <w:tcW w:w="0" w:type="auto"/>
            <w:shd w:val="clear" w:color="auto" w:fill="auto"/>
            <w:tcMar>
              <w:top w:w="60" w:type="dxa"/>
              <w:left w:w="120" w:type="dxa"/>
              <w:bottom w:w="60" w:type="dxa"/>
              <w:right w:w="120" w:type="dxa"/>
            </w:tcMar>
            <w:vAlign w:val="center"/>
          </w:tcPr>
          <w:p w14:paraId="7AA7EA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叹</w:t>
            </w:r>
          </w:p>
        </w:tc>
        <w:tc>
          <w:tcPr>
            <w:tcW w:w="0" w:type="auto"/>
            <w:shd w:val="clear" w:color="auto" w:fill="auto"/>
            <w:tcMar>
              <w:top w:w="60" w:type="dxa"/>
              <w:left w:w="120" w:type="dxa"/>
              <w:bottom w:w="60" w:type="dxa"/>
              <w:right w:w="120" w:type="dxa"/>
            </w:tcMar>
            <w:vAlign w:val="center"/>
          </w:tcPr>
          <w:p w14:paraId="3A99D37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6A5552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叹、助、拟声词</w:t>
            </w:r>
          </w:p>
        </w:tc>
      </w:tr>
      <w:tr w14:paraId="2C5B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38C5C4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者</w:t>
            </w:r>
          </w:p>
        </w:tc>
        <w:tc>
          <w:tcPr>
            <w:tcW w:w="0" w:type="auto"/>
            <w:shd w:val="clear" w:color="auto" w:fill="auto"/>
            <w:tcMar>
              <w:top w:w="60" w:type="dxa"/>
              <w:left w:w="120" w:type="dxa"/>
              <w:bottom w:w="60" w:type="dxa"/>
              <w:right w:w="120" w:type="dxa"/>
            </w:tcMar>
            <w:vAlign w:val="center"/>
          </w:tcPr>
          <w:p w14:paraId="3F0EA3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3C93487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6548FE3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26FF86F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r>
      <w:tr w14:paraId="681D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5588E7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幕</w:t>
            </w:r>
          </w:p>
        </w:tc>
        <w:tc>
          <w:tcPr>
            <w:tcW w:w="0" w:type="auto"/>
            <w:shd w:val="clear" w:color="auto" w:fill="auto"/>
            <w:tcMar>
              <w:top w:w="60" w:type="dxa"/>
              <w:left w:w="120" w:type="dxa"/>
              <w:bottom w:w="60" w:type="dxa"/>
              <w:right w:w="120" w:type="dxa"/>
            </w:tcMar>
            <w:vAlign w:val="center"/>
          </w:tcPr>
          <w:p w14:paraId="58DC69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量、名</w:t>
            </w:r>
          </w:p>
        </w:tc>
        <w:tc>
          <w:tcPr>
            <w:tcW w:w="0" w:type="auto"/>
            <w:shd w:val="clear" w:color="auto" w:fill="auto"/>
            <w:tcMar>
              <w:top w:w="60" w:type="dxa"/>
              <w:left w:w="120" w:type="dxa"/>
              <w:bottom w:w="60" w:type="dxa"/>
              <w:right w:w="120" w:type="dxa"/>
            </w:tcMar>
            <w:vAlign w:val="center"/>
          </w:tcPr>
          <w:p w14:paraId="5E5982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量</w:t>
            </w:r>
          </w:p>
        </w:tc>
        <w:tc>
          <w:tcPr>
            <w:tcW w:w="0" w:type="auto"/>
            <w:shd w:val="clear" w:color="auto" w:fill="auto"/>
            <w:tcMar>
              <w:top w:w="60" w:type="dxa"/>
              <w:left w:w="120" w:type="dxa"/>
              <w:bottom w:w="60" w:type="dxa"/>
              <w:right w:w="120" w:type="dxa"/>
            </w:tcMar>
            <w:vAlign w:val="center"/>
          </w:tcPr>
          <w:p w14:paraId="0841F02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46EA23B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名、量</w:t>
            </w:r>
          </w:p>
        </w:tc>
      </w:tr>
      <w:tr w14:paraId="587D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CB86E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忠诚</w:t>
            </w:r>
          </w:p>
        </w:tc>
        <w:tc>
          <w:tcPr>
            <w:tcW w:w="0" w:type="auto"/>
            <w:shd w:val="clear" w:color="auto" w:fill="auto"/>
            <w:tcMar>
              <w:top w:w="60" w:type="dxa"/>
              <w:left w:w="120" w:type="dxa"/>
              <w:bottom w:w="60" w:type="dxa"/>
              <w:right w:w="120" w:type="dxa"/>
            </w:tcMar>
            <w:vAlign w:val="center"/>
          </w:tcPr>
          <w:p w14:paraId="4D3689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eastAsia="zh-CN"/>
              </w:rPr>
            </w:pPr>
            <w:r>
              <w:rPr>
                <w:rFonts w:hint="default" w:ascii="Times New Roman" w:hAnsi="Times New Roman" w:eastAsia="宋体" w:cs="Times New Roman"/>
                <w:b w:val="0"/>
                <w:sz w:val="16"/>
                <w:szCs w:val="21"/>
                <w:lang w:val="en-US" w:eastAsia="zh-CN"/>
              </w:rPr>
              <w:t>形</w:t>
            </w:r>
          </w:p>
        </w:tc>
        <w:tc>
          <w:tcPr>
            <w:tcW w:w="0" w:type="auto"/>
            <w:shd w:val="clear" w:color="auto" w:fill="auto"/>
            <w:tcMar>
              <w:top w:w="60" w:type="dxa"/>
              <w:left w:w="120" w:type="dxa"/>
              <w:bottom w:w="60" w:type="dxa"/>
              <w:right w:w="120" w:type="dxa"/>
            </w:tcMar>
            <w:vAlign w:val="center"/>
          </w:tcPr>
          <w:p w14:paraId="343B3A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6B8308E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5581D6D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r>
      <w:tr w14:paraId="62D0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E3A26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科普</w:t>
            </w:r>
          </w:p>
        </w:tc>
        <w:tc>
          <w:tcPr>
            <w:tcW w:w="0" w:type="auto"/>
            <w:shd w:val="clear" w:color="auto" w:fill="auto"/>
            <w:tcMar>
              <w:top w:w="60" w:type="dxa"/>
              <w:left w:w="120" w:type="dxa"/>
              <w:bottom w:w="60" w:type="dxa"/>
              <w:right w:w="120" w:type="dxa"/>
            </w:tcMar>
            <w:vAlign w:val="center"/>
          </w:tcPr>
          <w:p w14:paraId="2DC093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63E1D7E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26A573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4B85158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r>
      <w:tr w14:paraId="39A2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3201D7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数码</w:t>
            </w:r>
          </w:p>
        </w:tc>
        <w:tc>
          <w:tcPr>
            <w:tcW w:w="0" w:type="auto"/>
            <w:shd w:val="clear" w:color="auto" w:fill="auto"/>
            <w:tcMar>
              <w:top w:w="60" w:type="dxa"/>
              <w:left w:w="120" w:type="dxa"/>
              <w:bottom w:w="60" w:type="dxa"/>
              <w:right w:w="120" w:type="dxa"/>
            </w:tcMar>
            <w:vAlign w:val="center"/>
          </w:tcPr>
          <w:p w14:paraId="443305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形、</w:t>
            </w: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44F7BD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030708A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085F3D7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形、</w:t>
            </w:r>
            <w:r>
              <w:rPr>
                <w:rFonts w:hint="default" w:ascii="Times New Roman" w:hAnsi="Times New Roman" w:eastAsia="宋体" w:cs="Times New Roman"/>
                <w:b w:val="0"/>
                <w:sz w:val="16"/>
                <w:szCs w:val="21"/>
              </w:rPr>
              <w:t>名</w:t>
            </w:r>
          </w:p>
        </w:tc>
      </w:tr>
      <w:tr w14:paraId="3936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4CAA6E2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在内</w:t>
            </w:r>
          </w:p>
        </w:tc>
        <w:tc>
          <w:tcPr>
            <w:tcW w:w="0" w:type="auto"/>
            <w:shd w:val="clear" w:color="auto" w:fill="auto"/>
            <w:tcMar>
              <w:top w:w="60" w:type="dxa"/>
              <w:left w:w="120" w:type="dxa"/>
              <w:bottom w:w="60" w:type="dxa"/>
              <w:right w:w="120" w:type="dxa"/>
            </w:tcMar>
            <w:vAlign w:val="center"/>
          </w:tcPr>
          <w:p w14:paraId="3867C80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01C0B8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55F1645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15389F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r>
      <w:tr w14:paraId="5F4D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65F611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构造</w:t>
            </w:r>
          </w:p>
        </w:tc>
        <w:tc>
          <w:tcPr>
            <w:tcW w:w="0" w:type="auto"/>
            <w:shd w:val="clear" w:color="auto" w:fill="auto"/>
            <w:tcMar>
              <w:top w:w="60" w:type="dxa"/>
              <w:left w:w="120" w:type="dxa"/>
              <w:bottom w:w="60" w:type="dxa"/>
              <w:right w:w="120" w:type="dxa"/>
            </w:tcMar>
            <w:vAlign w:val="center"/>
          </w:tcPr>
          <w:p w14:paraId="43292A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24BF37C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5D4B68B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BD898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名、动</w:t>
            </w:r>
          </w:p>
        </w:tc>
      </w:tr>
      <w:tr w14:paraId="67A9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6EB89D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有用</w:t>
            </w:r>
          </w:p>
        </w:tc>
        <w:tc>
          <w:tcPr>
            <w:tcW w:w="0" w:type="auto"/>
            <w:shd w:val="clear" w:color="auto" w:fill="auto"/>
            <w:tcMar>
              <w:top w:w="60" w:type="dxa"/>
              <w:left w:w="120" w:type="dxa"/>
              <w:bottom w:w="60" w:type="dxa"/>
              <w:right w:w="120" w:type="dxa"/>
            </w:tcMar>
            <w:vAlign w:val="center"/>
          </w:tcPr>
          <w:p w14:paraId="40F6AA1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3DDF0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6B1BF59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326A278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未收录</w:t>
            </w:r>
          </w:p>
        </w:tc>
      </w:tr>
      <w:tr w14:paraId="5728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90" w:hRule="atLeast"/>
          <w:jc w:val="center"/>
        </w:trPr>
        <w:tc>
          <w:tcPr>
            <w:tcW w:w="0" w:type="auto"/>
            <w:shd w:val="clear" w:color="auto" w:fill="auto"/>
            <w:tcMar>
              <w:top w:w="60" w:type="dxa"/>
              <w:left w:w="120" w:type="dxa"/>
              <w:bottom w:w="60" w:type="dxa"/>
              <w:right w:w="120" w:type="dxa"/>
            </w:tcMar>
            <w:vAlign w:val="center"/>
          </w:tcPr>
          <w:p w14:paraId="2E4B858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定义</w:t>
            </w:r>
          </w:p>
        </w:tc>
        <w:tc>
          <w:tcPr>
            <w:tcW w:w="0" w:type="auto"/>
            <w:shd w:val="clear" w:color="auto" w:fill="auto"/>
            <w:tcMar>
              <w:top w:w="60" w:type="dxa"/>
              <w:left w:w="120" w:type="dxa"/>
              <w:bottom w:w="60" w:type="dxa"/>
              <w:right w:w="120" w:type="dxa"/>
            </w:tcMar>
            <w:vAlign w:val="center"/>
          </w:tcPr>
          <w:p w14:paraId="48ADAEF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名、动</w:t>
            </w:r>
          </w:p>
        </w:tc>
        <w:tc>
          <w:tcPr>
            <w:tcW w:w="0" w:type="auto"/>
            <w:shd w:val="clear" w:color="auto" w:fill="auto"/>
            <w:tcMar>
              <w:top w:w="60" w:type="dxa"/>
              <w:left w:w="120" w:type="dxa"/>
              <w:bottom w:w="60" w:type="dxa"/>
              <w:right w:w="120" w:type="dxa"/>
            </w:tcMar>
            <w:vAlign w:val="center"/>
          </w:tcPr>
          <w:p w14:paraId="7885CFD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名、动</w:t>
            </w:r>
          </w:p>
        </w:tc>
        <w:tc>
          <w:tcPr>
            <w:tcW w:w="0" w:type="auto"/>
            <w:shd w:val="clear" w:color="auto" w:fill="auto"/>
            <w:tcMar>
              <w:top w:w="60" w:type="dxa"/>
              <w:left w:w="120" w:type="dxa"/>
              <w:bottom w:w="60" w:type="dxa"/>
              <w:right w:w="120" w:type="dxa"/>
            </w:tcMar>
            <w:vAlign w:val="center"/>
          </w:tcPr>
          <w:p w14:paraId="359450F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1E849B4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rPr>
              <w:t>名、动</w:t>
            </w:r>
          </w:p>
        </w:tc>
      </w:tr>
      <w:tr w14:paraId="2EAA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9155CA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考察</w:t>
            </w:r>
          </w:p>
        </w:tc>
        <w:tc>
          <w:tcPr>
            <w:tcW w:w="0" w:type="auto"/>
            <w:shd w:val="clear" w:color="auto" w:fill="auto"/>
            <w:tcMar>
              <w:top w:w="60" w:type="dxa"/>
              <w:left w:w="120" w:type="dxa"/>
              <w:bottom w:w="60" w:type="dxa"/>
              <w:right w:w="120" w:type="dxa"/>
            </w:tcMar>
            <w:vAlign w:val="center"/>
          </w:tcPr>
          <w:p w14:paraId="2035984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c>
          <w:tcPr>
            <w:tcW w:w="0" w:type="auto"/>
            <w:shd w:val="clear" w:color="auto" w:fill="auto"/>
            <w:tcMar>
              <w:top w:w="60" w:type="dxa"/>
              <w:left w:w="120" w:type="dxa"/>
              <w:bottom w:w="60" w:type="dxa"/>
              <w:right w:w="120" w:type="dxa"/>
            </w:tcMar>
            <w:vAlign w:val="center"/>
          </w:tcPr>
          <w:p w14:paraId="32E80D4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动</w:t>
            </w:r>
          </w:p>
        </w:tc>
        <w:tc>
          <w:tcPr>
            <w:tcW w:w="0" w:type="auto"/>
            <w:shd w:val="clear" w:color="auto" w:fill="auto"/>
            <w:tcMar>
              <w:top w:w="60" w:type="dxa"/>
              <w:left w:w="120" w:type="dxa"/>
              <w:bottom w:w="60" w:type="dxa"/>
              <w:right w:w="120" w:type="dxa"/>
            </w:tcMar>
            <w:vAlign w:val="center"/>
          </w:tcPr>
          <w:p w14:paraId="26847B8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0C0678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r>
    </w:tbl>
    <w:p w14:paraId="065F4E7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总体而言，ACTFL词表在词性修订上体现出三项基本取向：以现代汉语通行用法为基础，以教学适用性为导向，并适度吸收兼类标注，以避免单一词性处理掩盖词语在真实语境中的功能差异。</w:t>
      </w:r>
    </w:p>
    <w:p w14:paraId="51735433">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4.1.4 ACTFL词表与HSK 3.0、《等级标准》的对比分析</w:t>
      </w:r>
    </w:p>
    <w:p w14:paraId="2D154850">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（一）整体对应关系与差异分布</w:t>
      </w:r>
    </w:p>
    <w:p w14:paraId="1354829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表3呈现了三套体系在不同阶段的累计词量分布及其大致对应关系。</w:t>
      </w:r>
    </w:p>
    <w:p w14:paraId="245A21CE">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楷体" w:cs="Times New Roman"/>
          <w:snapToGrid w:val="0"/>
          <w:color w:val="000000"/>
          <w:spacing w:val="-3"/>
          <w:kern w:val="0"/>
          <w:sz w:val="18"/>
          <w:szCs w:val="18"/>
          <w:lang w:val="en-US" w:eastAsia="zh-CN" w:bidi="ar-SA"/>
        </w:rPr>
      </w:pPr>
      <w:r>
        <w:rPr>
          <w:rFonts w:hint="default" w:ascii="Times New Roman" w:hAnsi="Times New Roman" w:eastAsia="楷体" w:cs="Times New Roman"/>
          <w:snapToGrid w:val="0"/>
          <w:color w:val="000000"/>
          <w:spacing w:val="-3"/>
          <w:kern w:val="0"/>
          <w:sz w:val="18"/>
          <w:szCs w:val="18"/>
          <w:lang w:val="en-US" w:eastAsia="zh-CN" w:bidi="ar-SA"/>
        </w:rPr>
        <w:t>表</w:t>
      </w:r>
      <w:r>
        <w:rPr>
          <w:rFonts w:hint="eastAsia" w:ascii="Times New Roman" w:hAnsi="Times New Roman" w:eastAsia="楷体" w:cs="Times New Roman"/>
          <w:snapToGrid w:val="0"/>
          <w:color w:val="000000"/>
          <w:spacing w:val="-3"/>
          <w:kern w:val="0"/>
          <w:sz w:val="18"/>
          <w:szCs w:val="18"/>
          <w:lang w:val="en-US" w:eastAsia="zh-CN" w:bidi="ar-SA"/>
        </w:rPr>
        <w:t>3</w:t>
      </w:r>
      <w:r>
        <w:rPr>
          <w:rFonts w:hint="default" w:ascii="Times New Roman" w:hAnsi="Times New Roman" w:eastAsia="楷体" w:cs="Times New Roman"/>
          <w:snapToGrid w:val="0"/>
          <w:color w:val="000000"/>
          <w:spacing w:val="-3"/>
          <w:kern w:val="0"/>
          <w:sz w:val="18"/>
          <w:szCs w:val="18"/>
          <w:lang w:val="en-US" w:eastAsia="zh-CN" w:bidi="ar-SA"/>
        </w:rPr>
        <w:t xml:space="preserve">  ACTFL量表与HSK及《等级标准》的阶段对应与累计词量比较</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2028"/>
        <w:gridCol w:w="908"/>
        <w:gridCol w:w="1852"/>
        <w:gridCol w:w="1567"/>
        <w:gridCol w:w="1770"/>
      </w:tblGrid>
      <w:tr w14:paraId="5969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422E12B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ACTFL等级</w:t>
            </w:r>
          </w:p>
        </w:tc>
        <w:tc>
          <w:tcPr>
            <w:tcW w:w="2028" w:type="dxa"/>
          </w:tcPr>
          <w:p w14:paraId="644AD1EF">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c>
          <w:tcPr>
            <w:tcW w:w="908" w:type="dxa"/>
          </w:tcPr>
          <w:p w14:paraId="7130ED7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HSK等级</w:t>
            </w:r>
          </w:p>
        </w:tc>
        <w:tc>
          <w:tcPr>
            <w:tcW w:w="1852" w:type="dxa"/>
          </w:tcPr>
          <w:p w14:paraId="03C98F90">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c>
          <w:tcPr>
            <w:tcW w:w="1567" w:type="dxa"/>
          </w:tcPr>
          <w:p w14:paraId="0FBBCDC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《等级标准》等级</w:t>
            </w:r>
          </w:p>
        </w:tc>
        <w:tc>
          <w:tcPr>
            <w:tcW w:w="1770" w:type="dxa"/>
          </w:tcPr>
          <w:p w14:paraId="496E8CC9">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r>
      <w:tr w14:paraId="1211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4C4A785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Low</w:t>
            </w:r>
          </w:p>
        </w:tc>
        <w:tc>
          <w:tcPr>
            <w:tcW w:w="2028" w:type="dxa"/>
          </w:tcPr>
          <w:p w14:paraId="3E7CE9DC">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320 / 320</w:t>
            </w:r>
          </w:p>
        </w:tc>
        <w:tc>
          <w:tcPr>
            <w:tcW w:w="908" w:type="dxa"/>
          </w:tcPr>
          <w:p w14:paraId="7F414880">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HSK1级</w:t>
            </w:r>
          </w:p>
        </w:tc>
        <w:tc>
          <w:tcPr>
            <w:tcW w:w="1852" w:type="dxa"/>
          </w:tcPr>
          <w:p w14:paraId="39657C09">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300 / 300</w:t>
            </w:r>
          </w:p>
        </w:tc>
        <w:tc>
          <w:tcPr>
            <w:tcW w:w="1567" w:type="dxa"/>
          </w:tcPr>
          <w:p w14:paraId="02EFC01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一级</w:t>
            </w:r>
          </w:p>
        </w:tc>
        <w:tc>
          <w:tcPr>
            <w:tcW w:w="1770" w:type="dxa"/>
          </w:tcPr>
          <w:p w14:paraId="385DAB40">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500 / 500</w:t>
            </w:r>
          </w:p>
        </w:tc>
      </w:tr>
      <w:tr w14:paraId="7D14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692E1B8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Mid</w:t>
            </w:r>
          </w:p>
        </w:tc>
        <w:tc>
          <w:tcPr>
            <w:tcW w:w="2028" w:type="dxa"/>
          </w:tcPr>
          <w:p w14:paraId="0804020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350 / 670</w:t>
            </w:r>
          </w:p>
        </w:tc>
        <w:tc>
          <w:tcPr>
            <w:tcW w:w="908" w:type="dxa"/>
          </w:tcPr>
          <w:p w14:paraId="6061101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HSK2级</w:t>
            </w:r>
          </w:p>
        </w:tc>
        <w:tc>
          <w:tcPr>
            <w:tcW w:w="1852" w:type="dxa"/>
          </w:tcPr>
          <w:p w14:paraId="7FB2A3B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200 / 500</w:t>
            </w:r>
          </w:p>
        </w:tc>
        <w:tc>
          <w:tcPr>
            <w:tcW w:w="1567" w:type="dxa"/>
          </w:tcPr>
          <w:p w14:paraId="055B42CC">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二级</w:t>
            </w:r>
          </w:p>
        </w:tc>
        <w:tc>
          <w:tcPr>
            <w:tcW w:w="1770" w:type="dxa"/>
          </w:tcPr>
          <w:p w14:paraId="73F8CB5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772 / 1272</w:t>
            </w:r>
          </w:p>
        </w:tc>
      </w:tr>
      <w:tr w14:paraId="27BF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3B3E096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High</w:t>
            </w:r>
          </w:p>
        </w:tc>
        <w:tc>
          <w:tcPr>
            <w:tcW w:w="2028" w:type="dxa"/>
          </w:tcPr>
          <w:p w14:paraId="2B487F5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580 / 1250</w:t>
            </w:r>
          </w:p>
        </w:tc>
        <w:tc>
          <w:tcPr>
            <w:tcW w:w="908" w:type="dxa"/>
          </w:tcPr>
          <w:p w14:paraId="0B46798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HSK3级</w:t>
            </w:r>
          </w:p>
        </w:tc>
        <w:tc>
          <w:tcPr>
            <w:tcW w:w="1852" w:type="dxa"/>
          </w:tcPr>
          <w:p w14:paraId="2CA039B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500 / 1000</w:t>
            </w:r>
          </w:p>
        </w:tc>
        <w:tc>
          <w:tcPr>
            <w:tcW w:w="1567" w:type="dxa"/>
          </w:tcPr>
          <w:p w14:paraId="2018657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三级</w:t>
            </w:r>
          </w:p>
        </w:tc>
        <w:tc>
          <w:tcPr>
            <w:tcW w:w="1770" w:type="dxa"/>
          </w:tcPr>
          <w:p w14:paraId="74755AB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973 / 2245</w:t>
            </w:r>
          </w:p>
        </w:tc>
      </w:tr>
      <w:tr w14:paraId="2387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7533C11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Low</w:t>
            </w:r>
          </w:p>
        </w:tc>
        <w:tc>
          <w:tcPr>
            <w:tcW w:w="2028" w:type="dxa"/>
          </w:tcPr>
          <w:p w14:paraId="2AE5876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850 / 2100</w:t>
            </w:r>
          </w:p>
        </w:tc>
        <w:tc>
          <w:tcPr>
            <w:tcW w:w="908" w:type="dxa"/>
          </w:tcPr>
          <w:p w14:paraId="7391525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HSK4级</w:t>
            </w:r>
          </w:p>
        </w:tc>
        <w:tc>
          <w:tcPr>
            <w:tcW w:w="1852" w:type="dxa"/>
          </w:tcPr>
          <w:p w14:paraId="1622711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1000 / 2000</w:t>
            </w:r>
          </w:p>
        </w:tc>
        <w:tc>
          <w:tcPr>
            <w:tcW w:w="1567" w:type="dxa"/>
          </w:tcPr>
          <w:p w14:paraId="2B20CDA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四级</w:t>
            </w:r>
          </w:p>
        </w:tc>
        <w:tc>
          <w:tcPr>
            <w:tcW w:w="1770" w:type="dxa"/>
          </w:tcPr>
          <w:p w14:paraId="7A41063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1000 / 3245</w:t>
            </w:r>
          </w:p>
        </w:tc>
      </w:tr>
      <w:tr w14:paraId="6242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31" w:type="dxa"/>
          </w:tcPr>
          <w:p w14:paraId="1D00395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Mid</w:t>
            </w:r>
          </w:p>
        </w:tc>
        <w:tc>
          <w:tcPr>
            <w:tcW w:w="2028" w:type="dxa"/>
          </w:tcPr>
          <w:p w14:paraId="6BF0D53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1050 / 3150</w:t>
            </w:r>
          </w:p>
        </w:tc>
        <w:tc>
          <w:tcPr>
            <w:tcW w:w="908" w:type="dxa"/>
          </w:tcPr>
          <w:p w14:paraId="1D0206F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HSK5级</w:t>
            </w:r>
          </w:p>
        </w:tc>
        <w:tc>
          <w:tcPr>
            <w:tcW w:w="1852" w:type="dxa"/>
          </w:tcPr>
          <w:p w14:paraId="38EC2D52">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1600 / 3600</w:t>
            </w:r>
          </w:p>
        </w:tc>
        <w:tc>
          <w:tcPr>
            <w:tcW w:w="1567" w:type="dxa"/>
          </w:tcPr>
          <w:p w14:paraId="09B152F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五级</w:t>
            </w:r>
          </w:p>
        </w:tc>
        <w:tc>
          <w:tcPr>
            <w:tcW w:w="1770" w:type="dxa"/>
          </w:tcPr>
          <w:p w14:paraId="2A7BA07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1071 / 4316</w:t>
            </w:r>
          </w:p>
        </w:tc>
      </w:tr>
      <w:tr w14:paraId="11DD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2EC61E7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High</w:t>
            </w:r>
          </w:p>
        </w:tc>
        <w:tc>
          <w:tcPr>
            <w:tcW w:w="2028" w:type="dxa"/>
          </w:tcPr>
          <w:p w14:paraId="7BF7F77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1350 / 4500</w:t>
            </w:r>
          </w:p>
        </w:tc>
        <w:tc>
          <w:tcPr>
            <w:tcW w:w="908" w:type="dxa"/>
          </w:tcPr>
          <w:p w14:paraId="4B872F8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HSK6级</w:t>
            </w:r>
          </w:p>
        </w:tc>
        <w:tc>
          <w:tcPr>
            <w:tcW w:w="1852" w:type="dxa"/>
          </w:tcPr>
          <w:p w14:paraId="7EA9549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1800 / 5400</w:t>
            </w:r>
          </w:p>
        </w:tc>
        <w:tc>
          <w:tcPr>
            <w:tcW w:w="1567" w:type="dxa"/>
          </w:tcPr>
          <w:p w14:paraId="791DF47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六级</w:t>
            </w:r>
          </w:p>
        </w:tc>
        <w:tc>
          <w:tcPr>
            <w:tcW w:w="1770" w:type="dxa"/>
          </w:tcPr>
          <w:p w14:paraId="366A462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1140 / 5456</w:t>
            </w:r>
          </w:p>
        </w:tc>
      </w:tr>
      <w:tr w14:paraId="73B5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5244AF8F">
            <w:pPr>
              <w:spacing w:before="20" w:after="20" w:line="276" w:lineRule="auto"/>
              <w:jc w:val="center"/>
              <w:rPr>
                <w:rFonts w:hint="default" w:ascii="Noto Serif CJK SC" w:hAnsi="Noto Serif CJK SC" w:eastAsia="Noto Serif CJK SC"/>
                <w:b w:val="0"/>
                <w:sz w:val="16"/>
                <w:szCs w:val="21"/>
                <w:lang w:val="en-US"/>
              </w:rPr>
            </w:pPr>
            <w:r>
              <w:rPr>
                <w:rFonts w:hint="eastAsia" w:ascii="Noto Serif CJK SC" w:hAnsi="Noto Serif CJK SC" w:eastAsia="Noto Serif CJK SC"/>
                <w:b w:val="0"/>
                <w:sz w:val="16"/>
                <w:szCs w:val="21"/>
              </w:rPr>
              <w:t>Advanced</w:t>
            </w:r>
            <w:r>
              <w:rPr>
                <w:rFonts w:hint="eastAsia" w:ascii="Noto Serif CJK SC" w:hAnsi="Noto Serif CJK SC"/>
                <w:b w:val="0"/>
                <w:sz w:val="16"/>
                <w:szCs w:val="21"/>
                <w:lang w:val="en-US" w:eastAsia="zh-CN"/>
              </w:rPr>
              <w:t xml:space="preserve"> Low</w:t>
            </w:r>
          </w:p>
        </w:tc>
        <w:tc>
          <w:tcPr>
            <w:tcW w:w="2028" w:type="dxa"/>
          </w:tcPr>
          <w:p w14:paraId="7E7D193C">
            <w:pPr>
              <w:spacing w:before="20" w:after="20" w:line="276" w:lineRule="auto"/>
              <w:jc w:val="center"/>
              <w:rPr>
                <w:rFonts w:hint="default" w:ascii="Noto Serif CJK SC" w:hAnsi="Noto Serif CJK SC" w:eastAsia="宋体"/>
                <w:b w:val="0"/>
                <w:sz w:val="16"/>
                <w:szCs w:val="21"/>
                <w:lang w:val="en-US" w:eastAsia="zh-CN"/>
              </w:rPr>
            </w:pPr>
            <w:r>
              <w:rPr>
                <w:rFonts w:hint="eastAsia" w:ascii="Noto Serif CJK SC" w:hAnsi="Noto Serif CJK SC"/>
                <w:b w:val="0"/>
                <w:sz w:val="16"/>
                <w:szCs w:val="21"/>
                <w:lang w:val="en-US" w:eastAsia="zh-CN"/>
              </w:rPr>
              <w:t>1500</w:t>
            </w:r>
            <w:r>
              <w:rPr>
                <w:rFonts w:hint="eastAsia" w:ascii="Noto Serif CJK SC" w:hAnsi="Noto Serif CJK SC" w:eastAsia="Noto Serif CJK SC"/>
                <w:b w:val="0"/>
                <w:sz w:val="16"/>
                <w:szCs w:val="21"/>
              </w:rPr>
              <w:t xml:space="preserve">/ </w:t>
            </w:r>
            <w:r>
              <w:rPr>
                <w:rFonts w:hint="eastAsia" w:ascii="Noto Serif CJK SC" w:hAnsi="Noto Serif CJK SC"/>
                <w:b w:val="0"/>
                <w:sz w:val="16"/>
                <w:szCs w:val="21"/>
                <w:lang w:val="en-US" w:eastAsia="zh-CN"/>
              </w:rPr>
              <w:t>6000</w:t>
            </w:r>
          </w:p>
        </w:tc>
        <w:tc>
          <w:tcPr>
            <w:tcW w:w="908" w:type="dxa"/>
            <w:vMerge w:val="restart"/>
          </w:tcPr>
          <w:p w14:paraId="069F2B9E">
            <w:pPr>
              <w:spacing w:before="20" w:after="20" w:line="276" w:lineRule="auto"/>
              <w:jc w:val="center"/>
              <w:rPr>
                <w:rFonts w:hint="eastAsia" w:ascii="Noto Serif CJK SC" w:hAnsi="Noto Serif CJK SC" w:eastAsia="Noto Serif CJK SC"/>
                <w:b w:val="0"/>
                <w:sz w:val="16"/>
                <w:szCs w:val="21"/>
              </w:rPr>
            </w:pPr>
          </w:p>
          <w:p w14:paraId="7970E1E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HSK7–9级</w:t>
            </w:r>
          </w:p>
        </w:tc>
        <w:tc>
          <w:tcPr>
            <w:tcW w:w="1852" w:type="dxa"/>
            <w:vMerge w:val="restart"/>
          </w:tcPr>
          <w:p w14:paraId="07DBF7DC">
            <w:pPr>
              <w:spacing w:before="20" w:after="20" w:line="276" w:lineRule="auto"/>
              <w:jc w:val="center"/>
              <w:rPr>
                <w:rFonts w:hint="eastAsia" w:ascii="Noto Serif CJK SC" w:hAnsi="Noto Serif CJK SC" w:eastAsia="Noto Serif CJK SC"/>
                <w:b w:val="0"/>
                <w:sz w:val="16"/>
                <w:szCs w:val="21"/>
              </w:rPr>
            </w:pPr>
          </w:p>
          <w:p w14:paraId="33A928F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5600 / 11000</w:t>
            </w:r>
          </w:p>
        </w:tc>
        <w:tc>
          <w:tcPr>
            <w:tcW w:w="1567" w:type="dxa"/>
            <w:vMerge w:val="restart"/>
          </w:tcPr>
          <w:p w14:paraId="3740C438">
            <w:pPr>
              <w:spacing w:before="20" w:after="20" w:line="276" w:lineRule="auto"/>
              <w:jc w:val="center"/>
              <w:rPr>
                <w:rFonts w:hint="eastAsia" w:ascii="Noto Serif CJK SC" w:hAnsi="Noto Serif CJK SC" w:eastAsia="Noto Serif CJK SC"/>
                <w:b w:val="0"/>
                <w:sz w:val="16"/>
                <w:szCs w:val="21"/>
              </w:rPr>
            </w:pPr>
          </w:p>
          <w:p w14:paraId="57CC29B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七—九级</w:t>
            </w:r>
          </w:p>
        </w:tc>
        <w:tc>
          <w:tcPr>
            <w:tcW w:w="1770" w:type="dxa"/>
            <w:vMerge w:val="restart"/>
          </w:tcPr>
          <w:p w14:paraId="549791F6">
            <w:pPr>
              <w:spacing w:before="20" w:after="20" w:line="276" w:lineRule="auto"/>
              <w:jc w:val="center"/>
              <w:rPr>
                <w:rFonts w:hint="eastAsia" w:ascii="Noto Serif CJK SC" w:hAnsi="Noto Serif CJK SC" w:eastAsia="Noto Serif CJK SC"/>
                <w:b w:val="0"/>
                <w:sz w:val="16"/>
                <w:szCs w:val="21"/>
              </w:rPr>
            </w:pPr>
          </w:p>
          <w:p w14:paraId="4C9DA002">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5636 / 11092</w:t>
            </w:r>
          </w:p>
        </w:tc>
      </w:tr>
      <w:tr w14:paraId="58B2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0E7F7B5D">
            <w:pPr>
              <w:spacing w:before="20" w:after="20" w:line="276" w:lineRule="auto"/>
              <w:jc w:val="center"/>
              <w:rPr>
                <w:rFonts w:hint="default" w:ascii="Noto Serif CJK SC" w:hAnsi="Noto Serif CJK SC" w:eastAsia="Noto Serif CJK SC"/>
                <w:b w:val="0"/>
                <w:sz w:val="16"/>
                <w:szCs w:val="21"/>
                <w:lang w:val="en-US"/>
              </w:rPr>
            </w:pPr>
            <w:r>
              <w:rPr>
                <w:rFonts w:hint="eastAsia" w:ascii="Noto Serif CJK SC" w:hAnsi="Noto Serif CJK SC" w:eastAsia="Noto Serif CJK SC"/>
                <w:b w:val="0"/>
                <w:sz w:val="16"/>
                <w:szCs w:val="21"/>
              </w:rPr>
              <w:t>Advanced</w:t>
            </w:r>
            <w:r>
              <w:rPr>
                <w:rFonts w:hint="eastAsia" w:ascii="Noto Serif CJK SC" w:hAnsi="Noto Serif CJK SC" w:eastAsia="Noto Serif CJK SC"/>
                <w:b w:val="0"/>
                <w:sz w:val="16"/>
                <w:szCs w:val="21"/>
                <w:lang w:val="en-US" w:eastAsia="zh-CN"/>
              </w:rPr>
              <w:t xml:space="preserve"> Mid</w:t>
            </w:r>
          </w:p>
        </w:tc>
        <w:tc>
          <w:tcPr>
            <w:tcW w:w="2028" w:type="dxa"/>
          </w:tcPr>
          <w:p w14:paraId="7CBEC75D">
            <w:pPr>
              <w:spacing w:before="20" w:after="20" w:line="276" w:lineRule="auto"/>
              <w:jc w:val="center"/>
              <w:rPr>
                <w:rFonts w:hint="default" w:ascii="Noto Serif CJK SC" w:hAnsi="Noto Serif CJK SC" w:eastAsia="Noto Serif CJK SC"/>
                <w:b w:val="0"/>
                <w:sz w:val="16"/>
                <w:szCs w:val="21"/>
                <w:lang w:val="en-US" w:eastAsia="zh-CN"/>
              </w:rPr>
            </w:pPr>
            <w:r>
              <w:rPr>
                <w:rFonts w:hint="eastAsia" w:ascii="Noto Serif CJK SC" w:hAnsi="Noto Serif CJK SC" w:eastAsia="Noto Serif CJK SC"/>
                <w:b w:val="0"/>
                <w:sz w:val="16"/>
                <w:szCs w:val="21"/>
                <w:lang w:val="en-US" w:eastAsia="zh-CN"/>
              </w:rPr>
              <w:t>2000/8000</w:t>
            </w:r>
          </w:p>
        </w:tc>
        <w:tc>
          <w:tcPr>
            <w:tcW w:w="908" w:type="dxa"/>
            <w:vMerge w:val="continue"/>
          </w:tcPr>
          <w:p w14:paraId="70B33193">
            <w:pPr>
              <w:spacing w:before="20" w:after="20" w:line="276" w:lineRule="auto"/>
              <w:jc w:val="center"/>
              <w:rPr>
                <w:rFonts w:hint="eastAsia" w:ascii="Noto Serif CJK SC" w:hAnsi="Noto Serif CJK SC" w:eastAsia="Noto Serif CJK SC"/>
                <w:b w:val="0"/>
                <w:sz w:val="18"/>
              </w:rPr>
            </w:pPr>
          </w:p>
        </w:tc>
        <w:tc>
          <w:tcPr>
            <w:tcW w:w="1852" w:type="dxa"/>
            <w:vMerge w:val="continue"/>
          </w:tcPr>
          <w:p w14:paraId="6DC86266">
            <w:pPr>
              <w:spacing w:before="20" w:after="20" w:line="276" w:lineRule="auto"/>
              <w:jc w:val="center"/>
              <w:rPr>
                <w:rFonts w:hint="eastAsia" w:ascii="Noto Serif CJK SC" w:hAnsi="Noto Serif CJK SC" w:eastAsia="Noto Serif CJK SC"/>
                <w:b w:val="0"/>
                <w:sz w:val="18"/>
              </w:rPr>
            </w:pPr>
          </w:p>
        </w:tc>
        <w:tc>
          <w:tcPr>
            <w:tcW w:w="1567" w:type="dxa"/>
            <w:vMerge w:val="continue"/>
          </w:tcPr>
          <w:p w14:paraId="42B4F537">
            <w:pPr>
              <w:spacing w:before="20" w:after="20" w:line="276" w:lineRule="auto"/>
              <w:jc w:val="center"/>
              <w:rPr>
                <w:rFonts w:hint="eastAsia" w:ascii="Noto Serif CJK SC" w:hAnsi="Noto Serif CJK SC" w:eastAsia="Noto Serif CJK SC"/>
                <w:b w:val="0"/>
                <w:sz w:val="18"/>
              </w:rPr>
            </w:pPr>
          </w:p>
        </w:tc>
        <w:tc>
          <w:tcPr>
            <w:tcW w:w="1770" w:type="dxa"/>
            <w:vMerge w:val="continue"/>
          </w:tcPr>
          <w:p w14:paraId="45C9E6F5">
            <w:pPr>
              <w:spacing w:before="20" w:after="20" w:line="276" w:lineRule="auto"/>
              <w:jc w:val="center"/>
              <w:rPr>
                <w:rFonts w:hint="eastAsia" w:ascii="Noto Serif CJK SC" w:hAnsi="Noto Serif CJK SC" w:eastAsia="Noto Serif CJK SC"/>
                <w:b w:val="0"/>
                <w:sz w:val="18"/>
              </w:rPr>
            </w:pPr>
          </w:p>
        </w:tc>
      </w:tr>
      <w:tr w14:paraId="6383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vAlign w:val="top"/>
          </w:tcPr>
          <w:p w14:paraId="358091D9">
            <w:pPr>
              <w:spacing w:before="20" w:after="20" w:line="276" w:lineRule="auto"/>
              <w:jc w:val="center"/>
              <w:rPr>
                <w:rFonts w:hint="eastAsia" w:ascii="Noto Serif CJK SC" w:hAnsi="Noto Serif CJK SC" w:eastAsia="Noto Serif CJK SC"/>
                <w:b w:val="0"/>
                <w:sz w:val="16"/>
                <w:szCs w:val="21"/>
              </w:rPr>
            </w:pPr>
            <w:r>
              <w:rPr>
                <w:rFonts w:hint="eastAsia" w:ascii="Noto Serif CJK SC" w:hAnsi="Noto Serif CJK SC" w:eastAsia="Noto Serif CJK SC"/>
                <w:b w:val="0"/>
                <w:sz w:val="16"/>
                <w:szCs w:val="21"/>
              </w:rPr>
              <w:t>Advanced</w:t>
            </w:r>
            <w:r>
              <w:rPr>
                <w:rFonts w:hint="eastAsia" w:ascii="Noto Serif CJK SC" w:hAnsi="Noto Serif CJK SC" w:eastAsia="Noto Serif CJK SC"/>
                <w:b w:val="0"/>
                <w:sz w:val="16"/>
                <w:szCs w:val="21"/>
                <w:lang w:val="en-US" w:eastAsia="zh-CN"/>
              </w:rPr>
              <w:t xml:space="preserve"> High</w:t>
            </w:r>
            <w:r>
              <w:rPr>
                <w:rFonts w:hint="eastAsia" w:ascii="Noto Serif CJK SC" w:hAnsi="Noto Serif CJK SC" w:eastAsia="Noto Serif CJK SC"/>
                <w:b w:val="0"/>
                <w:sz w:val="16"/>
                <w:szCs w:val="21"/>
              </w:rPr>
              <w:t>+</w:t>
            </w:r>
          </w:p>
        </w:tc>
        <w:tc>
          <w:tcPr>
            <w:tcW w:w="2028" w:type="dxa"/>
            <w:vAlign w:val="top"/>
          </w:tcPr>
          <w:p w14:paraId="0E42B4F9">
            <w:pPr>
              <w:spacing w:before="20" w:after="20" w:line="276" w:lineRule="auto"/>
              <w:jc w:val="center"/>
              <w:rPr>
                <w:rFonts w:hint="eastAsia" w:ascii="Noto Serif CJK SC" w:hAnsi="Noto Serif CJK SC" w:eastAsia="Noto Serif CJK SC"/>
                <w:b w:val="0"/>
                <w:sz w:val="16"/>
                <w:szCs w:val="21"/>
              </w:rPr>
            </w:pPr>
            <w:r>
              <w:rPr>
                <w:rFonts w:hint="eastAsia" w:ascii="Noto Serif CJK SC" w:hAnsi="Noto Serif CJK SC" w:eastAsia="Noto Serif CJK SC"/>
                <w:b w:val="0"/>
                <w:sz w:val="16"/>
                <w:szCs w:val="21"/>
                <w:lang w:val="en-US" w:eastAsia="zh-CN"/>
              </w:rPr>
              <w:t>40</w:t>
            </w:r>
            <w:r>
              <w:rPr>
                <w:rFonts w:hint="eastAsia" w:ascii="Noto Serif CJK SC" w:hAnsi="Noto Serif CJK SC" w:eastAsia="Noto Serif CJK SC"/>
                <w:b w:val="0"/>
                <w:sz w:val="16"/>
                <w:szCs w:val="21"/>
              </w:rPr>
              <w:t>00 / 12000</w:t>
            </w:r>
          </w:p>
        </w:tc>
        <w:tc>
          <w:tcPr>
            <w:tcW w:w="908" w:type="dxa"/>
            <w:vMerge w:val="continue"/>
          </w:tcPr>
          <w:p w14:paraId="63C25672">
            <w:pPr>
              <w:spacing w:before="20" w:after="20" w:line="276" w:lineRule="auto"/>
              <w:jc w:val="center"/>
              <w:rPr>
                <w:rFonts w:hint="eastAsia" w:ascii="Noto Serif CJK SC" w:hAnsi="Noto Serif CJK SC" w:eastAsia="Noto Serif CJK SC"/>
                <w:b w:val="0"/>
                <w:sz w:val="18"/>
              </w:rPr>
            </w:pPr>
          </w:p>
        </w:tc>
        <w:tc>
          <w:tcPr>
            <w:tcW w:w="1852" w:type="dxa"/>
            <w:vMerge w:val="continue"/>
          </w:tcPr>
          <w:p w14:paraId="57243F8C">
            <w:pPr>
              <w:spacing w:before="20" w:after="20" w:line="276" w:lineRule="auto"/>
              <w:jc w:val="center"/>
              <w:rPr>
                <w:rFonts w:hint="eastAsia" w:ascii="Noto Serif CJK SC" w:hAnsi="Noto Serif CJK SC" w:eastAsia="Noto Serif CJK SC"/>
                <w:b w:val="0"/>
                <w:sz w:val="18"/>
              </w:rPr>
            </w:pPr>
          </w:p>
        </w:tc>
        <w:tc>
          <w:tcPr>
            <w:tcW w:w="1567" w:type="dxa"/>
            <w:vMerge w:val="continue"/>
          </w:tcPr>
          <w:p w14:paraId="5951DBB9">
            <w:pPr>
              <w:spacing w:before="20" w:after="20" w:line="276" w:lineRule="auto"/>
              <w:jc w:val="center"/>
              <w:rPr>
                <w:rFonts w:hint="eastAsia" w:ascii="Noto Serif CJK SC" w:hAnsi="Noto Serif CJK SC" w:eastAsia="Noto Serif CJK SC"/>
                <w:b w:val="0"/>
                <w:sz w:val="18"/>
              </w:rPr>
            </w:pPr>
          </w:p>
        </w:tc>
        <w:tc>
          <w:tcPr>
            <w:tcW w:w="1770" w:type="dxa"/>
            <w:vMerge w:val="continue"/>
          </w:tcPr>
          <w:p w14:paraId="70713C02">
            <w:pPr>
              <w:spacing w:before="20" w:after="20" w:line="276" w:lineRule="auto"/>
              <w:jc w:val="center"/>
              <w:rPr>
                <w:rFonts w:hint="eastAsia" w:ascii="Noto Serif CJK SC" w:hAnsi="Noto Serif CJK SC" w:eastAsia="Noto Serif CJK SC"/>
                <w:b w:val="0"/>
                <w:sz w:val="18"/>
              </w:rPr>
            </w:pPr>
          </w:p>
        </w:tc>
      </w:tr>
    </w:tbl>
    <w:p w14:paraId="48AE921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p>
    <w:p w14:paraId="19647BE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从表3可以看出，ACTFL词表在初中级阶段总体与现有标准保持衔接，但未与任一体系形成机械等值对应。</w:t>
      </w:r>
    </w:p>
    <w:p w14:paraId="2B7BED03">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eastAsia" w:ascii="楷体" w:hAnsi="楷体" w:eastAsia="楷体" w:cs="楷体"/>
          <w:snapToGrid w:val="0"/>
          <w:color w:val="000000"/>
          <w:spacing w:val="-3"/>
          <w:kern w:val="0"/>
          <w:sz w:val="18"/>
          <w:szCs w:val="18"/>
          <w:lang w:val="en-US" w:eastAsia="zh-CN" w:bidi="ar-SA"/>
        </w:rPr>
      </w:pPr>
      <w:r>
        <w:rPr>
          <w:rFonts w:hint="eastAsia" w:ascii="Times New Roman" w:hAnsi="Times New Roman" w:eastAsia="楷体" w:cs="Times New Roman"/>
          <w:snapToGrid w:val="0"/>
          <w:color w:val="000000"/>
          <w:spacing w:val="-3"/>
          <w:kern w:val="0"/>
          <w:sz w:val="18"/>
          <w:szCs w:val="18"/>
          <w:lang w:val="en-US" w:eastAsia="zh-CN" w:bidi="ar-SA"/>
        </w:rPr>
        <w:t>表4 ACTFL中文词汇大纲各等级词量统计及跨标准来源分布对比</w:t>
      </w:r>
      <w:r>
        <w:rPr>
          <w:rStyle w:val="20"/>
          <w:rFonts w:hint="eastAsia" w:ascii="楷体" w:hAnsi="楷体" w:eastAsia="楷体" w:cs="楷体"/>
          <w:snapToGrid w:val="0"/>
          <w:color w:val="000000"/>
          <w:spacing w:val="-3"/>
          <w:kern w:val="0"/>
          <w:sz w:val="18"/>
          <w:szCs w:val="18"/>
          <w:lang w:val="en-US" w:eastAsia="zh-CN" w:bidi="ar-SA"/>
        </w:rPr>
        <w:footnoteReference w:id="0"/>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85"/>
        <w:gridCol w:w="856"/>
        <w:gridCol w:w="856"/>
        <w:gridCol w:w="1390"/>
        <w:gridCol w:w="729"/>
        <w:gridCol w:w="1274"/>
        <w:gridCol w:w="613"/>
        <w:gridCol w:w="856"/>
        <w:gridCol w:w="1275"/>
      </w:tblGrid>
      <w:tr w14:paraId="0625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0" w:hRule="atLeast"/>
          <w:jc w:val="center"/>
        </w:trPr>
        <w:tc>
          <w:tcPr>
            <w:tcW w:w="0" w:type="auto"/>
            <w:gridSpan w:val="9"/>
            <w:shd w:val="clear" w:color="auto" w:fill="FFFFFF"/>
            <w:vAlign w:val="center"/>
          </w:tcPr>
          <w:p w14:paraId="48A21DD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注：主要来源列显示占比前三的等级（≥3%），按等级由低到高排列；</w:t>
            </w:r>
          </w:p>
          <w:p w14:paraId="3EA5A6C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HSK外词数 、 PG（Proficiency Guidelines，代指《等级标准》）外词数 = 该等级中未被对应标准收录的词条数；</w:t>
            </w:r>
          </w:p>
          <w:p w14:paraId="0E9208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 = 同时见于ACTFL、HSK、PG三表的词条数</w:t>
            </w:r>
          </w:p>
        </w:tc>
      </w:tr>
      <w:tr w14:paraId="3420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0" w:type="auto"/>
            <w:shd w:val="clear" w:color="auto" w:fill="FFFFFF"/>
            <w:noWrap/>
            <w:vAlign w:val="center"/>
          </w:tcPr>
          <w:p w14:paraId="50EFCA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ACTFL等级</w:t>
            </w:r>
          </w:p>
        </w:tc>
        <w:tc>
          <w:tcPr>
            <w:tcW w:w="0" w:type="auto"/>
            <w:gridSpan w:val="2"/>
            <w:shd w:val="clear" w:color="auto" w:fill="FFFFFF"/>
            <w:noWrap/>
            <w:vAlign w:val="center"/>
          </w:tcPr>
          <w:p w14:paraId="762AC5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词量统计</w:t>
            </w:r>
          </w:p>
        </w:tc>
        <w:tc>
          <w:tcPr>
            <w:tcW w:w="0" w:type="auto"/>
            <w:gridSpan w:val="2"/>
            <w:shd w:val="clear" w:color="auto" w:fill="FFFFFF"/>
            <w:noWrap/>
            <w:vAlign w:val="center"/>
          </w:tcPr>
          <w:p w14:paraId="46720B7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来源分布</w:t>
            </w:r>
          </w:p>
        </w:tc>
        <w:tc>
          <w:tcPr>
            <w:tcW w:w="0" w:type="auto"/>
            <w:gridSpan w:val="2"/>
            <w:shd w:val="clear" w:color="auto" w:fill="FFFFFF"/>
            <w:noWrap/>
            <w:vAlign w:val="center"/>
          </w:tcPr>
          <w:p w14:paraId="4A4463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来源分布</w:t>
            </w:r>
          </w:p>
        </w:tc>
        <w:tc>
          <w:tcPr>
            <w:tcW w:w="0" w:type="auto"/>
            <w:shd w:val="clear" w:color="auto" w:fill="FFFFFF"/>
            <w:noWrap/>
            <w:vAlign w:val="center"/>
          </w:tcPr>
          <w:p w14:paraId="064A53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w:t>
            </w:r>
          </w:p>
        </w:tc>
        <w:tc>
          <w:tcPr>
            <w:tcW w:w="0" w:type="auto"/>
            <w:shd w:val="clear" w:color="auto" w:fill="FFFFFF"/>
            <w:noWrap/>
            <w:vAlign w:val="center"/>
          </w:tcPr>
          <w:p w14:paraId="421F70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仅ACTFL独有</w:t>
            </w:r>
          </w:p>
        </w:tc>
      </w:tr>
      <w:tr w14:paraId="0D82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5" w:hRule="atLeast"/>
          <w:jc w:val="center"/>
        </w:trPr>
        <w:tc>
          <w:tcPr>
            <w:tcW w:w="0" w:type="auto"/>
            <w:shd w:val="clear" w:color="auto" w:fill="FFFFFF"/>
            <w:vAlign w:val="center"/>
          </w:tcPr>
          <w:p w14:paraId="2F98E9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2063A3C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本级词量</w:t>
            </w:r>
          </w:p>
        </w:tc>
        <w:tc>
          <w:tcPr>
            <w:tcW w:w="0" w:type="auto"/>
            <w:shd w:val="clear" w:color="auto" w:fill="FFFFFF"/>
            <w:vAlign w:val="center"/>
          </w:tcPr>
          <w:p w14:paraId="329D791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本级累计</w:t>
            </w:r>
          </w:p>
        </w:tc>
        <w:tc>
          <w:tcPr>
            <w:tcW w:w="0" w:type="auto"/>
            <w:shd w:val="clear" w:color="auto" w:fill="FFFFFF"/>
            <w:vAlign w:val="center"/>
          </w:tcPr>
          <w:p w14:paraId="719AB7C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主要来源</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HSK等级</w:t>
            </w:r>
          </w:p>
        </w:tc>
        <w:tc>
          <w:tcPr>
            <w:tcW w:w="0" w:type="auto"/>
            <w:shd w:val="clear" w:color="auto" w:fill="FFFFFF"/>
            <w:vAlign w:val="center"/>
          </w:tcPr>
          <w:p w14:paraId="65AA78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HSK外</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4BB85C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主要来源</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PG等级</w:t>
            </w:r>
          </w:p>
        </w:tc>
        <w:tc>
          <w:tcPr>
            <w:tcW w:w="0" w:type="auto"/>
            <w:shd w:val="clear" w:color="auto" w:fill="FFFFFF"/>
            <w:vAlign w:val="center"/>
          </w:tcPr>
          <w:p w14:paraId="60E95D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PG外</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5CE1DB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6864B0E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仅ACTFL</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独有词数</w:t>
            </w:r>
          </w:p>
        </w:tc>
      </w:tr>
      <w:tr w14:paraId="217F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0" w:type="auto"/>
            <w:shd w:val="clear" w:color="auto" w:fill="FFFFFF"/>
            <w:vAlign w:val="center"/>
          </w:tcPr>
          <w:p w14:paraId="2815FE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Low</w:t>
            </w:r>
          </w:p>
        </w:tc>
        <w:tc>
          <w:tcPr>
            <w:tcW w:w="0" w:type="auto"/>
            <w:shd w:val="clear" w:color="auto" w:fill="FFFFFF"/>
            <w:vAlign w:val="center"/>
          </w:tcPr>
          <w:p w14:paraId="79EB96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320</w:t>
            </w:r>
          </w:p>
        </w:tc>
        <w:tc>
          <w:tcPr>
            <w:tcW w:w="0" w:type="auto"/>
            <w:shd w:val="clear" w:color="auto" w:fill="FFFFFF"/>
            <w:vAlign w:val="center"/>
          </w:tcPr>
          <w:p w14:paraId="641547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320</w:t>
            </w:r>
          </w:p>
        </w:tc>
        <w:tc>
          <w:tcPr>
            <w:tcW w:w="0" w:type="auto"/>
            <w:shd w:val="clear" w:color="auto" w:fill="FFFFFF"/>
            <w:vAlign w:val="center"/>
          </w:tcPr>
          <w:p w14:paraId="16EE03A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1  89.6%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2  7.6%</w:t>
            </w:r>
          </w:p>
        </w:tc>
        <w:tc>
          <w:tcPr>
            <w:tcW w:w="0" w:type="auto"/>
            <w:shd w:val="clear" w:color="auto" w:fill="FFFFFF"/>
            <w:vAlign w:val="center"/>
          </w:tcPr>
          <w:p w14:paraId="2CADFED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w:t>
            </w:r>
          </w:p>
        </w:tc>
        <w:tc>
          <w:tcPr>
            <w:tcW w:w="0" w:type="auto"/>
            <w:shd w:val="clear" w:color="auto" w:fill="FFFFFF"/>
            <w:vAlign w:val="center"/>
          </w:tcPr>
          <w:p w14:paraId="043426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1  91.3%</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2  7.4%</w:t>
            </w:r>
          </w:p>
        </w:tc>
        <w:tc>
          <w:tcPr>
            <w:tcW w:w="0" w:type="auto"/>
            <w:shd w:val="clear" w:color="auto" w:fill="FFFFFF"/>
            <w:vAlign w:val="center"/>
          </w:tcPr>
          <w:p w14:paraId="45DFC8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w:t>
            </w:r>
          </w:p>
        </w:tc>
        <w:tc>
          <w:tcPr>
            <w:tcW w:w="0" w:type="auto"/>
            <w:shd w:val="clear" w:color="auto" w:fill="FFFFFF"/>
            <w:vAlign w:val="center"/>
          </w:tcPr>
          <w:p w14:paraId="7A8DC3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309</w:t>
            </w:r>
          </w:p>
        </w:tc>
        <w:tc>
          <w:tcPr>
            <w:tcW w:w="0" w:type="auto"/>
            <w:shd w:val="clear" w:color="auto" w:fill="FFFFFF"/>
            <w:vAlign w:val="center"/>
          </w:tcPr>
          <w:p w14:paraId="36DE015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234A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0" w:type="auto"/>
            <w:shd w:val="clear" w:color="auto" w:fill="FFFFFF"/>
            <w:vAlign w:val="center"/>
          </w:tcPr>
          <w:p w14:paraId="5027536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Mid</w:t>
            </w:r>
          </w:p>
        </w:tc>
        <w:tc>
          <w:tcPr>
            <w:tcW w:w="0" w:type="auto"/>
            <w:shd w:val="clear" w:color="auto" w:fill="FFFFFF"/>
            <w:vAlign w:val="center"/>
          </w:tcPr>
          <w:p w14:paraId="10085AA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350</w:t>
            </w:r>
          </w:p>
        </w:tc>
        <w:tc>
          <w:tcPr>
            <w:tcW w:w="0" w:type="auto"/>
            <w:shd w:val="clear" w:color="auto" w:fill="FFFFFF"/>
            <w:vAlign w:val="center"/>
          </w:tcPr>
          <w:p w14:paraId="5C4857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670</w:t>
            </w:r>
          </w:p>
        </w:tc>
        <w:tc>
          <w:tcPr>
            <w:tcW w:w="0" w:type="auto"/>
            <w:shd w:val="clear" w:color="auto" w:fill="FFFFFF"/>
            <w:vAlign w:val="center"/>
          </w:tcPr>
          <w:p w14:paraId="546A7A8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2  48.8%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3  36.7%</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9.2%</w:t>
            </w:r>
          </w:p>
        </w:tc>
        <w:tc>
          <w:tcPr>
            <w:tcW w:w="0" w:type="auto"/>
            <w:shd w:val="clear" w:color="auto" w:fill="FFFFFF"/>
            <w:vAlign w:val="center"/>
          </w:tcPr>
          <w:p w14:paraId="181FFF6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c>
          <w:tcPr>
            <w:tcW w:w="0" w:type="auto"/>
            <w:shd w:val="clear" w:color="auto" w:fill="FFFFFF"/>
            <w:vAlign w:val="center"/>
          </w:tcPr>
          <w:p w14:paraId="49B1DDF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1  33.1%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2  55.7%</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8.9%</w:t>
            </w:r>
          </w:p>
        </w:tc>
        <w:tc>
          <w:tcPr>
            <w:tcW w:w="0" w:type="auto"/>
            <w:shd w:val="clear" w:color="auto" w:fill="FFFFFF"/>
            <w:vAlign w:val="center"/>
          </w:tcPr>
          <w:p w14:paraId="67807EB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0</w:t>
            </w:r>
          </w:p>
        </w:tc>
        <w:tc>
          <w:tcPr>
            <w:tcW w:w="0" w:type="auto"/>
            <w:shd w:val="clear" w:color="auto" w:fill="FFFFFF"/>
            <w:vAlign w:val="center"/>
          </w:tcPr>
          <w:p w14:paraId="7AB7BAD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338</w:t>
            </w:r>
          </w:p>
        </w:tc>
        <w:tc>
          <w:tcPr>
            <w:tcW w:w="0" w:type="auto"/>
            <w:shd w:val="clear" w:color="auto" w:fill="FFFFFF"/>
            <w:vAlign w:val="center"/>
          </w:tcPr>
          <w:p w14:paraId="628475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0</w:t>
            </w:r>
          </w:p>
        </w:tc>
      </w:tr>
      <w:tr w14:paraId="1EB0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9" w:hRule="atLeast"/>
          <w:jc w:val="center"/>
        </w:trPr>
        <w:tc>
          <w:tcPr>
            <w:tcW w:w="0" w:type="auto"/>
            <w:shd w:val="clear" w:color="auto" w:fill="FFFFFF"/>
            <w:vAlign w:val="center"/>
          </w:tcPr>
          <w:p w14:paraId="2D2C196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High</w:t>
            </w:r>
          </w:p>
        </w:tc>
        <w:tc>
          <w:tcPr>
            <w:tcW w:w="0" w:type="auto"/>
            <w:shd w:val="clear" w:color="auto" w:fill="FFFFFF"/>
            <w:vAlign w:val="center"/>
          </w:tcPr>
          <w:p w14:paraId="444609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580</w:t>
            </w:r>
          </w:p>
        </w:tc>
        <w:tc>
          <w:tcPr>
            <w:tcW w:w="0" w:type="auto"/>
            <w:shd w:val="clear" w:color="auto" w:fill="FFFFFF"/>
            <w:vAlign w:val="center"/>
          </w:tcPr>
          <w:p w14:paraId="4A813C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1250</w:t>
            </w:r>
          </w:p>
        </w:tc>
        <w:tc>
          <w:tcPr>
            <w:tcW w:w="0" w:type="auto"/>
            <w:shd w:val="clear" w:color="auto" w:fill="FFFFFF"/>
            <w:vAlign w:val="center"/>
          </w:tcPr>
          <w:p w14:paraId="6766E4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3  60.0%</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27.2%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9.9%</w:t>
            </w:r>
          </w:p>
        </w:tc>
        <w:tc>
          <w:tcPr>
            <w:tcW w:w="0" w:type="auto"/>
            <w:shd w:val="clear" w:color="auto" w:fill="FFFFFF"/>
            <w:vAlign w:val="center"/>
          </w:tcPr>
          <w:p w14:paraId="3E33C8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25</w:t>
            </w:r>
          </w:p>
        </w:tc>
        <w:tc>
          <w:tcPr>
            <w:tcW w:w="0" w:type="auto"/>
            <w:shd w:val="clear" w:color="auto" w:fill="FFFFFF"/>
            <w:vAlign w:val="center"/>
          </w:tcPr>
          <w:p w14:paraId="0DA580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2  44.5%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35.6%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7.4%</w:t>
            </w:r>
          </w:p>
        </w:tc>
        <w:tc>
          <w:tcPr>
            <w:tcW w:w="0" w:type="auto"/>
            <w:shd w:val="clear" w:color="auto" w:fill="FFFFFF"/>
            <w:vAlign w:val="center"/>
          </w:tcPr>
          <w:p w14:paraId="618883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w:t>
            </w:r>
          </w:p>
        </w:tc>
        <w:tc>
          <w:tcPr>
            <w:tcW w:w="0" w:type="auto"/>
            <w:shd w:val="clear" w:color="auto" w:fill="FFFFFF"/>
            <w:vAlign w:val="center"/>
          </w:tcPr>
          <w:p w14:paraId="4516827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551</w:t>
            </w:r>
          </w:p>
        </w:tc>
        <w:tc>
          <w:tcPr>
            <w:tcW w:w="0" w:type="auto"/>
            <w:shd w:val="clear" w:color="auto" w:fill="FFFFFF"/>
            <w:vAlign w:val="center"/>
          </w:tcPr>
          <w:p w14:paraId="028523E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w:t>
            </w:r>
          </w:p>
        </w:tc>
      </w:tr>
      <w:tr w14:paraId="72A7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0" w:hRule="atLeast"/>
          <w:jc w:val="center"/>
        </w:trPr>
        <w:tc>
          <w:tcPr>
            <w:tcW w:w="0" w:type="auto"/>
            <w:shd w:val="clear" w:color="auto" w:fill="FFFFFF"/>
            <w:vAlign w:val="center"/>
          </w:tcPr>
          <w:p w14:paraId="107C457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Low</w:t>
            </w:r>
          </w:p>
        </w:tc>
        <w:tc>
          <w:tcPr>
            <w:tcW w:w="0" w:type="auto"/>
            <w:shd w:val="clear" w:color="auto" w:fill="FFFFFF"/>
            <w:vAlign w:val="center"/>
          </w:tcPr>
          <w:p w14:paraId="602ACE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850</w:t>
            </w:r>
          </w:p>
        </w:tc>
        <w:tc>
          <w:tcPr>
            <w:tcW w:w="0" w:type="auto"/>
            <w:shd w:val="clear" w:color="auto" w:fill="FFFFFF"/>
            <w:vAlign w:val="center"/>
          </w:tcPr>
          <w:p w14:paraId="1339CA4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2100</w:t>
            </w:r>
          </w:p>
        </w:tc>
        <w:tc>
          <w:tcPr>
            <w:tcW w:w="0" w:type="auto"/>
            <w:shd w:val="clear" w:color="auto" w:fill="FFFFFF"/>
            <w:vAlign w:val="center"/>
          </w:tcPr>
          <w:p w14:paraId="38C67B6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3  4.5%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76.0%</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16.9%</w:t>
            </w:r>
          </w:p>
        </w:tc>
        <w:tc>
          <w:tcPr>
            <w:tcW w:w="0" w:type="auto"/>
            <w:shd w:val="clear" w:color="auto" w:fill="FFFFFF"/>
            <w:vAlign w:val="center"/>
          </w:tcPr>
          <w:p w14:paraId="1F92D1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22</w:t>
            </w:r>
          </w:p>
        </w:tc>
        <w:tc>
          <w:tcPr>
            <w:tcW w:w="0" w:type="auto"/>
            <w:shd w:val="clear" w:color="auto" w:fill="FFFFFF"/>
            <w:vAlign w:val="center"/>
          </w:tcPr>
          <w:p w14:paraId="2434DB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2  19.5%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33.8%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36.2%</w:t>
            </w:r>
          </w:p>
        </w:tc>
        <w:tc>
          <w:tcPr>
            <w:tcW w:w="0" w:type="auto"/>
            <w:shd w:val="clear" w:color="auto" w:fill="FFFFFF"/>
            <w:vAlign w:val="center"/>
          </w:tcPr>
          <w:p w14:paraId="3460C7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19</w:t>
            </w:r>
          </w:p>
        </w:tc>
        <w:tc>
          <w:tcPr>
            <w:tcW w:w="0" w:type="auto"/>
            <w:shd w:val="clear" w:color="auto" w:fill="FFFFFF"/>
            <w:vAlign w:val="center"/>
          </w:tcPr>
          <w:p w14:paraId="121FB98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814</w:t>
            </w:r>
          </w:p>
        </w:tc>
        <w:tc>
          <w:tcPr>
            <w:tcW w:w="0" w:type="auto"/>
            <w:shd w:val="clear" w:color="auto" w:fill="FFFFFF"/>
            <w:vAlign w:val="center"/>
          </w:tcPr>
          <w:p w14:paraId="5D5E01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w:t>
            </w:r>
          </w:p>
        </w:tc>
      </w:tr>
      <w:tr w14:paraId="537F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0" w:type="auto"/>
            <w:shd w:val="clear" w:color="auto" w:fill="FFFFFF"/>
            <w:vAlign w:val="center"/>
          </w:tcPr>
          <w:p w14:paraId="1A539CD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Mid</w:t>
            </w:r>
          </w:p>
        </w:tc>
        <w:tc>
          <w:tcPr>
            <w:tcW w:w="0" w:type="auto"/>
            <w:shd w:val="clear" w:color="auto" w:fill="FFFFFF"/>
            <w:vAlign w:val="center"/>
          </w:tcPr>
          <w:p w14:paraId="71ED0AD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1050</w:t>
            </w:r>
          </w:p>
        </w:tc>
        <w:tc>
          <w:tcPr>
            <w:tcW w:w="0" w:type="auto"/>
            <w:shd w:val="clear" w:color="auto" w:fill="FFFFFF"/>
            <w:vAlign w:val="center"/>
          </w:tcPr>
          <w:p w14:paraId="07BBD76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3150</w:t>
            </w:r>
          </w:p>
        </w:tc>
        <w:tc>
          <w:tcPr>
            <w:tcW w:w="0" w:type="auto"/>
            <w:shd w:val="clear" w:color="auto" w:fill="FFFFFF"/>
            <w:vAlign w:val="center"/>
          </w:tcPr>
          <w:p w14:paraId="3D5F7A7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4  10.1%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84.4%</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6  4.5%</w:t>
            </w:r>
          </w:p>
        </w:tc>
        <w:tc>
          <w:tcPr>
            <w:tcW w:w="0" w:type="auto"/>
            <w:shd w:val="clear" w:color="auto" w:fill="FFFFFF"/>
            <w:vAlign w:val="center"/>
          </w:tcPr>
          <w:p w14:paraId="3A96461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37</w:t>
            </w:r>
          </w:p>
        </w:tc>
        <w:tc>
          <w:tcPr>
            <w:tcW w:w="0" w:type="auto"/>
            <w:shd w:val="clear" w:color="auto" w:fill="FFFFFF"/>
            <w:vAlign w:val="center"/>
          </w:tcPr>
          <w:p w14:paraId="2564FF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3  33.6%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35.4%</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5  21.8%</w:t>
            </w:r>
          </w:p>
        </w:tc>
        <w:tc>
          <w:tcPr>
            <w:tcW w:w="0" w:type="auto"/>
            <w:shd w:val="clear" w:color="auto" w:fill="FFFFFF"/>
            <w:vAlign w:val="center"/>
          </w:tcPr>
          <w:p w14:paraId="61E6F25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c>
          <w:tcPr>
            <w:tcW w:w="0" w:type="auto"/>
            <w:shd w:val="clear" w:color="auto" w:fill="FFFFFF"/>
            <w:vAlign w:val="center"/>
          </w:tcPr>
          <w:p w14:paraId="13709E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1002</w:t>
            </w:r>
          </w:p>
        </w:tc>
        <w:tc>
          <w:tcPr>
            <w:tcW w:w="0" w:type="auto"/>
            <w:shd w:val="clear" w:color="auto" w:fill="FFFFFF"/>
            <w:vAlign w:val="center"/>
          </w:tcPr>
          <w:p w14:paraId="4AEF952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55F4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9" w:hRule="atLeast"/>
          <w:jc w:val="center"/>
        </w:trPr>
        <w:tc>
          <w:tcPr>
            <w:tcW w:w="0" w:type="auto"/>
            <w:shd w:val="clear" w:color="auto" w:fill="FFFFFF"/>
            <w:vAlign w:val="center"/>
          </w:tcPr>
          <w:p w14:paraId="4667124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High</w:t>
            </w:r>
          </w:p>
        </w:tc>
        <w:tc>
          <w:tcPr>
            <w:tcW w:w="0" w:type="auto"/>
            <w:shd w:val="clear" w:color="auto" w:fill="FFFFFF"/>
            <w:vAlign w:val="center"/>
          </w:tcPr>
          <w:p w14:paraId="35E0AEA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1350</w:t>
            </w:r>
          </w:p>
        </w:tc>
        <w:tc>
          <w:tcPr>
            <w:tcW w:w="0" w:type="auto"/>
            <w:shd w:val="clear" w:color="auto" w:fill="FFFFFF"/>
            <w:vAlign w:val="center"/>
          </w:tcPr>
          <w:p w14:paraId="0E3FE7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4500</w:t>
            </w:r>
          </w:p>
        </w:tc>
        <w:tc>
          <w:tcPr>
            <w:tcW w:w="0" w:type="auto"/>
            <w:shd w:val="clear" w:color="auto" w:fill="FFFFFF"/>
            <w:vAlign w:val="center"/>
          </w:tcPr>
          <w:p w14:paraId="046C67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5  41.2%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6  44.6%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7.5%</w:t>
            </w:r>
          </w:p>
        </w:tc>
        <w:tc>
          <w:tcPr>
            <w:tcW w:w="0" w:type="auto"/>
            <w:shd w:val="clear" w:color="auto" w:fill="FFFFFF"/>
            <w:vAlign w:val="center"/>
          </w:tcPr>
          <w:p w14:paraId="2A74C1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w:t>
            </w:r>
          </w:p>
        </w:tc>
        <w:tc>
          <w:tcPr>
            <w:tcW w:w="0" w:type="auto"/>
            <w:shd w:val="clear" w:color="auto" w:fill="FFFFFF"/>
            <w:vAlign w:val="center"/>
          </w:tcPr>
          <w:p w14:paraId="58781E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4  15.8%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5  52.3%</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6  15.0%</w:t>
            </w:r>
          </w:p>
        </w:tc>
        <w:tc>
          <w:tcPr>
            <w:tcW w:w="0" w:type="auto"/>
            <w:shd w:val="clear" w:color="auto" w:fill="FFFFFF"/>
            <w:vAlign w:val="center"/>
          </w:tcPr>
          <w:p w14:paraId="334BAB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52</w:t>
            </w:r>
          </w:p>
        </w:tc>
        <w:tc>
          <w:tcPr>
            <w:tcW w:w="0" w:type="auto"/>
            <w:shd w:val="clear" w:color="auto" w:fill="FFFFFF"/>
            <w:vAlign w:val="center"/>
          </w:tcPr>
          <w:p w14:paraId="54A0ECC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1232</w:t>
            </w:r>
          </w:p>
        </w:tc>
        <w:tc>
          <w:tcPr>
            <w:tcW w:w="0" w:type="auto"/>
            <w:shd w:val="clear" w:color="auto" w:fill="FFFFFF"/>
            <w:vAlign w:val="center"/>
          </w:tcPr>
          <w:p w14:paraId="0BB1FA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13BE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0" w:type="auto"/>
            <w:shd w:val="clear" w:color="auto" w:fill="FFFFFF"/>
            <w:vAlign w:val="center"/>
          </w:tcPr>
          <w:p w14:paraId="0CBB333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Low</w:t>
            </w:r>
          </w:p>
        </w:tc>
        <w:tc>
          <w:tcPr>
            <w:tcW w:w="0" w:type="auto"/>
            <w:shd w:val="clear" w:color="auto" w:fill="FFFFFF"/>
            <w:vAlign w:val="center"/>
          </w:tcPr>
          <w:p w14:paraId="0EF6257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1500</w:t>
            </w:r>
          </w:p>
        </w:tc>
        <w:tc>
          <w:tcPr>
            <w:tcW w:w="0" w:type="auto"/>
            <w:shd w:val="clear" w:color="auto" w:fill="FFFFFF"/>
            <w:vAlign w:val="center"/>
          </w:tcPr>
          <w:p w14:paraId="33569AB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6000</w:t>
            </w:r>
          </w:p>
        </w:tc>
        <w:tc>
          <w:tcPr>
            <w:tcW w:w="0" w:type="auto"/>
            <w:shd w:val="clear" w:color="auto" w:fill="FFFFFF"/>
            <w:vAlign w:val="center"/>
          </w:tcPr>
          <w:p w14:paraId="02DD378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6  75.8%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22.7%</w:t>
            </w:r>
          </w:p>
        </w:tc>
        <w:tc>
          <w:tcPr>
            <w:tcW w:w="0" w:type="auto"/>
            <w:shd w:val="clear" w:color="auto" w:fill="FFFFFF"/>
            <w:vAlign w:val="center"/>
          </w:tcPr>
          <w:p w14:paraId="6D29ADF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66</w:t>
            </w:r>
          </w:p>
        </w:tc>
        <w:tc>
          <w:tcPr>
            <w:tcW w:w="0" w:type="auto"/>
            <w:shd w:val="clear" w:color="auto" w:fill="FFFFFF"/>
            <w:vAlign w:val="center"/>
          </w:tcPr>
          <w:p w14:paraId="6D3410B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5  3.2%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6  51.1%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高等  43.3%</w:t>
            </w:r>
          </w:p>
        </w:tc>
        <w:tc>
          <w:tcPr>
            <w:tcW w:w="0" w:type="auto"/>
            <w:shd w:val="clear" w:color="auto" w:fill="FFFFFF"/>
            <w:vAlign w:val="center"/>
          </w:tcPr>
          <w:p w14:paraId="7540DB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76</w:t>
            </w:r>
          </w:p>
        </w:tc>
        <w:tc>
          <w:tcPr>
            <w:tcW w:w="0" w:type="auto"/>
            <w:shd w:val="clear" w:color="auto" w:fill="FFFFFF"/>
            <w:vAlign w:val="center"/>
          </w:tcPr>
          <w:p w14:paraId="1C58CC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1370</w:t>
            </w:r>
          </w:p>
        </w:tc>
        <w:tc>
          <w:tcPr>
            <w:tcW w:w="0" w:type="auto"/>
            <w:shd w:val="clear" w:color="auto" w:fill="FFFFFF"/>
            <w:vAlign w:val="center"/>
          </w:tcPr>
          <w:p w14:paraId="48AC40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r>
      <w:tr w14:paraId="7029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0" w:type="auto"/>
            <w:shd w:val="clear" w:color="auto" w:fill="FFFFFF"/>
            <w:vAlign w:val="center"/>
          </w:tcPr>
          <w:p w14:paraId="3CE87E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Mid</w:t>
            </w:r>
          </w:p>
        </w:tc>
        <w:tc>
          <w:tcPr>
            <w:tcW w:w="0" w:type="auto"/>
            <w:shd w:val="clear" w:color="auto" w:fill="FFFFFF"/>
            <w:vAlign w:val="center"/>
          </w:tcPr>
          <w:p w14:paraId="0850C4E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2000</w:t>
            </w:r>
          </w:p>
        </w:tc>
        <w:tc>
          <w:tcPr>
            <w:tcW w:w="0" w:type="auto"/>
            <w:shd w:val="clear" w:color="auto" w:fill="FFFFFF"/>
            <w:vAlign w:val="center"/>
          </w:tcPr>
          <w:p w14:paraId="3CCC95C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8000</w:t>
            </w:r>
          </w:p>
        </w:tc>
        <w:tc>
          <w:tcPr>
            <w:tcW w:w="0" w:type="auto"/>
            <w:shd w:val="clear" w:color="auto" w:fill="FFFFFF"/>
            <w:vAlign w:val="center"/>
          </w:tcPr>
          <w:p w14:paraId="2BBBF7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6  3.5%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96.4%</w:t>
            </w:r>
          </w:p>
        </w:tc>
        <w:tc>
          <w:tcPr>
            <w:tcW w:w="0" w:type="auto"/>
            <w:shd w:val="clear" w:color="auto" w:fill="FFFFFF"/>
            <w:vAlign w:val="center"/>
          </w:tcPr>
          <w:p w14:paraId="630A4F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94</w:t>
            </w:r>
          </w:p>
        </w:tc>
        <w:tc>
          <w:tcPr>
            <w:tcW w:w="0" w:type="auto"/>
            <w:shd w:val="clear" w:color="auto" w:fill="FFFFFF"/>
            <w:vAlign w:val="center"/>
          </w:tcPr>
          <w:p w14:paraId="37951D5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高等  98.5%</w:t>
            </w:r>
          </w:p>
        </w:tc>
        <w:tc>
          <w:tcPr>
            <w:tcW w:w="0" w:type="auto"/>
            <w:shd w:val="clear" w:color="auto" w:fill="FFFFFF"/>
            <w:vAlign w:val="center"/>
          </w:tcPr>
          <w:p w14:paraId="30BA6A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211</w:t>
            </w:r>
          </w:p>
        </w:tc>
        <w:tc>
          <w:tcPr>
            <w:tcW w:w="0" w:type="auto"/>
            <w:shd w:val="clear" w:color="auto" w:fill="FFFFFF"/>
            <w:vAlign w:val="center"/>
          </w:tcPr>
          <w:p w14:paraId="06A635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1745</w:t>
            </w:r>
          </w:p>
        </w:tc>
        <w:tc>
          <w:tcPr>
            <w:tcW w:w="0" w:type="auto"/>
            <w:shd w:val="clear" w:color="auto" w:fill="FFFFFF"/>
            <w:vAlign w:val="center"/>
          </w:tcPr>
          <w:p w14:paraId="4E60B0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50</w:t>
            </w:r>
          </w:p>
        </w:tc>
      </w:tr>
      <w:tr w14:paraId="1CD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0" w:type="auto"/>
            <w:shd w:val="clear" w:color="auto" w:fill="FFFFFF"/>
            <w:vAlign w:val="center"/>
          </w:tcPr>
          <w:p w14:paraId="55FA5DA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High+</w:t>
            </w:r>
          </w:p>
        </w:tc>
        <w:tc>
          <w:tcPr>
            <w:tcW w:w="0" w:type="auto"/>
            <w:shd w:val="clear" w:color="auto" w:fill="FFFFFF"/>
            <w:vAlign w:val="center"/>
          </w:tcPr>
          <w:p w14:paraId="516460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4000</w:t>
            </w:r>
          </w:p>
        </w:tc>
        <w:tc>
          <w:tcPr>
            <w:tcW w:w="0" w:type="auto"/>
            <w:shd w:val="clear" w:color="auto" w:fill="FFFFFF"/>
            <w:vAlign w:val="center"/>
          </w:tcPr>
          <w:p w14:paraId="23AD86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0ED7950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高等  99.8%</w:t>
            </w:r>
          </w:p>
        </w:tc>
        <w:tc>
          <w:tcPr>
            <w:tcW w:w="0" w:type="auto"/>
            <w:shd w:val="clear" w:color="auto" w:fill="FFFFFF"/>
            <w:vAlign w:val="center"/>
          </w:tcPr>
          <w:p w14:paraId="21481D9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672</w:t>
            </w:r>
          </w:p>
        </w:tc>
        <w:tc>
          <w:tcPr>
            <w:tcW w:w="0" w:type="auto"/>
            <w:shd w:val="clear" w:color="auto" w:fill="FFFFFF"/>
            <w:vAlign w:val="center"/>
          </w:tcPr>
          <w:p w14:paraId="6465C87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高等  97.7%</w:t>
            </w:r>
          </w:p>
        </w:tc>
        <w:tc>
          <w:tcPr>
            <w:tcW w:w="0" w:type="auto"/>
            <w:shd w:val="clear" w:color="auto" w:fill="FFFFFF"/>
            <w:vAlign w:val="center"/>
          </w:tcPr>
          <w:p w14:paraId="5CD597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1121</w:t>
            </w:r>
          </w:p>
        </w:tc>
        <w:tc>
          <w:tcPr>
            <w:tcW w:w="0" w:type="auto"/>
            <w:shd w:val="clear" w:color="auto" w:fill="FFFFFF"/>
            <w:vAlign w:val="center"/>
          </w:tcPr>
          <w:p w14:paraId="47AE0B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2461</w:t>
            </w:r>
          </w:p>
        </w:tc>
        <w:tc>
          <w:tcPr>
            <w:tcW w:w="0" w:type="auto"/>
            <w:shd w:val="clear" w:color="auto" w:fill="FFFFFF"/>
            <w:vAlign w:val="center"/>
          </w:tcPr>
          <w:p w14:paraId="2F6403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254</w:t>
            </w:r>
          </w:p>
        </w:tc>
      </w:tr>
      <w:tr w14:paraId="3180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40" w:hRule="atLeast"/>
          <w:jc w:val="center"/>
        </w:trPr>
        <w:tc>
          <w:tcPr>
            <w:tcW w:w="0" w:type="auto"/>
            <w:shd w:val="clear" w:color="auto" w:fill="FFFFFF"/>
            <w:vAlign w:val="center"/>
          </w:tcPr>
          <w:p w14:paraId="0C3F11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合计 Total</w:t>
            </w:r>
          </w:p>
        </w:tc>
        <w:tc>
          <w:tcPr>
            <w:tcW w:w="0" w:type="auto"/>
            <w:shd w:val="clear" w:color="auto" w:fill="FFFFFF"/>
            <w:vAlign w:val="center"/>
          </w:tcPr>
          <w:p w14:paraId="798745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4B86F42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394EF0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4548441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999</w:t>
            </w:r>
          </w:p>
        </w:tc>
        <w:tc>
          <w:tcPr>
            <w:tcW w:w="0" w:type="auto"/>
            <w:shd w:val="clear" w:color="auto" w:fill="FFFFFF"/>
            <w:vAlign w:val="center"/>
          </w:tcPr>
          <w:p w14:paraId="0F08A6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276070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1508</w:t>
            </w:r>
          </w:p>
        </w:tc>
        <w:tc>
          <w:tcPr>
            <w:tcW w:w="0" w:type="auto"/>
            <w:shd w:val="clear" w:color="auto" w:fill="FFFFFF"/>
            <w:vAlign w:val="center"/>
          </w:tcPr>
          <w:p w14:paraId="68746A8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9822</w:t>
            </w:r>
          </w:p>
        </w:tc>
        <w:tc>
          <w:tcPr>
            <w:tcW w:w="0" w:type="auto"/>
            <w:shd w:val="clear" w:color="auto" w:fill="FFFFFF"/>
            <w:vAlign w:val="center"/>
          </w:tcPr>
          <w:p w14:paraId="269274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329</w:t>
            </w:r>
          </w:p>
        </w:tc>
      </w:tr>
    </w:tbl>
    <w:p w14:paraId="723B4A1F">
      <w:pPr>
        <w:keepNext w:val="0"/>
        <w:keepLines w:val="0"/>
        <w:pageBreakBefore w:val="0"/>
        <w:widowControl/>
        <w:kinsoku w:val="0"/>
        <w:wordWrap/>
        <w:overflowPunct/>
        <w:topLinePunct w:val="0"/>
        <w:autoSpaceDE w:val="0"/>
        <w:autoSpaceDN w:val="0"/>
        <w:bidi w:val="0"/>
        <w:adjustRightInd w:val="0"/>
        <w:snapToGrid w:val="0"/>
        <w:spacing w:line="240" w:lineRule="auto"/>
        <w:ind w:left="0"/>
        <w:jc w:val="both"/>
        <w:textAlignment w:val="baseline"/>
        <w:rPr>
          <w:rFonts w:hint="eastAsia" w:ascii="楷体" w:hAnsi="楷体" w:eastAsia="楷体" w:cs="楷体"/>
          <w:snapToGrid w:val="0"/>
          <w:color w:val="000000"/>
          <w:spacing w:val="-3"/>
          <w:kern w:val="0"/>
          <w:sz w:val="18"/>
          <w:szCs w:val="18"/>
          <w:lang w:val="en-US" w:eastAsia="zh-CN" w:bidi="ar-SA"/>
        </w:rPr>
      </w:pPr>
    </w:p>
    <w:p w14:paraId="25075829">
      <w:pPr>
        <w:keepNext w:val="0"/>
        <w:keepLines w:val="0"/>
        <w:pageBreakBefore w:val="0"/>
        <w:widowControl/>
        <w:kinsoku w:val="0"/>
        <w:wordWrap/>
        <w:overflowPunct/>
        <w:topLinePunct w:val="0"/>
        <w:autoSpaceDE w:val="0"/>
        <w:autoSpaceDN w:val="0"/>
        <w:bidi w:val="0"/>
        <w:adjustRightInd w:val="0"/>
        <w:snapToGrid w:val="0"/>
        <w:spacing w:line="240" w:lineRule="auto"/>
        <w:ind w:left="0"/>
        <w:jc w:val="both"/>
        <w:textAlignment w:val="baseline"/>
      </w:pPr>
      <w:r>
        <w:drawing>
          <wp:inline distT="0" distB="0" distL="114300" distR="114300">
            <wp:extent cx="6047740" cy="3227070"/>
            <wp:effectExtent l="4445" t="4445" r="5715" b="698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F05386">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楷体" w:hAnsi="楷体" w:eastAsia="楷体" w:cs="楷体"/>
          <w:snapToGrid w:val="0"/>
          <w:color w:val="000000"/>
          <w:spacing w:val="-3"/>
          <w:kern w:val="0"/>
          <w:sz w:val="18"/>
          <w:szCs w:val="18"/>
          <w:lang w:val="en-US" w:eastAsia="zh-CN" w:bidi="ar-SA"/>
        </w:rPr>
      </w:pPr>
      <w:r>
        <w:rPr>
          <w:rFonts w:hint="eastAsia" w:ascii="楷体" w:hAnsi="楷体" w:eastAsia="楷体" w:cs="楷体"/>
          <w:snapToGrid w:val="0"/>
          <w:color w:val="000000"/>
          <w:spacing w:val="-3"/>
          <w:kern w:val="0"/>
          <w:sz w:val="18"/>
          <w:szCs w:val="18"/>
          <w:lang w:val="en-US" w:eastAsia="zh-CN" w:bidi="ar-SA"/>
        </w:rPr>
        <w:t>图2 ACTFL 词表各等级词汇量构成比例</w:t>
      </w:r>
    </w:p>
    <w:p w14:paraId="6B857EA1">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具体而言，从</w:t>
      </w:r>
      <w:r>
        <w:rPr>
          <w:rFonts w:hint="eastAsia" w:ascii="Times New Roman" w:hAnsi="Times New Roman" w:eastAsia="宋体" w:cs="Times New Roman"/>
          <w:b w:val="0"/>
          <w:bCs w:val="0"/>
          <w:color w:val="000000"/>
          <w:sz w:val="22"/>
          <w:szCs w:val="22"/>
          <w:lang w:val="en-US" w:eastAsia="zh-CN"/>
        </w:rPr>
        <w:t>表4</w:t>
      </w:r>
      <w:r>
        <w:rPr>
          <w:rFonts w:hint="eastAsia" w:ascii="Times New Roman" w:hAnsi="Times New Roman" w:cs="Times New Roman"/>
          <w:b w:val="0"/>
          <w:bCs w:val="0"/>
          <w:color w:val="000000"/>
          <w:sz w:val="22"/>
          <w:szCs w:val="22"/>
          <w:lang w:val="en-US" w:eastAsia="zh-CN"/>
        </w:rPr>
        <w:t>和图2</w:t>
      </w:r>
      <w:r>
        <w:rPr>
          <w:rFonts w:hint="eastAsia" w:ascii="Times New Roman" w:hAnsi="Times New Roman" w:eastAsia="宋体" w:cs="Times New Roman"/>
          <w:b w:val="0"/>
          <w:bCs w:val="0"/>
          <w:color w:val="000000"/>
          <w:sz w:val="22"/>
          <w:szCs w:val="22"/>
          <w:lang w:val="en-US" w:eastAsia="zh-CN"/>
        </w:rPr>
        <w:t>可以看出，ACTFL词表在初中级阶段与HSK和《等级标准》保持了较高一致性。自Novice Low至Intermediate High，各等级三表共有词比例均超过91%。这说明ACTFL在基础词汇配置上总体延续了现有标准体系的核心范围，而不是另起炉灶、自建一套完全独立的词汇系统。相比之下，差异主要集中在高级阶段。ACTFL超出HSK和《等级标准》的词语，在Advanced Low阶段分别为66个和76个，Advanced Mid阶段为94个和211个，至Advanced High+阶段则扩大为672个和1121个。全表范围内，ACTFL超出HSK和《等级标准》的词语分别为999个和1508个，但真正仅为ACTFL独有的词语仅329个，占总词量的2.7%，且其中254个集中在Advanced High+阶段。由此可见，ACTFL词表并非从基础层级起就大规模改写既有标准，而是在总体延续现有标准核心范围的基础上，主要于高级阶段作面向美国中文教学需求的补充性扩展。</w:t>
      </w:r>
    </w:p>
    <w:p w14:paraId="19D1E189">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（二）差异项的主要类型及其教学解释</w:t>
      </w:r>
    </w:p>
    <w:p w14:paraId="41CBB95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词表与HSK、《等级标准》的差异，主要体现在两个方面：一是部分词语仅见于ACTFL词表，而未被另外两套体系收录；二是部分词语虽在三套体系中均有出现，但其进入阶段并不一致。前者反映收词范围和内容覆盖的差异，后者体现词汇配置顺序的差异。</w:t>
      </w:r>
    </w:p>
    <w:p w14:paraId="21CBB9EA">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Arial" w:cs="Times New Roman"/>
          <w:b w:val="0"/>
          <w:bCs w:val="0"/>
          <w:i w:val="0"/>
          <w:iCs w:val="0"/>
          <w:color w:val="000000"/>
          <w:sz w:val="22"/>
          <w:szCs w:val="22"/>
          <w:lang w:val="en-US" w:eastAsia="zh-CN"/>
        </w:rPr>
      </w:pPr>
      <w:r>
        <w:rPr>
          <w:rFonts w:hint="default" w:ascii="Times New Roman" w:hAnsi="Times New Roman" w:eastAsia="楷体" w:cs="Times New Roman"/>
          <w:snapToGrid w:val="0"/>
          <w:color w:val="000000"/>
          <w:spacing w:val="-3"/>
          <w:kern w:val="0"/>
          <w:sz w:val="18"/>
          <w:szCs w:val="18"/>
          <w:lang w:val="en-US" w:eastAsia="zh-CN" w:bidi="ar-SA"/>
        </w:rPr>
        <w:t>表5 ACTFL量表独有词汇示例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481"/>
        <w:gridCol w:w="5144"/>
      </w:tblGrid>
      <w:tr w14:paraId="1C29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21D5451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层级范围</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133060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类别</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004DB6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代表词语</w:t>
            </w:r>
          </w:p>
        </w:tc>
      </w:tr>
      <w:tr w14:paraId="0676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0E3E4E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F069F3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美国国情、文化类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21C161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美国、感恩节</w:t>
            </w:r>
          </w:p>
        </w:tc>
      </w:tr>
      <w:tr w14:paraId="7DF2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BE7F01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EB8FF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饮食与日常生活类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D694D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汉堡、青菜、餐具、甜点、红烧、吃素、桔子</w:t>
            </w:r>
          </w:p>
        </w:tc>
      </w:tr>
      <w:tr w14:paraId="1397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E99F35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2B7A23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日常表达类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938051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马马虎虎、上线、电子、名胜古迹、T恤衫</w:t>
            </w:r>
          </w:p>
        </w:tc>
      </w:tr>
      <w:tr w14:paraId="7DF6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D871A0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0C698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美国政治制度类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EC01CF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共和党、民主党、国务卿、众议院、众议员、修正案、所得税、提案</w:t>
            </w:r>
          </w:p>
        </w:tc>
      </w:tr>
      <w:tr w14:paraId="710B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5BC6B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1C9604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社会法律议题类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3773B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死刑、无期徒刑、有期徒刑、堕胎、安全套、性行为、贩毒、色情</w:t>
            </w:r>
          </w:p>
        </w:tc>
      </w:tr>
      <w:tr w14:paraId="5998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5FC44C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00BC467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当代社会类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07761E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自拍、蹿红、草根、蚁族、纠结、考研、知名度、高清、民宿、情商</w:t>
            </w:r>
          </w:p>
        </w:tc>
      </w:tr>
      <w:tr w14:paraId="6A3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26745AF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7C8914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中国历史、政策类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1112F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共产党、计划生育、独生子女、民国、公有制、大锅饭</w:t>
            </w:r>
          </w:p>
        </w:tc>
      </w:tr>
      <w:tr w14:paraId="5E69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953A91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1D4E86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成语与固定搭配类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B2594D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一劳永逸、一视同仁、别出心裁、归根结底、不思进取、完美无缺</w:t>
            </w:r>
          </w:p>
        </w:tc>
      </w:tr>
      <w:tr w14:paraId="3EFA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538BAE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7F2F1D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其他高级书面词类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B5ABF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同龄人、知情人、经销商、眼眶、积分、黑洞、附录等</w:t>
            </w:r>
          </w:p>
        </w:tc>
      </w:tr>
    </w:tbl>
    <w:p w14:paraId="6AAF1EDA">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表5显示，初中级阶段的独有词数量有限，主要集中于美国国情、饮食生活和日常表达等类型，如“美国”“感恩节”“汉堡”“餐具”“吃素”“马马虎虎”“T恤衫”等。这类词语虽不构成大规模增补，却较集中地反映了美国中文课堂中的本土文化环境和日常交际需求。相比之下，高级阶段的独有词明显增多，主要集中于美国政治制度、社会法律议题、当代社会、中国历史政策、成语与固定搭配以及高级书面表达等领域，如“共和党”“众议院”“死刑”“堕胎”“自拍”“蚁族”“计划生育”“一劳永逸”“同龄人”等。由此可见，ACTFL独有词并非零散拼接，而主要服务于本土课堂需求和高级阶段的议题表达、专题阅读及书面表达。</w:t>
      </w:r>
    </w:p>
    <w:p w14:paraId="73BA5E56">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尽管</w:t>
      </w:r>
      <w:r>
        <w:rPr>
          <w:rFonts w:hint="eastAsia" w:ascii="Times New Roman" w:hAnsi="Times New Roman" w:eastAsia="宋体" w:cs="Times New Roman"/>
          <w:b w:val="0"/>
          <w:bCs w:val="0"/>
          <w:color w:val="000000"/>
          <w:sz w:val="22"/>
          <w:szCs w:val="22"/>
          <w:lang w:val="en-US" w:eastAsia="zh-CN"/>
        </w:rPr>
        <w:t>ACTFL的Novice和Intermediate阶段并不与HSK或《等级标准》1—6级构成严格等值关系，</w:t>
      </w:r>
      <w:r>
        <w:rPr>
          <w:rFonts w:hint="eastAsia" w:ascii="Times New Roman" w:hAnsi="Times New Roman" w:cs="Times New Roman"/>
          <w:b w:val="0"/>
          <w:bCs w:val="0"/>
          <w:color w:val="000000"/>
          <w:sz w:val="22"/>
          <w:szCs w:val="22"/>
          <w:lang w:val="en-US" w:eastAsia="zh-CN"/>
        </w:rPr>
        <w:t>但观察</w:t>
      </w:r>
      <w:r>
        <w:rPr>
          <w:rFonts w:hint="eastAsia" w:ascii="Times New Roman" w:hAnsi="Times New Roman" w:eastAsia="宋体" w:cs="Times New Roman"/>
          <w:b w:val="0"/>
          <w:bCs w:val="0"/>
          <w:color w:val="000000"/>
          <w:sz w:val="22"/>
          <w:szCs w:val="22"/>
          <w:lang w:val="en-US" w:eastAsia="zh-CN"/>
        </w:rPr>
        <w:t>不同词表在词语进入阶段上的差异</w:t>
      </w:r>
      <w:r>
        <w:rPr>
          <w:rFonts w:hint="eastAsia" w:ascii="Times New Roman" w:hAnsi="Times New Roman" w:cs="Times New Roman"/>
          <w:b w:val="0"/>
          <w:bCs w:val="0"/>
          <w:color w:val="000000"/>
          <w:sz w:val="22"/>
          <w:szCs w:val="22"/>
          <w:lang w:val="en-US" w:eastAsia="zh-CN"/>
        </w:rPr>
        <w:t>依然存在启发意义。</w:t>
      </w:r>
      <w:r>
        <w:rPr>
          <w:rFonts w:hint="eastAsia" w:ascii="Times New Roman" w:hAnsi="Times New Roman" w:eastAsia="宋体" w:cs="Times New Roman"/>
          <w:b w:val="0"/>
          <w:bCs w:val="0"/>
          <w:color w:val="000000"/>
          <w:sz w:val="22"/>
          <w:szCs w:val="22"/>
          <w:lang w:val="en-US" w:eastAsia="zh-CN"/>
        </w:rPr>
        <w:t>从现有数据看，一些在HSK或《等级标准》中被列入较高等级甚至高等的词语，在ACTFL词表中已进入初中级阶段。比如，在HSK中均属高等词</w:t>
      </w:r>
      <w:r>
        <w:rPr>
          <w:rFonts w:hint="eastAsia" w:ascii="Times New Roman" w:hAnsi="Times New Roman" w:cs="Times New Roman"/>
          <w:b w:val="0"/>
          <w:bCs w:val="0"/>
          <w:color w:val="000000"/>
          <w:sz w:val="22"/>
          <w:szCs w:val="22"/>
          <w:lang w:val="en-US" w:eastAsia="zh-CN"/>
        </w:rPr>
        <w:t>的</w:t>
      </w:r>
      <w:r>
        <w:rPr>
          <w:rFonts w:hint="eastAsia" w:ascii="Times New Roman" w:hAnsi="Times New Roman" w:eastAsia="宋体" w:cs="Times New Roman"/>
          <w:b w:val="0"/>
          <w:bCs w:val="0"/>
          <w:color w:val="000000"/>
          <w:sz w:val="22"/>
          <w:szCs w:val="22"/>
          <w:lang w:val="en-US" w:eastAsia="zh-CN"/>
        </w:rPr>
        <w:t>“</w:t>
      </w:r>
      <w:r>
        <w:rPr>
          <w:rFonts w:hint="eastAsia" w:ascii="Times New Roman" w:hAnsi="Times New Roman" w:cs="Times New Roman"/>
          <w:b w:val="0"/>
          <w:bCs w:val="0"/>
          <w:color w:val="000000"/>
          <w:sz w:val="22"/>
          <w:szCs w:val="22"/>
          <w:lang w:val="en-US" w:eastAsia="zh-CN"/>
        </w:rPr>
        <w:t>乐队、</w:t>
      </w:r>
      <w:r>
        <w:rPr>
          <w:rFonts w:hint="eastAsia" w:ascii="Times New Roman" w:hAnsi="Times New Roman" w:eastAsia="宋体" w:cs="Times New Roman"/>
          <w:b w:val="0"/>
          <w:bCs w:val="0"/>
          <w:color w:val="000000"/>
          <w:sz w:val="22"/>
          <w:szCs w:val="22"/>
          <w:lang w:val="en-US" w:eastAsia="zh-CN"/>
        </w:rPr>
        <w:t>志愿”“家教</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辩论”“义工</w:t>
      </w:r>
      <w:r>
        <w:rPr>
          <w:rFonts w:hint="eastAsia" w:ascii="Times New Roman" w:hAnsi="Times New Roman" w:cs="Times New Roman"/>
          <w:b w:val="0"/>
          <w:bCs w:val="0"/>
          <w:color w:val="000000"/>
          <w:sz w:val="22"/>
          <w:szCs w:val="22"/>
          <w:lang w:val="en-US" w:eastAsia="zh-CN"/>
        </w:rPr>
        <w:t>、主页、</w:t>
      </w:r>
      <w:r>
        <w:rPr>
          <w:rFonts w:hint="eastAsia" w:ascii="Times New Roman" w:hAnsi="Times New Roman" w:eastAsia="宋体" w:cs="Times New Roman"/>
          <w:b w:val="0"/>
          <w:bCs w:val="0"/>
          <w:color w:val="000000"/>
          <w:sz w:val="22"/>
          <w:szCs w:val="22"/>
          <w:lang w:val="en-US" w:eastAsia="zh-CN"/>
        </w:rPr>
        <w:t>粉丝”</w:t>
      </w:r>
      <w:r>
        <w:rPr>
          <w:rFonts w:hint="eastAsia" w:ascii="Times New Roman" w:hAnsi="Times New Roman" w:cs="Times New Roman"/>
          <w:b w:val="0"/>
          <w:bCs w:val="0"/>
          <w:color w:val="000000"/>
          <w:sz w:val="22"/>
          <w:szCs w:val="22"/>
          <w:lang w:val="en-US" w:eastAsia="zh-CN"/>
        </w:rPr>
        <w:t>“专辑、唱片、吸毒、黑客、国民、华人”分别进入</w:t>
      </w:r>
      <w:r>
        <w:rPr>
          <w:rFonts w:hint="eastAsia" w:ascii="Times New Roman" w:hAnsi="Times New Roman" w:eastAsia="宋体" w:cs="Times New Roman"/>
          <w:b w:val="0"/>
          <w:bCs w:val="0"/>
          <w:color w:val="000000"/>
          <w:sz w:val="22"/>
          <w:szCs w:val="22"/>
          <w:lang w:val="en-US" w:eastAsia="zh-CN"/>
        </w:rPr>
        <w:t>在ACTFL</w:t>
      </w:r>
      <w:r>
        <w:rPr>
          <w:rFonts w:hint="eastAsia" w:ascii="Times New Roman" w:hAnsi="Times New Roman" w:cs="Times New Roman"/>
          <w:b w:val="0"/>
          <w:bCs w:val="0"/>
          <w:color w:val="000000"/>
          <w:sz w:val="22"/>
          <w:szCs w:val="22"/>
          <w:lang w:val="en-US" w:eastAsia="zh-CN"/>
        </w:rPr>
        <w:t>的</w:t>
      </w:r>
      <w:r>
        <w:rPr>
          <w:rFonts w:hint="eastAsia" w:ascii="Times New Roman" w:hAnsi="Times New Roman" w:eastAsia="宋体" w:cs="Times New Roman"/>
          <w:b w:val="0"/>
          <w:bCs w:val="0"/>
          <w:color w:val="000000"/>
          <w:sz w:val="22"/>
          <w:szCs w:val="22"/>
          <w:lang w:val="en-US" w:eastAsia="zh-CN"/>
        </w:rPr>
        <w:t>Novice High</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Intermediate Low</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Intermediate Mid</w:t>
      </w:r>
      <w:r>
        <w:rPr>
          <w:rFonts w:hint="eastAsia" w:ascii="Times New Roman" w:hAnsi="Times New Roman" w:cs="Times New Roman"/>
          <w:b w:val="0"/>
          <w:bCs w:val="0"/>
          <w:color w:val="000000"/>
          <w:sz w:val="22"/>
          <w:szCs w:val="22"/>
          <w:lang w:val="en-US" w:eastAsia="zh-CN"/>
        </w:rPr>
        <w:t>以及</w:t>
      </w:r>
      <w:r>
        <w:rPr>
          <w:rFonts w:hint="eastAsia" w:ascii="Times New Roman" w:hAnsi="Times New Roman" w:eastAsia="宋体" w:cs="Times New Roman"/>
          <w:b w:val="0"/>
          <w:bCs w:val="0"/>
          <w:color w:val="000000"/>
          <w:sz w:val="22"/>
          <w:szCs w:val="22"/>
          <w:lang w:val="en-US" w:eastAsia="zh-CN"/>
        </w:rPr>
        <w:t>Intermediate High。《等级标准》中也可见类似现象，如“</w:t>
      </w:r>
      <w:r>
        <w:rPr>
          <w:rFonts w:hint="eastAsia" w:ascii="Times New Roman" w:hAnsi="Times New Roman" w:cs="Times New Roman"/>
          <w:b w:val="0"/>
          <w:bCs w:val="0"/>
          <w:color w:val="000000"/>
          <w:sz w:val="22"/>
          <w:szCs w:val="22"/>
          <w:lang w:val="en-US" w:eastAsia="zh-CN"/>
        </w:rPr>
        <w:t>红灯、绿灯、小区、乒乓球</w:t>
      </w:r>
      <w:r>
        <w:rPr>
          <w:rFonts w:hint="eastAsia" w:ascii="Times New Roman" w:hAnsi="Times New Roman" w:eastAsia="宋体" w:cs="Times New Roman"/>
          <w:b w:val="0"/>
          <w:bCs w:val="0"/>
          <w:color w:val="000000"/>
          <w:sz w:val="22"/>
          <w:szCs w:val="22"/>
          <w:lang w:val="en-US" w:eastAsia="zh-CN"/>
        </w:rPr>
        <w:t>”等</w:t>
      </w:r>
      <w:r>
        <w:rPr>
          <w:rFonts w:hint="eastAsia" w:ascii="Times New Roman" w:hAnsi="Times New Roman" w:cs="Times New Roman"/>
          <w:b w:val="0"/>
          <w:bCs w:val="0"/>
          <w:color w:val="000000"/>
          <w:sz w:val="22"/>
          <w:szCs w:val="22"/>
          <w:lang w:val="en-US" w:eastAsia="zh-CN"/>
        </w:rPr>
        <w:t>高等词汇</w:t>
      </w:r>
      <w:r>
        <w:rPr>
          <w:rFonts w:hint="eastAsia" w:ascii="Times New Roman" w:hAnsi="Times New Roman" w:eastAsia="宋体" w:cs="Times New Roman"/>
          <w:b w:val="0"/>
          <w:bCs w:val="0"/>
          <w:color w:val="000000"/>
          <w:sz w:val="22"/>
          <w:szCs w:val="22"/>
          <w:lang w:val="en-US" w:eastAsia="zh-CN"/>
        </w:rPr>
        <w:t>，在ACTFL中</w:t>
      </w:r>
      <w:r>
        <w:rPr>
          <w:rFonts w:hint="eastAsia" w:ascii="Times New Roman" w:hAnsi="Times New Roman" w:cs="Times New Roman"/>
          <w:b w:val="0"/>
          <w:bCs w:val="0"/>
          <w:color w:val="000000"/>
          <w:sz w:val="22"/>
          <w:szCs w:val="22"/>
          <w:lang w:val="en-US" w:eastAsia="zh-CN"/>
        </w:rPr>
        <w:t>进入</w:t>
      </w:r>
      <w:r>
        <w:rPr>
          <w:rFonts w:hint="eastAsia" w:ascii="Times New Roman" w:hAnsi="Times New Roman" w:eastAsia="宋体" w:cs="Times New Roman"/>
          <w:b w:val="0"/>
          <w:bCs w:val="0"/>
          <w:color w:val="000000"/>
          <w:sz w:val="22"/>
          <w:szCs w:val="22"/>
          <w:lang w:val="en-US" w:eastAsia="zh-CN"/>
        </w:rPr>
        <w:t>Novice High。这一分布表明，ACTFL强调教材主题、任务相关性和课堂使用场景。像“义工”“粉丝”“辩论”“家教”“华人”等词，分别对应志愿服务、流行文化、课堂讨论、家庭教育、公民身份和族裔文化等美国中文课堂中的常见主题，其进入时机明显受到教材主题和任务设计的影响，而不完全受制于通用标准中的既有排序。</w:t>
      </w:r>
    </w:p>
    <w:p w14:paraId="5C70546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从独有词分布看，初中级阶段的ACTFL独有词数量有限，主要集中于美国国情、饮食生活和日常表达等类型，如“美国”“感恩节”“汉堡”“青菜”“餐具”“甜点”“红烧”“吃素”“马马虎虎”“T恤衫”等。这类词语虽不构成大规模增补，却较集中地反映了美国中文课堂中的本土文化环境和日常交际需求。相比之下，高级阶段独有词明显增多，主要集中于美国政治制度、社会法律议题、当代社会、中国历史政策、成语与固定搭配以及高级书面表达等领域，如“共和党”“民主党”“国务卿”“众议院”“修正案”“死刑”“无期徒刑”“堕胎”“自拍”“草根”“蚁族”“计划生育”“独生子女”“一劳永逸”“一视同仁”“同龄人”“知情人”“经销商”等。由此可见，ACTFL独有词并非零散拼接，而主要服务于本土课堂需求和高级阶段的议题表达、专题阅读及书面表达。</w:t>
      </w:r>
    </w:p>
    <w:p w14:paraId="1EBE0400">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来看，ACTFL词表的差异并不意味着其偏离国际中文词汇体系的基本框架，恰恰相反，它是在保持基础层级高度衔接的前提下，对美国中文教学中更早出现、更常使用、任务支撑更直接的词语进行适度前移，并在高级阶段有针对性地补充专题表达和书面表达所需词汇。其背后的逻辑不是单纯追求“词量更多”或“等级更细”，而是以教学可用性、任务关联度和本土课程需求为原则，对既有词汇体系作出可解释、可操作的本土化重组。</w:t>
      </w:r>
    </w:p>
    <w:p w14:paraId="78112B79">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w:t>
      </w:r>
      <w:r>
        <w:rPr>
          <w:rFonts w:hint="eastAsia" w:ascii="Times New Roman" w:hAnsi="Times New Roman" w:cs="Times New Roman"/>
          <w:b/>
          <w:bCs/>
          <w:color w:val="auto"/>
          <w:sz w:val="24"/>
          <w:szCs w:val="24"/>
          <w:u w:val="none"/>
          <w:lang w:val="en-US" w:eastAsia="zh-CN"/>
        </w:rPr>
        <w:t>2</w:t>
      </w:r>
      <w:r>
        <w:rPr>
          <w:rFonts w:hint="eastAsia" w:ascii="Times New Roman" w:hAnsi="Times New Roman" w:eastAsia="宋体" w:cs="Times New Roman"/>
          <w:b/>
          <w:bCs/>
          <w:color w:val="auto"/>
          <w:sz w:val="24"/>
          <w:szCs w:val="24"/>
          <w:u w:val="none"/>
          <w:lang w:val="en-US" w:eastAsia="zh-CN"/>
        </w:rPr>
        <w:t xml:space="preserve"> </w:t>
      </w:r>
      <w:r>
        <w:rPr>
          <w:rFonts w:hint="default" w:ascii="Times New Roman" w:hAnsi="Times New Roman" w:eastAsia="宋体" w:cs="Times New Roman"/>
          <w:b/>
          <w:bCs/>
          <w:color w:val="auto"/>
          <w:sz w:val="24"/>
          <w:szCs w:val="24"/>
          <w:u w:val="none"/>
          <w:lang w:val="en-US" w:eastAsia="zh-CN"/>
        </w:rPr>
        <w:t>语法量表</w:t>
      </w:r>
      <w:r>
        <w:rPr>
          <w:rFonts w:hint="eastAsia" w:ascii="Times New Roman" w:hAnsi="Times New Roman" w:cs="Times New Roman"/>
          <w:b/>
          <w:bCs/>
          <w:color w:val="auto"/>
          <w:sz w:val="24"/>
          <w:szCs w:val="24"/>
          <w:u w:val="none"/>
          <w:lang w:val="en-US" w:eastAsia="zh-CN"/>
        </w:rPr>
        <w:t>的</w:t>
      </w:r>
      <w:r>
        <w:rPr>
          <w:rFonts w:hint="default" w:ascii="Times New Roman" w:hAnsi="Times New Roman" w:eastAsia="宋体" w:cs="Times New Roman"/>
          <w:b/>
          <w:bCs/>
          <w:color w:val="auto"/>
          <w:sz w:val="24"/>
          <w:szCs w:val="24"/>
          <w:u w:val="none"/>
          <w:lang w:val="en-US" w:eastAsia="zh-CN"/>
        </w:rPr>
        <w:t>研制</w:t>
      </w:r>
    </w:p>
    <w:p w14:paraId="4AC154C2">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4</w:t>
      </w:r>
      <w:r>
        <w:rPr>
          <w:rFonts w:hint="default" w:ascii="Times New Roman" w:hAnsi="Times New Roman" w:eastAsia="宋体" w:cs="Times New Roman"/>
          <w:b w:val="0"/>
          <w:bCs w:val="0"/>
          <w:color w:val="000000"/>
          <w:sz w:val="22"/>
          <w:szCs w:val="22"/>
          <w:lang w:val="en-US" w:eastAsia="zh-CN"/>
        </w:rPr>
        <w:t>.</w:t>
      </w:r>
      <w:r>
        <w:rPr>
          <w:rFonts w:hint="eastAsia" w:ascii="Times New Roman" w:hAnsi="Times New Roman" w:cs="Times New Roman"/>
          <w:b w:val="0"/>
          <w:bCs w:val="0"/>
          <w:color w:val="000000"/>
          <w:sz w:val="22"/>
          <w:szCs w:val="22"/>
          <w:lang w:val="en-US" w:eastAsia="zh-CN"/>
        </w:rPr>
        <w:t>1.1</w:t>
      </w:r>
      <w:r>
        <w:rPr>
          <w:rFonts w:hint="default" w:ascii="Times New Roman" w:hAnsi="Times New Roman" w:eastAsia="宋体" w:cs="Times New Roman"/>
          <w:b w:val="0"/>
          <w:bCs w:val="0"/>
          <w:color w:val="000000"/>
          <w:sz w:val="22"/>
          <w:szCs w:val="22"/>
          <w:lang w:val="en-US" w:eastAsia="zh-CN"/>
        </w:rPr>
        <w:t>语法大纲</w:t>
      </w:r>
      <w:r>
        <w:rPr>
          <w:rFonts w:hint="eastAsia" w:ascii="Times New Roman" w:hAnsi="Times New Roman" w:cs="Times New Roman"/>
          <w:b w:val="0"/>
          <w:bCs w:val="0"/>
          <w:color w:val="000000"/>
          <w:sz w:val="22"/>
          <w:szCs w:val="22"/>
          <w:lang w:val="en-US" w:eastAsia="zh-CN"/>
        </w:rPr>
        <w:t>总体概述</w:t>
      </w:r>
    </w:p>
    <w:p w14:paraId="447F2EB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lang w:val="en-US" w:eastAsia="zh-CN"/>
        </w:rPr>
      </w:pPr>
      <w:r>
        <w:rPr>
          <w:rFonts w:hint="default" w:ascii="Times New Roman" w:hAnsi="Times New Roman" w:eastAsia="宋体" w:cs="Times New Roman"/>
          <w:b w:val="0"/>
          <w:bCs w:val="0"/>
          <w:color w:val="000000"/>
          <w:sz w:val="22"/>
          <w:szCs w:val="22"/>
          <w:lang w:val="en-US" w:eastAsia="zh-CN"/>
        </w:rPr>
        <w:t>表中「级别」列中HSK等级（1-9级）与ACTFL次等级（Novice Low至Advanced High+）并列显示，仅为对照参考，不意味着两者等价。HSK4级≠Intermediate Low，HSK6级≠Intermediate High。</w:t>
      </w:r>
    </w:p>
    <w:p w14:paraId="15EA4604">
      <w:pPr>
        <w:widowControl/>
        <w:kinsoku w:val="0"/>
        <w:autoSpaceDE w:val="0"/>
        <w:autoSpaceDN w:val="0"/>
        <w:adjustRightInd w:val="0"/>
        <w:snapToGrid w:val="0"/>
        <w:spacing w:beforeLines="0" w:afterLines="0" w:line="360" w:lineRule="auto"/>
        <w:jc w:val="center"/>
        <w:textAlignment w:val="baseline"/>
        <w:rPr>
          <w:rFonts w:hint="default" w:ascii="Times New Roman" w:hAnsi="Times New Roman" w:cs="Times New Roman"/>
          <w:color w:val="000000"/>
          <w:sz w:val="22"/>
          <w:szCs w:val="22"/>
          <w:lang w:val="en-US" w:eastAsia="zh-CN"/>
        </w:rPr>
      </w:pPr>
      <w:r>
        <w:rPr>
          <w:rFonts w:hint="eastAsia" w:ascii="Times New Roman" w:hAnsi="Times New Roman" w:eastAsia="楷体" w:cs="Times New Roman"/>
          <w:snapToGrid w:val="0"/>
          <w:color w:val="000000"/>
          <w:spacing w:val="-3"/>
          <w:sz w:val="18"/>
          <w:szCs w:val="18"/>
          <w:lang w:val="en-US" w:eastAsia="zh-CN" w:bidi="ar-SA"/>
        </w:rPr>
        <w:t>表6 ACTFL语法量表</w:t>
      </w:r>
      <w:r>
        <w:rPr>
          <w:rFonts w:hint="default" w:ascii="Times New Roman" w:hAnsi="Times New Roman" w:eastAsia="楷体" w:cs="Times New Roman"/>
          <w:snapToGrid w:val="0"/>
          <w:color w:val="000000"/>
          <w:spacing w:val="-3"/>
          <w:kern w:val="0"/>
          <w:sz w:val="18"/>
          <w:szCs w:val="18"/>
          <w:lang w:val="en-US" w:eastAsia="zh-CN" w:bidi="ar-SA"/>
        </w:rPr>
        <w:t>与HSK及《等级标准》的阶段对应与累计词量比较</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
        <w:gridCol w:w="1565"/>
        <w:gridCol w:w="2285"/>
        <w:gridCol w:w="1409"/>
        <w:gridCol w:w="1752"/>
      </w:tblGrid>
      <w:tr w14:paraId="2E60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6BB9058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A2514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HSK（新增/累计）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30DE85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《等级标准》
（新增/累计）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7017A6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7320E6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ACTFL（新增/累计）</w:t>
            </w:r>
          </w:p>
        </w:tc>
      </w:tr>
      <w:tr w14:paraId="1D45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FEAAB2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初等1级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60091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70 / 70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C59E5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48 / 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37634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Low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9C821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34 / 34</w:t>
            </w:r>
          </w:p>
        </w:tc>
      </w:tr>
      <w:tr w14:paraId="0586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14DB4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初等2级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469097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78 / 148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AC28E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81 / 129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2A9972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Mid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CE256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47 / 81</w:t>
            </w:r>
          </w:p>
        </w:tc>
      </w:tr>
      <w:tr w14:paraId="3383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3E180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初等3级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223B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96 / 244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B9168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81 / 210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64C2A9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High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D09A5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49 / 130</w:t>
            </w:r>
          </w:p>
        </w:tc>
      </w:tr>
      <w:tr w14:paraId="6755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5F13D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中等4级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9A47A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95 / 339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36E828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76 / 286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720C3F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Low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3D334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44 / 174</w:t>
            </w:r>
          </w:p>
        </w:tc>
      </w:tr>
      <w:tr w14:paraId="5B59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BC3DA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中等5级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0985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70 / 409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9367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71 / 357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AEDBBB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Mid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88C7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34 / 208</w:t>
            </w:r>
          </w:p>
        </w:tc>
      </w:tr>
      <w:tr w14:paraId="1902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DCE52A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中等6级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CDA71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50 / 459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BA688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67 / 424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368D6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High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B79C8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28 / 236</w:t>
            </w:r>
          </w:p>
        </w:tc>
      </w:tr>
      <w:tr w14:paraId="78EB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4DC66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高等7-9级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8EC35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134 / 593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F04D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148 / 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2DDE10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Advanced+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E10D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148 / 384</w:t>
            </w:r>
          </w:p>
        </w:tc>
      </w:tr>
      <w:tr w14:paraId="5E9A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14542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3338C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593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C38680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A1C9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E26611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384</w:t>
            </w:r>
          </w:p>
        </w:tc>
      </w:tr>
    </w:tbl>
    <w:p w14:paraId="6ED8929B">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cs="Times New Roman"/>
          <w:color w:val="auto"/>
          <w:u w:val="none"/>
        </w:rPr>
        <w:tab/>
      </w:r>
    </w:p>
    <w:p w14:paraId="235CA02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就规模而言，HSK 语法条目共 593 条，《国际中文教育中文水平等级标准》共 572 条，而本量表共 384 条，较前两者分别减少 209 条和 188 条，整体精简约三分之一。分段来看，本量表 Novice 至 Intermediate High 累计 236 条，Advanced+ 单列 148 条，占总量的 38.5%；相比之下，HSK 高等段为 134/593（22.6%），《等级标准》高等段为 148/572（25.9%）。这表明，本量表的调整并非单纯“减量”，而是在总体压缩的同时，显著提高了高级段在整体结构中的比重，即初中级阶段重在建构核心语法框架，高级阶段则转向语篇意识和语体意识的系统培养。</w:t>
      </w:r>
    </w:p>
    <w:p w14:paraId="6F6632B2">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4.1.2语法量表研制的基本思路与主要做法</w:t>
      </w:r>
    </w:p>
    <w:p w14:paraId="00D747A1">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本量表重构的首要前提，是重新界定教学语法项目的边界。既有标准中均存在不同程度的词类罗列现象，其中 HSK 593 条中约有 101 条、约占 17%，实质上属于按词性重列的词汇项目；《等级标准》中同类条目约 20 条。以 HSK 为例，仅副词子类清单即约 51 条，量词清单约 20 条，代词清单约 18 条，能愿动词分项约 12 条，前后缀类约 8 条。这类项目在形式上属于“语法”，实质上并未提升到结构规则层面，而是将词汇内容以语法名义再次列项。基于此，本量表将“结构规则、表达功能、语篇组织方式及体现结构关系的虚词用法”作为语法保留标准，将具体词语的音、形、义、用原则上归入词汇教学。由此，名量词成员、代词成员、副词子类及前后缀清单等被批量压缩或转出，但“数词—量词—名词”结构、“疑问代词的任指/虚指机制”等真正具有规则性质的内容则被保留下来。也就是说，本量表所减少的，并非教学所需内容本身，而是将大量原本停留在词项层面的条目重新归位。</w:t>
      </w:r>
    </w:p>
    <w:p w14:paraId="3A116DCF">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在条目边界重新厘定之后，进一步调整了语法项目的层级分布，其基本依据不是标准之间的机械对译，而是不同阶段交际任务对语法资源的实际需求。因此，ACTFL 各次等级与 HSK、PG 各级并不构成简单对应关系。以 Intermediate Low 为例，本量表该级所纳入的项目横跨既有标准多个层级，既包括原属较低等级的基础结构，也吸收了原属较高等级、但在中级表达中已具有明显功能必要性的项目。例如，程度补语、多项状语、双重否定等项目也作了不同程度前移。就总体统计而言，本量表相较 HSK 或 PG 前移的项目约 30 个。其原则并非“提早教完”，而是“提早进入视野”：对初中级表达自然度具有支撑作用、且延后处理会造成回避或替代表达的项目，应尽早纳入核心框架；至于是否完全掌握，则留待后续输入、输出与任务实践中逐步完成。</w:t>
      </w:r>
    </w:p>
    <w:p w14:paraId="360670C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与“前移”相对应，本量表在高级段则有意识地减少了单句层面项目的继续堆积，将重心转向语篇和语体。这一点不仅体现于 Advanced+ 条目数显著增加，更体现于条目类型本身的改变。既有标准中，高级段虽有一定篇章和语体内容，但整体仍较零散，缺乏系统整合。本量表则将原本分散于不同栏目中的相关项目重组为更具统摄性的板块，重点处理书面语与口语的系统差异、句群和篇章衔接、话语标记及更高层次的表达组织问题。换言之，本量表高级段所体现的“高”，不再主要表现为句法术语的升级或单句格式的继续细分，而表现为学习者能否在篇章层面实现组织控制、在语体层面作出恰当选择。这也是为何本量表在总量压缩的前提下，仍将 148 条配置于 Advanced+ 的根本原因。</w:t>
      </w:r>
    </w:p>
    <w:p w14:paraId="19AD441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除删减与前移外，本量表还增补了既有标准在系统层面覆盖不足的内容，新增项目约 30 条，主要集中于三类：其一，汉语表达中具有关键解释力但既有标准未独立处理的项目，如话题链、话题推进等；其二，中级阶段即应进入培养序列的语篇性内容；其三，高级阶段必需但原体系组织不足的语体性内容。这些新增并非任意扩充，而是针对两类明确缺口：一类是汉语本体特征在原标准中的缺位，另一类是面向英语背景学习者时常见偏误所反映出的教学空白。与此相配套，本量表还对部分项目名称和例句作了修订，使其表述更接近教学功能，而非单纯沿用语法学分类术语。</w:t>
      </w:r>
    </w:p>
    <w:p w14:paraId="3164D32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总体来看，本量表的“基本思路”可以概括为三点：第一，以结构规则而非词类清单作为语法项目的确定依据；第二，以交际任务支撑而非既有等级平移作为项目定级依据；第三，以语篇意识和语体意识的系统培养作为高级段组织依据。与此相应，其“主要做法”则表现为：批量压缩词类罗列型条目，适度前移功能刚需项目，增补原体系中缺失的表达、语篇与语体内容，并对高级段进行重新组织。由此，本量表所实现的并不是个别语法点的零散调整，而是从“词类堆积型语法表”向“结构—功能—语篇导向型语法量表”的整体转向。</w:t>
      </w:r>
    </w:p>
    <w:p w14:paraId="4F9FDC67">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w:t>
      </w:r>
      <w:r>
        <w:rPr>
          <w:rFonts w:hint="eastAsia" w:ascii="Times New Roman" w:hAnsi="Times New Roman" w:cs="Times New Roman"/>
          <w:b/>
          <w:bCs/>
          <w:color w:val="auto"/>
          <w:sz w:val="24"/>
          <w:szCs w:val="24"/>
          <w:u w:val="none"/>
          <w:lang w:val="en-US" w:eastAsia="zh-CN"/>
        </w:rPr>
        <w:t>3</w:t>
      </w:r>
      <w:r>
        <w:rPr>
          <w:rFonts w:hint="eastAsia" w:ascii="Times New Roman" w:hAnsi="Times New Roman" w:eastAsia="宋体" w:cs="Times New Roman"/>
          <w:b/>
          <w:bCs/>
          <w:color w:val="auto"/>
          <w:sz w:val="24"/>
          <w:szCs w:val="24"/>
          <w:u w:val="none"/>
          <w:lang w:val="en-US" w:eastAsia="zh-CN"/>
        </w:rPr>
        <w:t xml:space="preserve"> </w:t>
      </w:r>
      <w:r>
        <w:rPr>
          <w:rFonts w:hint="default" w:ascii="Times New Roman" w:hAnsi="Times New Roman" w:eastAsia="宋体" w:cs="Times New Roman"/>
          <w:b/>
          <w:bCs/>
          <w:color w:val="auto"/>
          <w:sz w:val="24"/>
          <w:szCs w:val="24"/>
          <w:u w:val="none"/>
          <w:lang w:val="en-US" w:eastAsia="zh-CN"/>
        </w:rPr>
        <w:t>等级分表的研制</w:t>
      </w:r>
    </w:p>
    <w:p w14:paraId="6DCB181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cs="Times New Roman"/>
          <w:b w:val="0"/>
          <w:bCs w:val="0"/>
          <w:color w:val="000000"/>
          <w:sz w:val="22"/>
          <w:szCs w:val="22"/>
          <w:lang w:val="en-US" w:eastAsia="zh-CN"/>
        </w:rPr>
      </w:pPr>
      <w:r>
        <w:rPr>
          <w:rFonts w:hint="default" w:ascii="Times New Roman" w:hAnsi="Times New Roman" w:cs="Times New Roman"/>
          <w:b w:val="0"/>
          <w:bCs w:val="0"/>
          <w:color w:val="000000"/>
          <w:sz w:val="22"/>
          <w:szCs w:val="22"/>
          <w:lang w:val="en-US" w:eastAsia="zh-CN"/>
        </w:rPr>
        <w:t>等级分表内部的话题内容依托统一的主题框架进行组织，形成“主题—子主题—话题”三级结构。全系统共设置六大主题、16个子主题、60个话题节点，分别为：T1个人与社区、T2学习与工作、T3生活与社会、T4文化与传承、T5经济与科技、T6自然与生态。六大主题之下再细分为个人生活、家庭关系、社交互动、校园生活、职业生涯、公民责任、文化交流、科学创新、环境保护等子主题，并进一步落实为具体话题节点。</w:t>
      </w:r>
    </w:p>
    <w:p w14:paraId="77DE3351">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cs="Times New Roman"/>
          <w:b w:val="0"/>
          <w:bCs w:val="0"/>
          <w:color w:val="000000"/>
          <w:sz w:val="22"/>
          <w:szCs w:val="22"/>
          <w:lang w:val="en-US" w:eastAsia="zh-CN"/>
        </w:rPr>
      </w:pPr>
      <w:r>
        <w:rPr>
          <w:rFonts w:hint="default" w:ascii="Times New Roman" w:hAnsi="Times New Roman" w:cs="Times New Roman"/>
          <w:b w:val="0"/>
          <w:bCs w:val="0"/>
          <w:color w:val="000000"/>
          <w:sz w:val="22"/>
          <w:szCs w:val="22"/>
          <w:lang w:val="en-US" w:eastAsia="zh-CN"/>
        </w:rPr>
        <w:t>这一主题体系为等级分表提供了稳定的内容组织框架，使能力指标不再停留于抽象描述，而能够进入具体的话题场景和教学内容之中，从而实现能力目标与教学内容的有效衔接。</w:t>
      </w:r>
    </w:p>
    <w:p w14:paraId="7B7139E1">
      <w:pPr>
        <w:widowControl/>
        <w:kinsoku w:val="0"/>
        <w:autoSpaceDE w:val="0"/>
        <w:autoSpaceDN w:val="0"/>
        <w:adjustRightInd w:val="0"/>
        <w:snapToGrid w:val="0"/>
        <w:spacing w:line="360" w:lineRule="auto"/>
        <w:jc w:val="center"/>
        <w:textAlignment w:val="baseline"/>
        <w:rPr>
          <w:rFonts w:hint="default" w:ascii="Times New Roman" w:hAnsi="Times New Roman" w:cs="Times New Roman"/>
          <w:color w:val="000000"/>
          <w:sz w:val="22"/>
          <w:szCs w:val="22"/>
          <w:lang w:val="en-US" w:eastAsia="zh-CN"/>
        </w:rPr>
      </w:pPr>
      <w:r>
        <w:rPr>
          <w:rFonts w:hint="eastAsia" w:ascii="Times New Roman" w:hAnsi="Times New Roman" w:eastAsia="楷体" w:cs="Times New Roman"/>
          <w:snapToGrid w:val="0"/>
          <w:color w:val="000000"/>
          <w:spacing w:val="-3"/>
          <w:sz w:val="18"/>
          <w:szCs w:val="18"/>
          <w:lang w:val="en-US" w:eastAsia="zh-CN" w:bidi="ar-SA"/>
        </w:rPr>
        <w:t>表7 ACTFL 等级分表使用的主体框架</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51"/>
        <w:gridCol w:w="2997"/>
        <w:gridCol w:w="3810"/>
      </w:tblGrid>
      <w:tr w14:paraId="265A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2DB879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主题</w:t>
            </w:r>
          </w:p>
        </w:tc>
        <w:tc>
          <w:tcPr>
            <w:tcW w:w="1567" w:type="pct"/>
            <w:tcBorders>
              <w:top w:val="single" w:color="auto" w:sz="4" w:space="0"/>
              <w:left w:val="single" w:color="auto" w:sz="4" w:space="0"/>
              <w:bottom w:val="single" w:color="auto" w:sz="4" w:space="0"/>
              <w:right w:val="single" w:color="auto" w:sz="4" w:space="0"/>
            </w:tcBorders>
            <w:shd w:val="clear" w:color="auto" w:fill="auto"/>
            <w:vAlign w:val="center"/>
          </w:tcPr>
          <w:p w14:paraId="12D9D8E2">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子主题</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6E04B0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话题示例</w:t>
            </w:r>
          </w:p>
        </w:tc>
      </w:tr>
      <w:tr w14:paraId="55CE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1D370F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T1.个人与社区</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2B6F3D">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T1.1 个人</w:t>
            </w:r>
          </w:p>
          <w:p w14:paraId="26640E5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生活</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609DEE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 xml:space="preserve">T1.1.1 </w:t>
            </w:r>
            <w:r>
              <w:rPr>
                <w:rFonts w:ascii="Times New Roman" w:hAnsi="Times New Roman" w:eastAsia="宋体" w:cs="Times New Roman"/>
                <w:b w:val="0"/>
                <w:bCs w:val="0"/>
                <w:color w:val="auto"/>
                <w:sz w:val="18"/>
                <w:szCs w:val="18"/>
              </w:rPr>
              <w:t>个人信息</w:t>
            </w:r>
          </w:p>
        </w:tc>
      </w:tr>
      <w:tr w14:paraId="7308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F17F7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3369D32">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D618E8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T1.1.2 </w:t>
            </w:r>
            <w:r>
              <w:rPr>
                <w:rFonts w:ascii="Times New Roman" w:hAnsi="Times New Roman" w:eastAsia="宋体" w:cs="Times New Roman"/>
                <w:b w:val="0"/>
                <w:bCs w:val="0"/>
                <w:color w:val="auto"/>
                <w:sz w:val="18"/>
                <w:szCs w:val="18"/>
              </w:rPr>
              <w:t>兴趣爱好</w:t>
            </w:r>
          </w:p>
        </w:tc>
      </w:tr>
      <w:tr w14:paraId="0047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1719F0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A46E3E">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17D18F2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T1.1.3 </w:t>
            </w:r>
            <w:r>
              <w:rPr>
                <w:rFonts w:ascii="Times New Roman" w:hAnsi="Times New Roman" w:eastAsia="宋体" w:cs="Times New Roman"/>
                <w:b w:val="0"/>
                <w:bCs w:val="0"/>
                <w:color w:val="auto"/>
                <w:sz w:val="18"/>
                <w:szCs w:val="18"/>
              </w:rPr>
              <w:t>性格</w:t>
            </w:r>
            <w:r>
              <w:rPr>
                <w:rFonts w:hint="eastAsia" w:ascii="Times New Roman" w:hAnsi="Times New Roman" w:eastAsia="宋体" w:cs="Times New Roman"/>
                <w:b w:val="0"/>
                <w:bCs w:val="0"/>
                <w:color w:val="auto"/>
                <w:sz w:val="18"/>
                <w:szCs w:val="18"/>
              </w:rPr>
              <w:t>外貌</w:t>
            </w:r>
          </w:p>
        </w:tc>
      </w:tr>
      <w:tr w14:paraId="668E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2AEF5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58721F">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34C4B4EC">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T1.1.4 </w:t>
            </w:r>
            <w:r>
              <w:rPr>
                <w:rFonts w:ascii="Times New Roman" w:hAnsi="Times New Roman" w:eastAsia="宋体" w:cs="Times New Roman"/>
                <w:b w:val="0"/>
                <w:bCs w:val="0"/>
                <w:color w:val="auto"/>
                <w:sz w:val="18"/>
                <w:szCs w:val="18"/>
              </w:rPr>
              <w:t>个人</w:t>
            </w:r>
            <w:r>
              <w:rPr>
                <w:rFonts w:hint="eastAsia" w:ascii="Times New Roman" w:hAnsi="Times New Roman" w:eastAsia="宋体" w:cs="Times New Roman"/>
                <w:b w:val="0"/>
                <w:bCs w:val="0"/>
                <w:color w:val="auto"/>
                <w:sz w:val="18"/>
                <w:szCs w:val="18"/>
              </w:rPr>
              <w:t>经历</w:t>
            </w:r>
          </w:p>
        </w:tc>
      </w:tr>
      <w:tr w14:paraId="1FDA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4EC4E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927CC7F">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3C455A1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T1.1.5 </w:t>
            </w:r>
            <w:r>
              <w:rPr>
                <w:rFonts w:ascii="Times New Roman" w:hAnsi="Times New Roman" w:eastAsia="宋体" w:cs="Times New Roman"/>
                <w:b w:val="0"/>
                <w:bCs w:val="0"/>
                <w:color w:val="auto"/>
                <w:sz w:val="18"/>
                <w:szCs w:val="18"/>
              </w:rPr>
              <w:t>身份认同</w:t>
            </w:r>
          </w:p>
        </w:tc>
      </w:tr>
      <w:tr w14:paraId="647D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26183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right w:val="single" w:color="auto" w:sz="4" w:space="0"/>
            </w:tcBorders>
            <w:shd w:val="clear" w:color="auto" w:fill="auto"/>
            <w:vAlign w:val="center"/>
          </w:tcPr>
          <w:p w14:paraId="1FAB8226">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T1.2 </w:t>
            </w:r>
            <w:r>
              <w:rPr>
                <w:rFonts w:ascii="Times New Roman" w:hAnsi="Times New Roman" w:eastAsia="宋体" w:cs="Times New Roman"/>
                <w:b w:val="0"/>
                <w:bCs w:val="0"/>
                <w:color w:val="auto"/>
                <w:sz w:val="18"/>
                <w:szCs w:val="18"/>
              </w:rPr>
              <w:t>家庭</w:t>
            </w:r>
          </w:p>
          <w:p w14:paraId="55C90005">
            <w:pPr>
              <w:adjustRightInd w:val="0"/>
              <w:snapToGrid w:val="0"/>
              <w:jc w:val="center"/>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关系</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EE72DC0">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 xml:space="preserve">T1.2.1 </w:t>
            </w:r>
            <w:r>
              <w:rPr>
                <w:rFonts w:ascii="Times New Roman" w:hAnsi="Times New Roman" w:eastAsia="宋体" w:cs="Times New Roman"/>
                <w:b w:val="0"/>
                <w:bCs w:val="0"/>
                <w:color w:val="auto"/>
                <w:sz w:val="18"/>
                <w:szCs w:val="18"/>
              </w:rPr>
              <w:t>家庭结构</w:t>
            </w:r>
          </w:p>
        </w:tc>
      </w:tr>
      <w:tr w14:paraId="1E01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775DB8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left w:val="single" w:color="auto" w:sz="4" w:space="0"/>
              <w:right w:val="single" w:color="auto" w:sz="4" w:space="0"/>
            </w:tcBorders>
            <w:shd w:val="clear" w:color="auto" w:fill="auto"/>
            <w:vAlign w:val="center"/>
          </w:tcPr>
          <w:p w14:paraId="09C8C45D">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0CAD06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T1.2.2 </w:t>
            </w:r>
            <w:r>
              <w:rPr>
                <w:rFonts w:ascii="Times New Roman" w:hAnsi="Times New Roman" w:eastAsia="宋体" w:cs="Times New Roman"/>
                <w:b w:val="0"/>
                <w:bCs w:val="0"/>
                <w:color w:val="auto"/>
                <w:sz w:val="18"/>
                <w:szCs w:val="18"/>
              </w:rPr>
              <w:t>家庭生活</w:t>
            </w:r>
          </w:p>
        </w:tc>
      </w:tr>
      <w:tr w14:paraId="5C40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AE205B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left w:val="single" w:color="auto" w:sz="4" w:space="0"/>
              <w:bottom w:val="single" w:color="auto" w:sz="4" w:space="0"/>
              <w:right w:val="single" w:color="auto" w:sz="4" w:space="0"/>
            </w:tcBorders>
            <w:shd w:val="clear" w:color="auto" w:fill="auto"/>
            <w:vAlign w:val="center"/>
          </w:tcPr>
          <w:p w14:paraId="427FEFDB">
            <w:pPr>
              <w:adjustRightInd w:val="0"/>
              <w:snapToGrid w:val="0"/>
              <w:rPr>
                <w:rFonts w:hint="eastAsia" w:ascii="Times New Roman" w:hAnsi="Times New Roman" w:eastAsia="宋体" w:cs="Times New Roman"/>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C7C6A1E">
            <w:pPr>
              <w:adjustRightInd w:val="0"/>
              <w:snapToGrid w:val="0"/>
              <w:rPr>
                <w:rFonts w:hint="eastAsia"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T1.2.</w:t>
            </w:r>
            <w:r>
              <w:rPr>
                <w:rFonts w:hint="eastAsia" w:ascii="Times New Roman" w:hAnsi="Times New Roman" w:eastAsia="宋体" w:cs="Times New Roman"/>
                <w:b w:val="0"/>
                <w:bCs w:val="0"/>
                <w:color w:val="auto"/>
                <w:sz w:val="18"/>
                <w:szCs w:val="18"/>
                <w:lang w:val="en-US" w:eastAsia="zh-CN"/>
              </w:rPr>
              <w:t>3</w:t>
            </w:r>
            <w:r>
              <w:rPr>
                <w:rFonts w:ascii="Times New Roman" w:hAnsi="Times New Roman" w:eastAsia="宋体" w:cs="Times New Roman"/>
                <w:b w:val="0"/>
                <w:bCs w:val="0"/>
                <w:color w:val="auto"/>
                <w:sz w:val="18"/>
                <w:szCs w:val="18"/>
              </w:rPr>
              <w:t xml:space="preserve"> 家庭</w:t>
            </w:r>
            <w:r>
              <w:rPr>
                <w:rFonts w:hint="eastAsia" w:ascii="Times New Roman" w:hAnsi="Times New Roman" w:eastAsia="宋体" w:cs="Times New Roman"/>
                <w:b w:val="0"/>
                <w:bCs w:val="0"/>
                <w:color w:val="auto"/>
                <w:sz w:val="18"/>
                <w:szCs w:val="18"/>
                <w:lang w:val="en-US" w:eastAsia="zh-CN"/>
              </w:rPr>
              <w:t>文化</w:t>
            </w:r>
          </w:p>
        </w:tc>
      </w:tr>
      <w:tr w14:paraId="076E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741D42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643738C">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 社交</w:t>
            </w:r>
          </w:p>
          <w:p w14:paraId="40CFA16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互动</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B3699B6">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T1.3.1 人际交往</w:t>
            </w:r>
          </w:p>
        </w:tc>
      </w:tr>
      <w:tr w14:paraId="532A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187B4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DF6ACE">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5E3D298">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T1.3.2 情感表达</w:t>
            </w:r>
          </w:p>
        </w:tc>
      </w:tr>
      <w:tr w14:paraId="1813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7585F9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B35C7D2">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212A7C7">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T1.3.3 社交礼仪</w:t>
            </w:r>
          </w:p>
        </w:tc>
      </w:tr>
      <w:tr w14:paraId="7D21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60313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24BC0C">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C8F84D1">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T1.3.4 协同决策</w:t>
            </w:r>
          </w:p>
        </w:tc>
      </w:tr>
      <w:tr w14:paraId="5B9A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DFA654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2EC256">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503100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T1.3</w:t>
            </w:r>
            <w:r>
              <w:rPr>
                <w:rFonts w:ascii="Times New Roman" w:hAnsi="Times New Roman" w:eastAsia="宋体"/>
                <w:b w:val="0"/>
                <w:bCs w:val="0"/>
                <w:color w:val="auto"/>
                <w:sz w:val="18"/>
                <w:szCs w:val="18"/>
              </w:rPr>
              <w:t>.</w:t>
            </w:r>
            <w:r>
              <w:rPr>
                <w:rFonts w:hint="eastAsia" w:ascii="Times New Roman" w:hAnsi="Times New Roman" w:eastAsia="宋体"/>
                <w:b w:val="0"/>
                <w:bCs w:val="0"/>
                <w:color w:val="auto"/>
                <w:sz w:val="18"/>
                <w:szCs w:val="18"/>
              </w:rPr>
              <w:t>5 祝愿表达</w:t>
            </w:r>
          </w:p>
        </w:tc>
      </w:tr>
      <w:tr w14:paraId="4105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F160B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w:t>
            </w:r>
            <w:r>
              <w:rPr>
                <w:rFonts w:hint="default" w:ascii="Times New Roman" w:hAnsi="Times New Roman" w:eastAsia="宋体" w:cs="Times New Roman"/>
                <w:b w:val="0"/>
                <w:color w:val="000000"/>
                <w:sz w:val="16"/>
                <w:szCs w:val="21"/>
                <w:lang w:val="en-US" w:eastAsia="zh-CN"/>
              </w:rPr>
              <w:t>2.学习与工作</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9DCB76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T2.1 </w:t>
            </w:r>
            <w:r>
              <w:rPr>
                <w:rFonts w:hint="eastAsia" w:ascii="Times New Roman" w:hAnsi="Times New Roman" w:eastAsia="宋体" w:cs="Times New Roman"/>
                <w:b w:val="0"/>
                <w:bCs w:val="0"/>
                <w:color w:val="auto"/>
                <w:sz w:val="18"/>
                <w:szCs w:val="18"/>
                <w:lang w:val="en-US" w:eastAsia="zh-CN"/>
              </w:rPr>
              <w:t>校园</w:t>
            </w:r>
            <w:r>
              <w:rPr>
                <w:rFonts w:hint="eastAsia" w:ascii="Times New Roman" w:hAnsi="Times New Roman" w:eastAsia="宋体" w:cs="Times New Roman"/>
                <w:b w:val="0"/>
                <w:bCs w:val="0"/>
                <w:color w:val="auto"/>
                <w:sz w:val="18"/>
                <w:szCs w:val="18"/>
              </w:rPr>
              <w:t>生活</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F69B60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T2.1.1 </w:t>
            </w:r>
            <w:r>
              <w:rPr>
                <w:rFonts w:hint="eastAsia" w:ascii="Times New Roman" w:hAnsi="Times New Roman" w:eastAsia="宋体" w:cs="Times New Roman"/>
                <w:b w:val="0"/>
                <w:bCs w:val="0"/>
                <w:color w:val="auto"/>
                <w:sz w:val="18"/>
                <w:szCs w:val="18"/>
                <w:lang w:val="en-US" w:eastAsia="zh-CN"/>
              </w:rPr>
              <w:t>校园</w:t>
            </w:r>
            <w:r>
              <w:rPr>
                <w:rFonts w:ascii="Times New Roman" w:hAnsi="Times New Roman" w:eastAsia="宋体" w:cs="Times New Roman"/>
                <w:b w:val="0"/>
                <w:bCs w:val="0"/>
                <w:color w:val="auto"/>
                <w:sz w:val="18"/>
                <w:szCs w:val="18"/>
              </w:rPr>
              <w:t>环境</w:t>
            </w:r>
          </w:p>
        </w:tc>
      </w:tr>
      <w:tr w14:paraId="5888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D494F8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21CCEA">
            <w:pPr>
              <w:adjustRightInd w:val="0"/>
              <w:snapToGrid w:val="0"/>
              <w:jc w:val="center"/>
              <w:rPr>
                <w:rFonts w:hint="eastAsia" w:ascii="Times New Roman" w:hAnsi="Times New Roman" w:eastAsia="宋体" w:cs="Times New Roman"/>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D00B928">
            <w:pPr>
              <w:adjustRightInd w:val="0"/>
              <w:snapToGrid w:val="0"/>
              <w:rPr>
                <w:rFonts w:hint="eastAsia"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2</w:t>
            </w:r>
            <w:r>
              <w:rPr>
                <w:rFonts w:hint="eastAsia" w:ascii="Times New Roman" w:hAnsi="Times New Roman" w:eastAsia="宋体" w:cs="Times New Roman"/>
                <w:b w:val="0"/>
                <w:bCs w:val="0"/>
                <w:color w:val="auto"/>
                <w:sz w:val="18"/>
                <w:szCs w:val="18"/>
              </w:rPr>
              <w:t>学科知识</w:t>
            </w:r>
          </w:p>
        </w:tc>
      </w:tr>
      <w:tr w14:paraId="212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B1A8A4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5ACFE">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1044C18">
            <w:pPr>
              <w:adjustRightInd w:val="0"/>
              <w:snapToGrid w:val="0"/>
              <w:rPr>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3</w:t>
            </w:r>
            <w:r>
              <w:rPr>
                <w:rFonts w:ascii="Times New Roman" w:hAnsi="Times New Roman" w:eastAsia="宋体" w:cs="Times New Roman"/>
                <w:b w:val="0"/>
                <w:bCs w:val="0"/>
                <w:color w:val="auto"/>
                <w:sz w:val="18"/>
                <w:szCs w:val="18"/>
              </w:rPr>
              <w:t>学习规划</w:t>
            </w:r>
          </w:p>
        </w:tc>
      </w:tr>
      <w:tr w14:paraId="2F7B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347C6C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88B0F4">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9089986">
            <w:pPr>
              <w:adjustRightInd w:val="0"/>
              <w:snapToGrid w:val="0"/>
              <w:rPr>
                <w:rFonts w:hint="default"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4</w:t>
            </w:r>
            <w:r>
              <w:rPr>
                <w:rFonts w:hint="eastAsia" w:ascii="Times New Roman" w:hAnsi="Times New Roman"/>
                <w:b w:val="0"/>
                <w:bCs w:val="0"/>
                <w:color w:val="auto"/>
                <w:sz w:val="18"/>
                <w:szCs w:val="18"/>
                <w:lang w:val="en-US" w:eastAsia="zh-CN"/>
              </w:rPr>
              <w:t>学习研究</w:t>
            </w:r>
          </w:p>
          <w:p w14:paraId="2DC428D8">
            <w:pPr>
              <w:adjustRightInd w:val="0"/>
              <w:snapToGrid w:val="0"/>
              <w:rPr>
                <w:rFonts w:ascii="Times New Roman" w:hAnsi="Times New Roman" w:eastAsia="宋体"/>
                <w:b w:val="0"/>
                <w:bCs w:val="0"/>
                <w:color w:val="auto"/>
                <w:sz w:val="18"/>
                <w:szCs w:val="18"/>
              </w:rPr>
            </w:pPr>
          </w:p>
        </w:tc>
      </w:tr>
      <w:tr w14:paraId="2061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B4F90B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04726C">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F613E4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.5</w:t>
            </w:r>
            <w:r>
              <w:rPr>
                <w:rFonts w:hint="eastAsia" w:ascii="Times New Roman" w:hAnsi="Times New Roman" w:eastAsia="宋体" w:cs="Times New Roman"/>
                <w:b w:val="0"/>
                <w:bCs w:val="0"/>
                <w:color w:val="auto"/>
                <w:sz w:val="18"/>
                <w:szCs w:val="18"/>
              </w:rPr>
              <w:t>学业发展</w:t>
            </w:r>
          </w:p>
        </w:tc>
      </w:tr>
      <w:tr w14:paraId="2C79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61F23F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F60439B">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1123ACE4">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6</w:t>
            </w:r>
            <w:r>
              <w:rPr>
                <w:rFonts w:hint="eastAsia" w:ascii="Times New Roman" w:hAnsi="Times New Roman" w:eastAsia="宋体" w:cs="Times New Roman"/>
                <w:b w:val="0"/>
                <w:bCs w:val="0"/>
                <w:color w:val="auto"/>
                <w:sz w:val="18"/>
                <w:szCs w:val="18"/>
              </w:rPr>
              <w:t>学生事务</w:t>
            </w:r>
          </w:p>
        </w:tc>
      </w:tr>
      <w:tr w14:paraId="7A4E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EBC2D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47480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T2.2 </w:t>
            </w:r>
            <w:r>
              <w:rPr>
                <w:rFonts w:ascii="Times New Roman" w:hAnsi="Times New Roman" w:eastAsia="宋体" w:cs="Times New Roman"/>
                <w:b w:val="0"/>
                <w:bCs w:val="0"/>
                <w:color w:val="auto"/>
                <w:sz w:val="18"/>
                <w:szCs w:val="18"/>
              </w:rPr>
              <w:t>职业</w:t>
            </w:r>
          </w:p>
          <w:p w14:paraId="5F000215">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生涯</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D713FC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T2.2.1生涯</w:t>
            </w:r>
            <w:r>
              <w:rPr>
                <w:rFonts w:ascii="Times New Roman" w:hAnsi="Times New Roman" w:eastAsia="宋体" w:cs="Times New Roman"/>
                <w:b w:val="0"/>
                <w:bCs w:val="0"/>
                <w:color w:val="auto"/>
                <w:sz w:val="18"/>
                <w:szCs w:val="18"/>
              </w:rPr>
              <w:t>规划</w:t>
            </w:r>
          </w:p>
        </w:tc>
      </w:tr>
      <w:tr w14:paraId="050F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BBE442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5F7B49">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3EEEF46">
            <w:pPr>
              <w:adjustRightInd w:val="0"/>
              <w:snapToGrid w:val="0"/>
              <w:rPr>
                <w:b w:val="0"/>
                <w:bCs w:val="0"/>
                <w:color w:val="auto"/>
                <w:sz w:val="18"/>
                <w:szCs w:val="18"/>
              </w:rPr>
            </w:pPr>
            <w:r>
              <w:rPr>
                <w:rFonts w:hint="eastAsia" w:ascii="Times New Roman" w:hAnsi="Times New Roman" w:eastAsia="宋体"/>
                <w:b w:val="0"/>
                <w:bCs w:val="0"/>
                <w:color w:val="auto"/>
                <w:sz w:val="18"/>
                <w:szCs w:val="18"/>
              </w:rPr>
              <w:t>T2.2.2</w:t>
            </w:r>
            <w:r>
              <w:rPr>
                <w:rFonts w:ascii="Times New Roman" w:hAnsi="Times New Roman" w:eastAsia="宋体" w:cs="Times New Roman"/>
                <w:b w:val="0"/>
                <w:bCs w:val="0"/>
                <w:color w:val="auto"/>
                <w:sz w:val="18"/>
                <w:szCs w:val="18"/>
              </w:rPr>
              <w:t>职场沟通</w:t>
            </w:r>
          </w:p>
        </w:tc>
      </w:tr>
      <w:tr w14:paraId="1B7F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2BA13E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BC0290">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D1D32E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T2.2.3</w:t>
            </w:r>
            <w:r>
              <w:rPr>
                <w:rFonts w:ascii="Times New Roman" w:hAnsi="Times New Roman" w:eastAsia="宋体" w:cs="Times New Roman"/>
                <w:b w:val="0"/>
                <w:bCs w:val="0"/>
                <w:color w:val="auto"/>
                <w:sz w:val="18"/>
                <w:szCs w:val="18"/>
              </w:rPr>
              <w:t>办公</w:t>
            </w:r>
            <w:r>
              <w:rPr>
                <w:rFonts w:hint="eastAsia" w:ascii="Times New Roman" w:hAnsi="Times New Roman" w:eastAsia="宋体" w:cs="Times New Roman"/>
                <w:b w:val="0"/>
                <w:bCs w:val="0"/>
                <w:color w:val="auto"/>
                <w:sz w:val="18"/>
                <w:szCs w:val="18"/>
              </w:rPr>
              <w:t>事务</w:t>
            </w:r>
          </w:p>
        </w:tc>
      </w:tr>
      <w:tr w14:paraId="4B44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DB8D2E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E42ACC5">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9D9EB00">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T2.2.4</w:t>
            </w:r>
            <w:r>
              <w:rPr>
                <w:rFonts w:hint="eastAsia" w:ascii="Times New Roman" w:hAnsi="Times New Roman" w:eastAsia="宋体" w:cs="Times New Roman"/>
                <w:b w:val="0"/>
                <w:bCs w:val="0"/>
                <w:color w:val="auto"/>
                <w:sz w:val="18"/>
                <w:szCs w:val="18"/>
              </w:rPr>
              <w:t>职场环境</w:t>
            </w:r>
          </w:p>
        </w:tc>
      </w:tr>
      <w:tr w14:paraId="282E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CBED21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14D55FA">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T2.3 终身</w:t>
            </w:r>
          </w:p>
          <w:p w14:paraId="2F6049CF">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发展</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E46B04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T2.3.1</w:t>
            </w:r>
            <w:r>
              <w:rPr>
                <w:rFonts w:hint="eastAsia" w:ascii="Times New Roman" w:hAnsi="Times New Roman" w:eastAsia="宋体" w:cs="Times New Roman"/>
                <w:b w:val="0"/>
                <w:bCs w:val="0"/>
                <w:color w:val="auto"/>
                <w:sz w:val="18"/>
                <w:szCs w:val="18"/>
              </w:rPr>
              <w:t>信息获取</w:t>
            </w:r>
          </w:p>
        </w:tc>
      </w:tr>
      <w:tr w14:paraId="0270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FC0003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DC729AD">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409F21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T2.3.2</w:t>
            </w:r>
            <w:r>
              <w:rPr>
                <w:rFonts w:hint="eastAsia" w:ascii="Times New Roman" w:hAnsi="Times New Roman" w:eastAsia="宋体" w:cs="Times New Roman"/>
                <w:b w:val="0"/>
                <w:bCs w:val="0"/>
                <w:color w:val="auto"/>
                <w:sz w:val="18"/>
                <w:szCs w:val="18"/>
              </w:rPr>
              <w:t>自主学习</w:t>
            </w:r>
          </w:p>
        </w:tc>
      </w:tr>
      <w:tr w14:paraId="3C47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4F58F9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w:t>
            </w:r>
            <w:r>
              <w:rPr>
                <w:rFonts w:hint="default" w:ascii="Times New Roman" w:hAnsi="Times New Roman" w:eastAsia="宋体" w:cs="Times New Roman"/>
                <w:b w:val="0"/>
                <w:color w:val="000000"/>
                <w:sz w:val="16"/>
                <w:szCs w:val="21"/>
                <w:lang w:val="en-US" w:eastAsia="zh-CN"/>
              </w:rPr>
              <w:t>3.</w:t>
            </w:r>
            <w:r>
              <w:rPr>
                <w:rFonts w:hint="eastAsia" w:ascii="Times New Roman" w:hAnsi="Times New Roman" w:eastAsia="宋体" w:cs="Times New Roman"/>
                <w:b w:val="0"/>
                <w:color w:val="000000"/>
                <w:sz w:val="16"/>
                <w:szCs w:val="21"/>
                <w:lang w:val="en-US" w:eastAsia="zh-CN"/>
              </w:rPr>
              <w:t>生活与社会</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70BE74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T3.1 日常</w:t>
            </w:r>
          </w:p>
          <w:p w14:paraId="6C7C940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生活</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C61C65A">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T3.1.1</w:t>
            </w:r>
            <w:r>
              <w:rPr>
                <w:rFonts w:hint="eastAsia" w:ascii="Times New Roman" w:hAnsi="Times New Roman" w:eastAsia="宋体" w:cs="Times New Roman"/>
                <w:b w:val="0"/>
                <w:bCs w:val="0"/>
                <w:color w:val="auto"/>
                <w:sz w:val="18"/>
                <w:szCs w:val="18"/>
              </w:rPr>
              <w:t>日常起居</w:t>
            </w:r>
          </w:p>
        </w:tc>
      </w:tr>
      <w:tr w14:paraId="7386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85089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E472653">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90E6D28">
            <w:pPr>
              <w:adjustRightInd w:val="0"/>
              <w:snapToGrid w:val="0"/>
              <w:rPr>
                <w:b w:val="0"/>
                <w:bCs w:val="0"/>
                <w:color w:val="auto"/>
                <w:sz w:val="18"/>
                <w:szCs w:val="18"/>
              </w:rPr>
            </w:pPr>
            <w:r>
              <w:rPr>
                <w:rFonts w:hint="eastAsia" w:ascii="Times New Roman" w:hAnsi="Times New Roman" w:eastAsia="宋体"/>
                <w:b w:val="0"/>
                <w:bCs w:val="0"/>
                <w:color w:val="auto"/>
                <w:sz w:val="18"/>
                <w:szCs w:val="18"/>
              </w:rPr>
              <w:t>T3.1.2</w:t>
            </w:r>
            <w:r>
              <w:rPr>
                <w:rFonts w:ascii="Times New Roman" w:hAnsi="Times New Roman" w:eastAsia="宋体" w:cs="Times New Roman"/>
                <w:b w:val="0"/>
                <w:bCs w:val="0"/>
                <w:color w:val="auto"/>
                <w:sz w:val="18"/>
                <w:szCs w:val="18"/>
              </w:rPr>
              <w:t>饮食习惯</w:t>
            </w:r>
          </w:p>
        </w:tc>
      </w:tr>
      <w:tr w14:paraId="3675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07EFB4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293D0A">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64151E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T3.1.3</w:t>
            </w:r>
            <w:r>
              <w:rPr>
                <w:rFonts w:ascii="Times New Roman" w:hAnsi="Times New Roman" w:eastAsia="宋体" w:cs="Times New Roman"/>
                <w:b w:val="0"/>
                <w:bCs w:val="0"/>
                <w:color w:val="auto"/>
                <w:sz w:val="18"/>
                <w:szCs w:val="18"/>
              </w:rPr>
              <w:t>着装时尚</w:t>
            </w:r>
          </w:p>
        </w:tc>
      </w:tr>
      <w:tr w14:paraId="0B2E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B0E9F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D30F0F">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7E70EF6">
            <w:pPr>
              <w:adjustRightInd w:val="0"/>
              <w:snapToGrid w:val="0"/>
              <w:rPr>
                <w:rFonts w:hint="default"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T3.1.4</w:t>
            </w:r>
            <w:r>
              <w:rPr>
                <w:rFonts w:hint="eastAsia" w:ascii="Times New Roman" w:hAnsi="Times New Roman" w:cs="Times New Roman"/>
                <w:b w:val="0"/>
                <w:bCs w:val="0"/>
                <w:color w:val="auto"/>
                <w:sz w:val="18"/>
                <w:szCs w:val="18"/>
                <w:lang w:val="en-US" w:eastAsia="zh-CN"/>
              </w:rPr>
              <w:t>居住安排</w:t>
            </w:r>
          </w:p>
        </w:tc>
      </w:tr>
      <w:tr w14:paraId="3D26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8B180E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0203B40">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100E239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T3.1.5</w:t>
            </w:r>
            <w:r>
              <w:rPr>
                <w:rFonts w:ascii="Times New Roman" w:hAnsi="Times New Roman" w:eastAsia="宋体" w:cs="Times New Roman"/>
                <w:b w:val="0"/>
                <w:bCs w:val="0"/>
                <w:color w:val="auto"/>
                <w:sz w:val="18"/>
                <w:szCs w:val="18"/>
              </w:rPr>
              <w:t>交通出行</w:t>
            </w:r>
          </w:p>
        </w:tc>
      </w:tr>
      <w:tr w14:paraId="1D0A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32A130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4EA755C">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3D8941A">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T3.1.6</w:t>
            </w:r>
            <w:r>
              <w:rPr>
                <w:rFonts w:ascii="Times New Roman" w:hAnsi="Times New Roman" w:eastAsia="宋体" w:cs="Times New Roman"/>
                <w:b w:val="0"/>
                <w:bCs w:val="0"/>
                <w:color w:val="auto"/>
                <w:sz w:val="18"/>
                <w:szCs w:val="18"/>
              </w:rPr>
              <w:t>消费购物</w:t>
            </w:r>
          </w:p>
        </w:tc>
      </w:tr>
      <w:tr w14:paraId="3D3F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D3465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637A6BE">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068653D">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T3.1.7</w:t>
            </w:r>
            <w:r>
              <w:rPr>
                <w:rFonts w:hint="eastAsia" w:ascii="Times New Roman" w:hAnsi="Times New Roman" w:eastAsia="宋体" w:cs="Times New Roman"/>
                <w:b w:val="0"/>
                <w:bCs w:val="0"/>
                <w:color w:val="auto"/>
                <w:sz w:val="18"/>
                <w:szCs w:val="18"/>
              </w:rPr>
              <w:t>身心健康</w:t>
            </w:r>
          </w:p>
        </w:tc>
      </w:tr>
      <w:tr w14:paraId="3272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77F76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761BDF">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C67F51F">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T3.1.8</w:t>
            </w:r>
            <w:r>
              <w:rPr>
                <w:rFonts w:ascii="Times New Roman" w:hAnsi="Times New Roman" w:eastAsia="宋体" w:cs="Times New Roman"/>
                <w:b w:val="0"/>
                <w:bCs w:val="0"/>
                <w:color w:val="auto"/>
                <w:sz w:val="18"/>
                <w:szCs w:val="18"/>
              </w:rPr>
              <w:t>休闲活动</w:t>
            </w:r>
          </w:p>
        </w:tc>
      </w:tr>
      <w:tr w14:paraId="1C01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B26E7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CC11D0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T3.2 社会</w:t>
            </w:r>
          </w:p>
          <w:p w14:paraId="57F2C83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系统</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D1F701D">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T3.2.1</w:t>
            </w:r>
            <w:r>
              <w:rPr>
                <w:rFonts w:ascii="Times New Roman" w:hAnsi="Times New Roman" w:eastAsia="宋体" w:cs="Times New Roman"/>
                <w:b w:val="0"/>
                <w:bCs w:val="0"/>
                <w:color w:val="auto"/>
                <w:sz w:val="18"/>
                <w:szCs w:val="18"/>
              </w:rPr>
              <w:t>法律制度</w:t>
            </w:r>
          </w:p>
        </w:tc>
      </w:tr>
      <w:tr w14:paraId="00F8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14764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3253D64">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440A0C5">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T3.2.2</w:t>
            </w:r>
            <w:r>
              <w:rPr>
                <w:rFonts w:ascii="Times New Roman" w:hAnsi="Times New Roman" w:eastAsia="宋体" w:cs="Times New Roman"/>
                <w:b w:val="0"/>
                <w:bCs w:val="0"/>
                <w:color w:val="auto"/>
                <w:sz w:val="18"/>
                <w:szCs w:val="18"/>
              </w:rPr>
              <w:t>医疗系统</w:t>
            </w:r>
          </w:p>
        </w:tc>
      </w:tr>
      <w:tr w14:paraId="75C3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02E958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017C6DB">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FBFF4D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T3.2.3</w:t>
            </w:r>
            <w:r>
              <w:rPr>
                <w:rFonts w:hint="eastAsia" w:ascii="Times New Roman" w:hAnsi="Times New Roman" w:eastAsia="宋体" w:cs="Times New Roman"/>
                <w:b w:val="0"/>
                <w:bCs w:val="0"/>
                <w:color w:val="auto"/>
                <w:sz w:val="18"/>
                <w:szCs w:val="18"/>
              </w:rPr>
              <w:t>教育体系</w:t>
            </w:r>
          </w:p>
        </w:tc>
      </w:tr>
      <w:tr w14:paraId="0DFB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FFCCB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408B7B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T3.3 公民</w:t>
            </w:r>
          </w:p>
          <w:p w14:paraId="7CD6BB0D">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责任</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439C489">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T3.3.1</w:t>
            </w:r>
            <w:r>
              <w:rPr>
                <w:rFonts w:hint="eastAsia" w:ascii="Times New Roman" w:hAnsi="Times New Roman" w:eastAsia="宋体" w:cs="Times New Roman"/>
                <w:b w:val="0"/>
                <w:bCs w:val="0"/>
                <w:color w:val="auto"/>
                <w:sz w:val="18"/>
                <w:szCs w:val="18"/>
              </w:rPr>
              <w:t>公民行动</w:t>
            </w:r>
          </w:p>
        </w:tc>
      </w:tr>
      <w:tr w14:paraId="32AD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3083C6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758C18">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07197B5">
            <w:pPr>
              <w:adjustRightInd w:val="0"/>
              <w:snapToGrid w:val="0"/>
              <w:rPr>
                <w:b w:val="0"/>
                <w:bCs w:val="0"/>
                <w:color w:val="auto"/>
                <w:sz w:val="18"/>
                <w:szCs w:val="18"/>
              </w:rPr>
            </w:pPr>
            <w:r>
              <w:rPr>
                <w:rFonts w:hint="eastAsia" w:ascii="Times New Roman" w:hAnsi="Times New Roman" w:eastAsia="宋体"/>
                <w:b w:val="0"/>
                <w:bCs w:val="0"/>
                <w:color w:val="auto"/>
                <w:sz w:val="18"/>
                <w:szCs w:val="18"/>
              </w:rPr>
              <w:t>T3.3.2</w:t>
            </w:r>
            <w:r>
              <w:rPr>
                <w:rFonts w:ascii="Times New Roman" w:hAnsi="Times New Roman" w:eastAsia="宋体" w:cs="Times New Roman"/>
                <w:b w:val="0"/>
                <w:bCs w:val="0"/>
                <w:color w:val="auto"/>
                <w:sz w:val="18"/>
                <w:szCs w:val="18"/>
              </w:rPr>
              <w:t>社会议题</w:t>
            </w:r>
          </w:p>
        </w:tc>
      </w:tr>
      <w:tr w14:paraId="5ADD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6A8F95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E57A07">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37527D3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T3.3.3</w:t>
            </w:r>
            <w:r>
              <w:rPr>
                <w:rFonts w:ascii="Times New Roman" w:hAnsi="Times New Roman" w:eastAsia="宋体" w:cs="Times New Roman"/>
                <w:b w:val="0"/>
                <w:bCs w:val="0"/>
                <w:color w:val="auto"/>
                <w:sz w:val="18"/>
                <w:szCs w:val="18"/>
              </w:rPr>
              <w:t>公共讨论</w:t>
            </w:r>
          </w:p>
        </w:tc>
      </w:tr>
      <w:tr w14:paraId="7239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82370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1D4A17A">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B0A274F">
            <w:pPr>
              <w:adjustRightInd w:val="0"/>
              <w:snapToGrid w:val="0"/>
              <w:rPr>
                <w:rFonts w:hint="eastAsia"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T3.3.4</w:t>
            </w:r>
            <w:r>
              <w:rPr>
                <w:rFonts w:ascii="Times New Roman" w:hAnsi="Times New Roman" w:eastAsia="宋体" w:cs="Times New Roman"/>
                <w:b w:val="0"/>
                <w:bCs w:val="0"/>
                <w:color w:val="auto"/>
                <w:sz w:val="18"/>
                <w:szCs w:val="18"/>
              </w:rPr>
              <w:t>民主</w:t>
            </w:r>
            <w:r>
              <w:rPr>
                <w:rFonts w:hint="eastAsia" w:ascii="Times New Roman" w:hAnsi="Times New Roman" w:eastAsia="宋体" w:cs="Times New Roman"/>
                <w:b w:val="0"/>
                <w:bCs w:val="0"/>
                <w:color w:val="auto"/>
                <w:sz w:val="18"/>
                <w:szCs w:val="18"/>
                <w:lang w:val="en-US" w:eastAsia="zh-CN"/>
              </w:rPr>
              <w:t>参与</w:t>
            </w:r>
          </w:p>
        </w:tc>
      </w:tr>
      <w:tr w14:paraId="5866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B22D1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1FCD47">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F6C3FAA">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T3.3.5</w:t>
            </w:r>
            <w:r>
              <w:rPr>
                <w:rFonts w:hint="eastAsia" w:ascii="Times New Roman" w:hAnsi="Times New Roman" w:eastAsia="宋体" w:cs="Times New Roman"/>
                <w:b w:val="0"/>
                <w:bCs w:val="0"/>
                <w:color w:val="auto"/>
                <w:sz w:val="18"/>
                <w:szCs w:val="18"/>
              </w:rPr>
              <w:t>媒体素养</w:t>
            </w:r>
          </w:p>
        </w:tc>
      </w:tr>
      <w:tr w14:paraId="1E47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6AB768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w:t>
            </w:r>
            <w:r>
              <w:rPr>
                <w:rFonts w:hint="default" w:ascii="Times New Roman" w:hAnsi="Times New Roman" w:eastAsia="宋体" w:cs="Times New Roman"/>
                <w:b w:val="0"/>
                <w:color w:val="000000"/>
                <w:sz w:val="16"/>
                <w:szCs w:val="21"/>
                <w:lang w:val="en-US" w:eastAsia="zh-CN"/>
              </w:rPr>
              <w:t>4.</w:t>
            </w:r>
            <w:r>
              <w:rPr>
                <w:rFonts w:hint="eastAsia" w:ascii="Times New Roman" w:hAnsi="Times New Roman" w:eastAsia="宋体" w:cs="Times New Roman"/>
                <w:b w:val="0"/>
                <w:color w:val="000000"/>
                <w:sz w:val="16"/>
                <w:szCs w:val="21"/>
                <w:lang w:val="en-US" w:eastAsia="zh-CN"/>
              </w:rPr>
              <w:t>文化与传承</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E46968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T4.1 文化</w:t>
            </w:r>
          </w:p>
          <w:p w14:paraId="6BEA0AEF">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认知</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96214D6">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T4.1.1</w:t>
            </w:r>
            <w:r>
              <w:rPr>
                <w:rFonts w:ascii="Times New Roman" w:hAnsi="Times New Roman" w:eastAsia="宋体" w:cs="Times New Roman"/>
                <w:b w:val="0"/>
                <w:bCs w:val="0"/>
                <w:color w:val="auto"/>
                <w:sz w:val="18"/>
                <w:szCs w:val="18"/>
              </w:rPr>
              <w:t>节日习俗</w:t>
            </w:r>
          </w:p>
        </w:tc>
      </w:tr>
      <w:tr w14:paraId="0136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7A2AB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7C8AB8">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F3DD05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T4.1.2</w:t>
            </w:r>
            <w:r>
              <w:rPr>
                <w:rFonts w:ascii="Times New Roman" w:hAnsi="Times New Roman" w:eastAsia="宋体" w:cs="Times New Roman"/>
                <w:b w:val="0"/>
                <w:bCs w:val="0"/>
                <w:color w:val="auto"/>
                <w:sz w:val="18"/>
                <w:szCs w:val="18"/>
              </w:rPr>
              <w:t>传统艺术</w:t>
            </w:r>
          </w:p>
        </w:tc>
      </w:tr>
      <w:tr w14:paraId="426A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B7B2A1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2454025">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15304CD4">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T4.1.3</w:t>
            </w:r>
            <w:r>
              <w:rPr>
                <w:rFonts w:ascii="Times New Roman" w:hAnsi="Times New Roman" w:eastAsia="宋体" w:cs="Times New Roman"/>
                <w:b w:val="0"/>
                <w:bCs w:val="0"/>
                <w:color w:val="auto"/>
                <w:sz w:val="18"/>
                <w:szCs w:val="18"/>
              </w:rPr>
              <w:t>表演艺术</w:t>
            </w:r>
          </w:p>
        </w:tc>
      </w:tr>
      <w:tr w14:paraId="2F25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47EA6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4AC0474">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5007FAC">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T4.1.4</w:t>
            </w:r>
            <w:r>
              <w:rPr>
                <w:rFonts w:ascii="Times New Roman" w:hAnsi="Times New Roman" w:eastAsia="宋体" w:cs="Times New Roman"/>
                <w:b w:val="0"/>
                <w:bCs w:val="0"/>
                <w:color w:val="auto"/>
                <w:sz w:val="18"/>
                <w:szCs w:val="18"/>
              </w:rPr>
              <w:t>文学作品</w:t>
            </w:r>
          </w:p>
        </w:tc>
      </w:tr>
      <w:tr w14:paraId="014F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66C07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56B373">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F30804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T4.1.5</w:t>
            </w:r>
            <w:r>
              <w:rPr>
                <w:rFonts w:ascii="Times New Roman" w:hAnsi="Times New Roman" w:eastAsia="宋体" w:cs="Times New Roman"/>
                <w:b w:val="0"/>
                <w:bCs w:val="0"/>
                <w:color w:val="auto"/>
                <w:sz w:val="18"/>
                <w:szCs w:val="18"/>
              </w:rPr>
              <w:t>民间故事</w:t>
            </w:r>
          </w:p>
        </w:tc>
      </w:tr>
      <w:tr w14:paraId="51B2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CFADCA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358C93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T4.2 文化</w:t>
            </w:r>
          </w:p>
          <w:p w14:paraId="34A93ADE">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遗产</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8F600A9">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T4.2.1</w:t>
            </w:r>
            <w:r>
              <w:rPr>
                <w:rFonts w:ascii="Times New Roman" w:hAnsi="Times New Roman" w:eastAsia="宋体" w:cs="Times New Roman"/>
                <w:b w:val="0"/>
                <w:bCs w:val="0"/>
                <w:color w:val="auto"/>
                <w:sz w:val="18"/>
                <w:szCs w:val="18"/>
              </w:rPr>
              <w:t>历史遗迹</w:t>
            </w:r>
          </w:p>
        </w:tc>
      </w:tr>
      <w:tr w14:paraId="5A34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2B0D8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5F23833">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337A20B4">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T4.2.2</w:t>
            </w:r>
            <w:r>
              <w:rPr>
                <w:rFonts w:hint="eastAsia" w:ascii="Times New Roman" w:hAnsi="Times New Roman" w:eastAsia="宋体"/>
                <w:b w:val="0"/>
                <w:bCs w:val="0"/>
                <w:color w:val="auto"/>
                <w:sz w:val="18"/>
                <w:szCs w:val="18"/>
                <w:lang w:val="en-US" w:eastAsia="zh-CN"/>
              </w:rPr>
              <w:t xml:space="preserve"> 风云人物</w:t>
            </w:r>
          </w:p>
        </w:tc>
      </w:tr>
      <w:tr w14:paraId="4B8D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E7E3B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1DA5B1">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FE7AACB">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T4.2.3</w:t>
            </w:r>
            <w:r>
              <w:rPr>
                <w:rFonts w:ascii="Times New Roman" w:hAnsi="Times New Roman" w:eastAsia="宋体"/>
                <w:b w:val="0"/>
                <w:bCs w:val="0"/>
                <w:color w:val="auto"/>
                <w:sz w:val="18"/>
                <w:szCs w:val="18"/>
              </w:rPr>
              <w:t>文化传承</w:t>
            </w:r>
          </w:p>
        </w:tc>
      </w:tr>
      <w:tr w14:paraId="612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ADA6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96359E2">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T4.3 文化</w:t>
            </w:r>
          </w:p>
          <w:p w14:paraId="7686CEE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交流</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04362CD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T4.3.1</w:t>
            </w:r>
            <w:r>
              <w:rPr>
                <w:rFonts w:ascii="Times New Roman" w:hAnsi="Times New Roman" w:eastAsia="宋体" w:cs="Times New Roman"/>
                <w:b w:val="0"/>
                <w:bCs w:val="0"/>
                <w:color w:val="auto"/>
                <w:sz w:val="18"/>
                <w:szCs w:val="18"/>
              </w:rPr>
              <w:t>跨文化沟通</w:t>
            </w:r>
          </w:p>
        </w:tc>
      </w:tr>
      <w:tr w14:paraId="7BC4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3722C0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EE9CBD1">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C34D01F">
            <w:pPr>
              <w:adjustRightInd w:val="0"/>
              <w:snapToGrid w:val="0"/>
              <w:rPr>
                <w:rFonts w:hint="eastAsia" w:eastAsia="宋体"/>
                <w:b w:val="0"/>
                <w:bCs w:val="0"/>
                <w:color w:val="auto"/>
                <w:sz w:val="18"/>
                <w:szCs w:val="18"/>
                <w:lang w:eastAsia="zh-CN"/>
              </w:rPr>
            </w:pPr>
            <w:r>
              <w:rPr>
                <w:rFonts w:hint="eastAsia" w:ascii="Times New Roman" w:hAnsi="Times New Roman" w:eastAsia="宋体"/>
                <w:b w:val="0"/>
                <w:bCs w:val="0"/>
                <w:color w:val="auto"/>
                <w:sz w:val="18"/>
                <w:szCs w:val="18"/>
              </w:rPr>
              <w:t>T4.3.2</w:t>
            </w:r>
            <w:r>
              <w:rPr>
                <w:rFonts w:ascii="Times New Roman" w:hAnsi="Times New Roman" w:eastAsia="宋体" w:cs="Times New Roman"/>
                <w:b w:val="0"/>
                <w:bCs w:val="0"/>
                <w:color w:val="auto"/>
                <w:sz w:val="18"/>
                <w:szCs w:val="18"/>
              </w:rPr>
              <w:t>文化</w:t>
            </w:r>
            <w:r>
              <w:rPr>
                <w:rFonts w:hint="eastAsia" w:ascii="Times New Roman" w:hAnsi="Times New Roman" w:eastAsia="宋体" w:cs="Times New Roman"/>
                <w:b w:val="0"/>
                <w:bCs w:val="0"/>
                <w:color w:val="auto"/>
                <w:sz w:val="18"/>
                <w:szCs w:val="18"/>
                <w:lang w:val="en-US" w:eastAsia="zh-CN"/>
              </w:rPr>
              <w:t>比较</w:t>
            </w:r>
          </w:p>
        </w:tc>
      </w:tr>
      <w:tr w14:paraId="1FED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F59F1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T5</w:t>
            </w:r>
            <w:r>
              <w:rPr>
                <w:rFonts w:hint="default" w:ascii="Times New Roman" w:hAnsi="Times New Roman" w:eastAsia="宋体" w:cs="Times New Roman"/>
                <w:b w:val="0"/>
                <w:color w:val="000000"/>
                <w:sz w:val="16"/>
                <w:szCs w:val="21"/>
                <w:lang w:val="en-US" w:eastAsia="zh-CN"/>
              </w:rPr>
              <w:t>.</w:t>
            </w:r>
            <w:r>
              <w:rPr>
                <w:rFonts w:hint="eastAsia" w:ascii="Times New Roman" w:hAnsi="Times New Roman" w:eastAsia="宋体" w:cs="Times New Roman"/>
                <w:b w:val="0"/>
                <w:color w:val="000000"/>
                <w:sz w:val="16"/>
                <w:szCs w:val="21"/>
                <w:lang w:val="en-US" w:eastAsia="zh-CN"/>
              </w:rPr>
              <w:t>经济与科技</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D5344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T5.1 </w:t>
            </w:r>
            <w:r>
              <w:rPr>
                <w:rFonts w:ascii="Times New Roman" w:hAnsi="Times New Roman" w:eastAsia="宋体" w:cs="Times New Roman"/>
                <w:b w:val="0"/>
                <w:bCs w:val="0"/>
                <w:color w:val="auto"/>
                <w:sz w:val="18"/>
                <w:szCs w:val="18"/>
              </w:rPr>
              <w:t>经济</w:t>
            </w:r>
          </w:p>
          <w:p w14:paraId="1020F05E">
            <w:pPr>
              <w:adjustRightInd w:val="0"/>
              <w:snapToGrid w:val="0"/>
              <w:jc w:val="center"/>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活动</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383982B">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T5.1.1</w:t>
            </w:r>
            <w:r>
              <w:rPr>
                <w:rFonts w:hint="eastAsia" w:ascii="Times New Roman" w:hAnsi="Times New Roman" w:eastAsia="宋体" w:cs="Times New Roman"/>
                <w:b w:val="0"/>
                <w:bCs w:val="0"/>
                <w:color w:val="auto"/>
                <w:sz w:val="18"/>
                <w:szCs w:val="18"/>
              </w:rPr>
              <w:t>经济事务</w:t>
            </w:r>
          </w:p>
        </w:tc>
      </w:tr>
      <w:tr w14:paraId="3914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CE774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53475B9">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052BB01">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cs="Times New Roman"/>
                <w:b w:val="0"/>
                <w:bCs w:val="0"/>
                <w:color w:val="auto"/>
                <w:sz w:val="18"/>
                <w:szCs w:val="18"/>
              </w:rPr>
              <w:t>T5.1.2 经济议题</w:t>
            </w:r>
          </w:p>
        </w:tc>
      </w:tr>
      <w:tr w14:paraId="37B6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A6D0A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F2F01C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T5.2 科学创新</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5FACD7F4">
            <w:pPr>
              <w:adjustRightInd w:val="0"/>
              <w:snapToGrid w:val="0"/>
              <w:rPr>
                <w:rFonts w:ascii="Times New Roman" w:hAnsi="Times New Roman" w:cs="Times New Roman"/>
                <w:b w:val="0"/>
                <w:bCs w:val="0"/>
                <w:color w:val="auto"/>
                <w:sz w:val="18"/>
                <w:szCs w:val="18"/>
              </w:rPr>
            </w:pPr>
            <w:r>
              <w:rPr>
                <w:rFonts w:hint="eastAsia" w:ascii="Times New Roman" w:hAnsi="Times New Roman" w:eastAsia="宋体"/>
                <w:b w:val="0"/>
                <w:bCs w:val="0"/>
                <w:color w:val="auto"/>
                <w:sz w:val="18"/>
                <w:szCs w:val="18"/>
              </w:rPr>
              <w:t>T5.2.1</w:t>
            </w:r>
            <w:r>
              <w:rPr>
                <w:rFonts w:hint="eastAsia"/>
                <w:b w:val="0"/>
                <w:bCs w:val="0"/>
                <w:color w:val="auto"/>
                <w:sz w:val="18"/>
                <w:szCs w:val="18"/>
              </w:rPr>
              <w:t xml:space="preserve"> 科技应用</w:t>
            </w:r>
          </w:p>
        </w:tc>
      </w:tr>
      <w:tr w14:paraId="1563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7644E9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1F849F">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3A8AA65F">
            <w:pPr>
              <w:adjustRightInd w:val="0"/>
              <w:snapToGrid w:val="0"/>
              <w:rPr>
                <w:b w:val="0"/>
                <w:bCs w:val="0"/>
                <w:color w:val="auto"/>
                <w:sz w:val="18"/>
                <w:szCs w:val="18"/>
              </w:rPr>
            </w:pPr>
            <w:r>
              <w:rPr>
                <w:rFonts w:hint="eastAsia" w:ascii="Times New Roman" w:hAnsi="Times New Roman" w:eastAsia="宋体"/>
                <w:b w:val="0"/>
                <w:bCs w:val="0"/>
                <w:color w:val="auto"/>
                <w:sz w:val="18"/>
                <w:szCs w:val="18"/>
              </w:rPr>
              <w:t>T5.2.2</w:t>
            </w:r>
            <w:r>
              <w:rPr>
                <w:rFonts w:hint="eastAsia"/>
                <w:b w:val="0"/>
                <w:bCs w:val="0"/>
                <w:color w:val="auto"/>
                <w:sz w:val="18"/>
                <w:szCs w:val="18"/>
              </w:rPr>
              <w:t xml:space="preserve"> 科技素养</w:t>
            </w:r>
          </w:p>
        </w:tc>
      </w:tr>
      <w:tr w14:paraId="285D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316E8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22EBBF5">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696B3695">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T5.2.3 </w:t>
            </w:r>
            <w:r>
              <w:rPr>
                <w:rFonts w:hint="eastAsia" w:eastAsia="宋体"/>
                <w:b w:val="0"/>
                <w:bCs w:val="0"/>
                <w:color w:val="auto"/>
                <w:sz w:val="18"/>
                <w:szCs w:val="18"/>
              </w:rPr>
              <w:t>科技前沿</w:t>
            </w:r>
          </w:p>
        </w:tc>
      </w:tr>
      <w:tr w14:paraId="3E44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E4E54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eastAsia" w:ascii="Times New Roman" w:hAnsi="Times New Roman" w:eastAsia="宋体" w:cs="Times New Roman"/>
                <w:b w:val="0"/>
                <w:color w:val="000000"/>
                <w:sz w:val="16"/>
                <w:szCs w:val="21"/>
                <w:lang w:val="en-US" w:eastAsia="zh-CN"/>
              </w:rPr>
              <w:t>T6</w:t>
            </w:r>
            <w:r>
              <w:rPr>
                <w:rFonts w:hint="default" w:ascii="Times New Roman" w:hAnsi="Times New Roman" w:eastAsia="宋体" w:cs="Times New Roman"/>
                <w:b w:val="0"/>
                <w:color w:val="000000"/>
                <w:sz w:val="16"/>
                <w:szCs w:val="21"/>
                <w:lang w:val="en-US" w:eastAsia="zh-CN"/>
              </w:rPr>
              <w:t>.</w:t>
            </w:r>
            <w:r>
              <w:rPr>
                <w:rFonts w:hint="eastAsia" w:ascii="Times New Roman" w:hAnsi="Times New Roman" w:eastAsia="宋体" w:cs="Times New Roman"/>
                <w:b w:val="0"/>
                <w:color w:val="000000"/>
                <w:sz w:val="16"/>
                <w:szCs w:val="21"/>
                <w:lang w:val="en-US" w:eastAsia="zh-CN"/>
              </w:rPr>
              <w:t>自然与生态</w:t>
            </w: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54EA5A">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T6.1 自然</w:t>
            </w:r>
          </w:p>
          <w:p w14:paraId="1CB62B4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环境</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406564EF">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T6.1.1</w:t>
            </w:r>
            <w:r>
              <w:rPr>
                <w:rFonts w:hint="eastAsia" w:ascii="Times New Roman" w:hAnsi="Times New Roman" w:eastAsia="宋体" w:cs="Times New Roman"/>
                <w:b w:val="0"/>
                <w:bCs w:val="0"/>
                <w:color w:val="auto"/>
                <w:sz w:val="18"/>
                <w:szCs w:val="18"/>
              </w:rPr>
              <w:t>自然景观</w:t>
            </w:r>
          </w:p>
        </w:tc>
      </w:tr>
      <w:tr w14:paraId="42C5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419F15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D93A34">
            <w:pPr>
              <w:adjustRightInd w:val="0"/>
              <w:snapToGrid w:val="0"/>
              <w:rPr>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7579755">
            <w:pPr>
              <w:adjustRightInd w:val="0"/>
              <w:snapToGrid w:val="0"/>
              <w:rPr>
                <w:b w:val="0"/>
                <w:bCs w:val="0"/>
                <w:color w:val="auto"/>
                <w:sz w:val="18"/>
                <w:szCs w:val="18"/>
              </w:rPr>
            </w:pPr>
            <w:r>
              <w:rPr>
                <w:rFonts w:hint="eastAsia" w:ascii="Times New Roman" w:hAnsi="Times New Roman" w:eastAsia="宋体"/>
                <w:b w:val="0"/>
                <w:bCs w:val="0"/>
                <w:color w:val="auto"/>
                <w:sz w:val="18"/>
                <w:szCs w:val="18"/>
              </w:rPr>
              <w:t>T6.1.2</w:t>
            </w:r>
            <w:r>
              <w:rPr>
                <w:rFonts w:ascii="Times New Roman" w:hAnsi="Times New Roman" w:eastAsia="宋体" w:cs="Times New Roman"/>
                <w:b w:val="0"/>
                <w:bCs w:val="0"/>
                <w:color w:val="auto"/>
                <w:sz w:val="18"/>
                <w:szCs w:val="18"/>
              </w:rPr>
              <w:t>气候</w:t>
            </w:r>
            <w:r>
              <w:rPr>
                <w:rFonts w:hint="eastAsia" w:ascii="Times New Roman" w:hAnsi="Times New Roman" w:eastAsia="宋体" w:cs="Times New Roman"/>
                <w:b w:val="0"/>
                <w:bCs w:val="0"/>
                <w:color w:val="auto"/>
                <w:sz w:val="18"/>
                <w:szCs w:val="18"/>
              </w:rPr>
              <w:t>特征</w:t>
            </w:r>
          </w:p>
        </w:tc>
      </w:tr>
      <w:tr w14:paraId="15F1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FFE1A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DB70E4">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F23B3FB">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T6.1.3</w:t>
            </w:r>
            <w:r>
              <w:rPr>
                <w:rFonts w:hint="eastAsia" w:ascii="Times New Roman" w:hAnsi="Times New Roman" w:eastAsia="宋体" w:cs="Times New Roman"/>
                <w:b w:val="0"/>
                <w:bCs w:val="0"/>
                <w:color w:val="auto"/>
                <w:sz w:val="18"/>
                <w:szCs w:val="18"/>
              </w:rPr>
              <w:t>生物世界</w:t>
            </w:r>
          </w:p>
        </w:tc>
      </w:tr>
      <w:tr w14:paraId="03AC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C89E4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3F4D025">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T6.2 环境保护</w:t>
            </w: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2A05FAE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T6.2.1</w:t>
            </w:r>
            <w:r>
              <w:rPr>
                <w:rFonts w:hint="eastAsia" w:ascii="Times New Roman" w:hAnsi="Times New Roman" w:eastAsia="宋体" w:cs="Times New Roman"/>
                <w:b w:val="0"/>
                <w:bCs w:val="0"/>
                <w:color w:val="auto"/>
                <w:sz w:val="18"/>
                <w:szCs w:val="18"/>
              </w:rPr>
              <w:t>环境问题</w:t>
            </w:r>
          </w:p>
        </w:tc>
      </w:tr>
      <w:tr w14:paraId="0A98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jc w:val="center"/>
        </w:trPr>
        <w:tc>
          <w:tcPr>
            <w:tcW w:w="143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570B68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156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30C7C5B">
            <w:pPr>
              <w:adjustRightInd w:val="0"/>
              <w:snapToGrid w:val="0"/>
              <w:rPr>
                <w:rFonts w:ascii="Times New Roman" w:hAnsi="Times New Roman" w:eastAsia="宋体"/>
                <w:b w:val="0"/>
                <w:bCs w:val="0"/>
                <w:color w:val="auto"/>
                <w:sz w:val="18"/>
                <w:szCs w:val="18"/>
              </w:rPr>
            </w:pPr>
          </w:p>
        </w:tc>
        <w:tc>
          <w:tcPr>
            <w:tcW w:w="1992" w:type="pct"/>
            <w:tcBorders>
              <w:top w:val="single" w:color="auto" w:sz="4" w:space="0"/>
              <w:left w:val="single" w:color="auto" w:sz="4" w:space="0"/>
              <w:bottom w:val="single" w:color="auto" w:sz="4" w:space="0"/>
              <w:right w:val="single" w:color="auto" w:sz="4" w:space="0"/>
            </w:tcBorders>
            <w:shd w:val="clear" w:color="auto" w:fill="auto"/>
            <w:vAlign w:val="center"/>
          </w:tcPr>
          <w:p w14:paraId="7F9D5977">
            <w:pPr>
              <w:adjustRightInd w:val="0"/>
              <w:snapToGrid w:val="0"/>
              <w:rPr>
                <w:rFonts w:hint="eastAsia" w:ascii="Times New Roman" w:hAnsi="Times New Roman" w:eastAsia="宋体"/>
                <w:b w:val="0"/>
                <w:bCs w:val="0"/>
                <w:color w:val="auto"/>
                <w:sz w:val="18"/>
                <w:szCs w:val="18"/>
                <w:lang w:eastAsia="zh-CN"/>
              </w:rPr>
            </w:pPr>
            <w:r>
              <w:rPr>
                <w:rFonts w:hint="eastAsia" w:ascii="Times New Roman" w:hAnsi="Times New Roman" w:eastAsia="宋体"/>
                <w:b w:val="0"/>
                <w:bCs w:val="0"/>
                <w:color w:val="auto"/>
                <w:sz w:val="18"/>
                <w:szCs w:val="18"/>
              </w:rPr>
              <w:t>T6.2.2</w:t>
            </w:r>
            <w:r>
              <w:rPr>
                <w:rFonts w:hint="eastAsia" w:ascii="Times New Roman" w:hAnsi="Times New Roman" w:eastAsia="宋体" w:cs="Times New Roman"/>
                <w:b w:val="0"/>
                <w:bCs w:val="0"/>
                <w:color w:val="auto"/>
                <w:sz w:val="18"/>
                <w:szCs w:val="18"/>
              </w:rPr>
              <w:t>环保</w:t>
            </w:r>
            <w:r>
              <w:rPr>
                <w:rFonts w:hint="eastAsia" w:ascii="Times New Roman" w:hAnsi="Times New Roman" w:eastAsia="宋体" w:cs="Times New Roman"/>
                <w:b w:val="0"/>
                <w:bCs w:val="0"/>
                <w:color w:val="auto"/>
                <w:sz w:val="18"/>
                <w:szCs w:val="18"/>
                <w:lang w:val="en-US" w:eastAsia="zh-CN"/>
              </w:rPr>
              <w:t>行动</w:t>
            </w:r>
          </w:p>
        </w:tc>
      </w:tr>
    </w:tbl>
    <w:p w14:paraId="0A2A12E2">
      <w:pPr>
        <w:rPr>
          <w:rFonts w:hint="default" w:ascii="Times New Roman" w:hAnsi="Times New Roman" w:eastAsia="宋体" w:cs="Times New Roman"/>
          <w:b/>
          <w:bCs/>
          <w:color w:val="auto"/>
          <w:sz w:val="27"/>
          <w:szCs w:val="27"/>
          <w:u w:val="none"/>
        </w:rPr>
      </w:pPr>
    </w:p>
    <w:p w14:paraId="079C69A4">
      <w:pPr>
        <w:keepNext w:val="0"/>
        <w:keepLines w:val="0"/>
        <w:pageBreakBefore w:val="0"/>
        <w:wordWrap/>
        <w:overflowPunct/>
        <w:topLinePunct w:val="0"/>
        <w:bidi w:val="0"/>
        <w:adjustRightInd w:val="0"/>
        <w:snapToGrid w:val="0"/>
        <w:spacing w:line="360" w:lineRule="auto"/>
        <w:ind w:firstLine="440"/>
        <w:jc w:val="both"/>
        <w:rPr>
          <w:rFonts w:hint="default" w:ascii="宋体" w:hAnsi="宋体" w:eastAsia="宋体" w:cs="宋体"/>
          <w:b w:val="0"/>
          <w:bCs w:val="0"/>
          <w:color w:val="000000"/>
          <w:sz w:val="22"/>
          <w:szCs w:val="22"/>
        </w:rPr>
      </w:pPr>
      <w:r>
        <w:rPr>
          <w:rFonts w:hint="default" w:ascii="宋体" w:hAnsi="宋体" w:eastAsia="宋体" w:cs="宋体"/>
          <w:b w:val="0"/>
          <w:bCs w:val="0"/>
          <w:color w:val="000000"/>
          <w:sz w:val="22"/>
          <w:szCs w:val="22"/>
        </w:rPr>
        <w:t>等级分表中的词汇配置采用“核心词汇—扩展词汇”双层机制。核心词汇原则上由本等级及低一等级词语构成，对应学习者在完成该等级任务时应能相对稳定产出的语言资源；扩展词汇则主要选取高一等级的输入性词语，并在括号中标注所属等级，如“叔叔（NH）”。其主要功能是支持理解诠释类任务中可能出现的输入内容。</w:t>
      </w:r>
    </w:p>
    <w:p w14:paraId="45F561A0">
      <w:pPr>
        <w:keepNext w:val="0"/>
        <w:keepLines w:val="0"/>
        <w:pageBreakBefore w:val="0"/>
        <w:wordWrap/>
        <w:overflowPunct/>
        <w:topLinePunct w:val="0"/>
        <w:bidi w:val="0"/>
        <w:adjustRightInd w:val="0"/>
        <w:snapToGrid w:val="0"/>
        <w:spacing w:line="360" w:lineRule="auto"/>
        <w:ind w:firstLine="440"/>
        <w:jc w:val="both"/>
        <w:rPr>
          <w:rFonts w:hint="default" w:ascii="宋体" w:hAnsi="宋体" w:eastAsia="宋体" w:cs="宋体"/>
          <w:b w:val="0"/>
          <w:bCs w:val="0"/>
          <w:color w:val="000000"/>
          <w:sz w:val="22"/>
          <w:szCs w:val="22"/>
        </w:rPr>
      </w:pPr>
      <w:r>
        <w:rPr>
          <w:rFonts w:hint="default" w:ascii="宋体" w:hAnsi="宋体" w:eastAsia="宋体" w:cs="宋体"/>
          <w:b w:val="0"/>
          <w:bCs w:val="0"/>
          <w:color w:val="000000"/>
          <w:sz w:val="22"/>
          <w:szCs w:val="22"/>
        </w:rPr>
        <w:t>这种区分并非形式上的增补，而是直接对应ACTFL能力描述中“</w:t>
      </w:r>
      <w:r>
        <w:rPr>
          <w:rFonts w:hint="eastAsia" w:cs="宋体"/>
          <w:b w:val="0"/>
          <w:bCs w:val="0"/>
          <w:color w:val="000000"/>
          <w:sz w:val="22"/>
          <w:szCs w:val="22"/>
          <w:lang w:val="en-US" w:eastAsia="zh-CN"/>
        </w:rPr>
        <w:t>理解</w:t>
      </w:r>
      <w:r>
        <w:rPr>
          <w:rFonts w:hint="default" w:ascii="宋体" w:hAnsi="宋体" w:eastAsia="宋体" w:cs="宋体"/>
          <w:b w:val="0"/>
          <w:bCs w:val="0"/>
          <w:color w:val="000000"/>
          <w:sz w:val="22"/>
          <w:szCs w:val="22"/>
        </w:rPr>
        <w:t>”与“</w:t>
      </w:r>
      <w:r>
        <w:rPr>
          <w:rFonts w:hint="eastAsia" w:cs="宋体"/>
          <w:b w:val="0"/>
          <w:bCs w:val="0"/>
          <w:color w:val="000000"/>
          <w:sz w:val="22"/>
          <w:szCs w:val="22"/>
          <w:lang w:val="en-US" w:eastAsia="zh-CN"/>
        </w:rPr>
        <w:t>产出</w:t>
      </w:r>
      <w:r>
        <w:rPr>
          <w:rFonts w:hint="default" w:ascii="宋体" w:hAnsi="宋体" w:eastAsia="宋体" w:cs="宋体"/>
          <w:b w:val="0"/>
          <w:bCs w:val="0"/>
          <w:color w:val="000000"/>
          <w:sz w:val="22"/>
          <w:szCs w:val="22"/>
        </w:rPr>
        <w:t>”之间的能力层次差异。通过核心词与扩展词的分层配置，系统在保证输出可控性的同时，为理解输入保留适度超前空间。</w:t>
      </w:r>
    </w:p>
    <w:p w14:paraId="13E405B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宋体" w:hAnsi="宋体" w:eastAsia="宋体" w:cs="宋体"/>
          <w:b w:val="0"/>
          <w:bCs w:val="0"/>
          <w:color w:val="000000"/>
          <w:sz w:val="22"/>
          <w:szCs w:val="22"/>
        </w:rPr>
        <w:t>功能语段样例是等级分表中连接能力目标与真实语言使用的重要环节，其作用在于将抽象的“能做”描述落实为具体可感的语言</w:t>
      </w:r>
      <w:r>
        <w:rPr>
          <w:rFonts w:hint="default" w:ascii="Times New Roman" w:hAnsi="Times New Roman" w:eastAsia="宋体" w:cs="Times New Roman"/>
          <w:b w:val="0"/>
          <w:bCs w:val="0"/>
          <w:color w:val="000000"/>
          <w:sz w:val="22"/>
          <w:szCs w:val="22"/>
        </w:rPr>
        <w:t>实现形式。语段样例主要来源于三条路径：一是真实交际语料，如广播通知、菜单、时刻表、短信、便条等，经改编并控制词汇难度后纳入；二是美国本土中文教材语料，如《中文听说读写》等，经词汇层级核验后遴选使用；三是AI辅助生成初稿，再经过词汇合规审查、任务对齐核查、体式真实性修订和多轮专家审定等环节反复迭代形成。</w:t>
      </w:r>
    </w:p>
    <w:p w14:paraId="49C527E1">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无论其来源路径如何，所有功能语段样例均须满足四项基本标准，即任务对齐、词汇合规、体式真实、情境适配。因此，功能语段并非简单举例，而是本系统中实现能力目标、组织教学内容和支撑评价设计的关键载体。</w:t>
      </w:r>
    </w:p>
    <w:p w14:paraId="09EA7311">
      <w:pPr>
        <w:widowControl/>
        <w:kinsoku w:val="0"/>
        <w:autoSpaceDE w:val="0"/>
        <w:autoSpaceDN w:val="0"/>
        <w:adjustRightInd w:val="0"/>
        <w:snapToGrid w:val="0"/>
        <w:spacing w:beforeLines="0" w:afterLines="0" w:line="360" w:lineRule="auto"/>
        <w:jc w:val="center"/>
        <w:textAlignment w:val="baseline"/>
        <w:rPr>
          <w:rFonts w:hint="default" w:ascii="Times New Roman" w:hAnsi="Times New Roman" w:cs="Times New Roman"/>
          <w:color w:val="000000"/>
          <w:sz w:val="22"/>
          <w:szCs w:val="22"/>
          <w:lang w:val="en-US" w:eastAsia="zh-CN"/>
        </w:rPr>
      </w:pPr>
      <w:r>
        <w:rPr>
          <w:rFonts w:hint="eastAsia" w:ascii="Times New Roman" w:hAnsi="Times New Roman" w:eastAsia="楷体" w:cs="Times New Roman"/>
          <w:snapToGrid w:val="0"/>
          <w:color w:val="000000"/>
          <w:spacing w:val="-3"/>
          <w:sz w:val="18"/>
          <w:szCs w:val="18"/>
          <w:lang w:val="en-US" w:eastAsia="zh-CN" w:bidi="ar-SA"/>
        </w:rPr>
        <w:t>表8 ACTFL初等中级等级分表各级典型内容示例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2"/>
        <w:gridCol w:w="574"/>
        <w:gridCol w:w="935"/>
        <w:gridCol w:w="1683"/>
        <w:gridCol w:w="1650"/>
        <w:gridCol w:w="1311"/>
        <w:gridCol w:w="3005"/>
      </w:tblGrid>
      <w:tr w14:paraId="59F3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0" w:hRule="atLeast"/>
        </w:trPr>
        <w:tc>
          <w:tcPr>
            <w:tcW w:w="622"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vAlign w:val="top"/>
          </w:tcPr>
          <w:p w14:paraId="49070CC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等级</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40B197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模态</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F96A4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话题</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73F8B6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能做陈述（节选）</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068EF6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核心词（产出级，当级/低一级）</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E8401D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相关词（理解级，高一级）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4A1FFA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语篇样例要点</w:t>
            </w:r>
          </w:p>
        </w:tc>
      </w:tr>
      <w:tr w14:paraId="5094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F4650E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NL</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0AB2A3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理解诠释</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104E4B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T3.1.6
消费购物</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276B26C">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我能看懂商店公布的关门时间</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2A1BA0E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时间词（点/分）；开/关；商场/超市；马上</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73F3308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办（NH）；关（NH）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0F01B5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菜单/营业公告格式；仅需识别数字与时间词，无需理解句法结构</w:t>
            </w:r>
          </w:p>
        </w:tc>
      </w:tr>
      <w:tr w14:paraId="47A6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C41866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NM</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8A6012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人际沟通</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34391C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T1.1.1
个人信息</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11D598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我能介绍其他人并提出相关问题</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6672E4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姓/名/年级/班/好久/位/认识（NL）</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B8F939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女人/男人/张（NH）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08CFA9B">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两人对话；好久不见→介绍第三人→询问班级；话题链自然出现；核心词加粗</w:t>
            </w:r>
          </w:p>
        </w:tc>
      </w:tr>
      <w:tr w14:paraId="09C7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660BD5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NM</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618F1AA6">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人际沟通</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F19E32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T1.2.2
家庭生活</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5D417B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我能询问和回答关于哪种家务更容易或更愉快的问题</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6948F80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做饭/照顾/洗/比/跟/一样/挺/容易/累</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F496A6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刷/碗/打扫/洗衣机（NH）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31A922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对话体；A比B+形容词比较句自然融入语篇；相关词仅出现于接收侧</w:t>
            </w:r>
          </w:p>
        </w:tc>
      </w:tr>
      <w:tr w14:paraId="6039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6CBE56D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NH</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E7476AD">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表达演示</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263DB67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T1.1.3
性格外貌</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E60F518">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我能书面描述自己的外貌以便他人能认出我</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208602A">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个子/样子/眼睛/发/颜色词/高/可爱/长（动）</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877FB68">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瘦/胖/头发/帅/聪明（NH）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7FB0470A">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独立短文；状态补语「得」自然出现；受事主语「眼睛是蓝色的」出现；可作写作评分参考样本</w:t>
            </w:r>
          </w:p>
        </w:tc>
      </w:tr>
      <w:tr w14:paraId="02EE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8D3C2CD">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IL</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B73918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人际沟通</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13DC25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T2.2.2
职场沟通</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C6F769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我能回复询问其他预约日期时间的短信</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8BAB81C">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不好意思/可能/方便/行/不行/有空/或者</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504B21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同事/经理/会议/准时（IL）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70AA1985">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短信体；礼貌拒绝语与时间表达交织；正式/半正式语体意识体现在「不好意思」vs「对不起」的选择上</w:t>
            </w:r>
          </w:p>
        </w:tc>
      </w:tr>
      <w:tr w14:paraId="5F50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65363FDA">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IM</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61EDD9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表达演示</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D54B58B">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T2.2.1
职业发展</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34593E3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我能就留学或工作机会撰写简短的个人陈述</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4F050F66">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目前/专业/实习/负责/经历/了解/通过…/希望…</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76705F4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申请（IM）；企业（IM）；积累（IH）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6436FE6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段落体；兼语句（「这段经历让我了解了……」）自然出现；话语标记句群2体现（「通过…」「希望…」）</w:t>
            </w:r>
          </w:p>
        </w:tc>
      </w:tr>
      <w:tr w14:paraId="14B6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FCCB1E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IH</w:t>
            </w:r>
          </w:p>
        </w:tc>
        <w:tc>
          <w:tcPr>
            <w:tcW w:w="5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120C0505">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理解诠释</w:t>
            </w:r>
          </w:p>
        </w:tc>
        <w:tc>
          <w:tcPr>
            <w:tcW w:w="9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465B10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T1.3.3
社交礼仪</w:t>
            </w:r>
          </w:p>
        </w:tc>
        <w:tc>
          <w:tcPr>
            <w:tcW w:w="16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870022C">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我能判断一封邮件是正式的还是非正式的</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0FE79F0C">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先生/女士/您（正式组）；小/老+姓/咱们（非正式组）</w:t>
            </w:r>
          </w:p>
        </w:tc>
        <w:tc>
          <w:tcPr>
            <w:tcW w:w="13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5E091B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尊敬/感谢/举行（IH）；算了/呀/哦（IL）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top"/>
          </w:tcPr>
          <w:p w14:paraId="5D28C10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正式/非正式邮件对比两组样例；语体意识为核心教学目标；语法差异在于语气词、称谓词和用词正式程度</w:t>
            </w:r>
          </w:p>
        </w:tc>
      </w:tr>
    </w:tbl>
    <w:p w14:paraId="3220C43A">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7CAF1D6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default" w:ascii="Times New Roman" w:hAnsi="Times New Roman" w:cs="Times New Roman"/>
          <w:b/>
          <w:bCs/>
          <w:color w:val="auto"/>
          <w:sz w:val="28"/>
          <w:szCs w:val="28"/>
          <w:u w:val="none"/>
          <w:lang w:val="en-US" w:eastAsia="zh-CN"/>
        </w:rPr>
      </w:pPr>
      <w:r>
        <w:rPr>
          <w:rFonts w:hint="default" w:ascii="Times New Roman" w:hAnsi="Times New Roman" w:cs="Times New Roman"/>
          <w:b/>
          <w:bCs/>
          <w:color w:val="auto"/>
          <w:sz w:val="28"/>
          <w:szCs w:val="28"/>
          <w:u w:val="none"/>
          <w:lang w:val="en-US" w:eastAsia="zh-CN"/>
        </w:rPr>
        <w:t>主要成果</w:t>
      </w:r>
    </w:p>
    <w:p w14:paraId="29D63235">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5</w:t>
      </w:r>
      <w:r>
        <w:rPr>
          <w:rFonts w:hint="default" w:ascii="Times New Roman" w:hAnsi="Times New Roman" w:eastAsia="宋体" w:cs="Times New Roman"/>
          <w:b/>
          <w:bCs/>
          <w:color w:val="auto"/>
          <w:sz w:val="24"/>
          <w:szCs w:val="24"/>
          <w:u w:val="none"/>
          <w:lang w:val="en-US" w:eastAsia="zh-CN"/>
        </w:rPr>
        <w:t>.1 核心成果清单</w:t>
      </w:r>
    </w:p>
    <w:p w14:paraId="087DAE76">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核心成果包括以下</w:t>
      </w:r>
      <w:r>
        <w:rPr>
          <w:rFonts w:hint="eastAsia" w:ascii="Times New Roman" w:hAnsi="Times New Roman" w:cs="Times New Roman"/>
          <w:b w:val="0"/>
          <w:bCs w:val="0"/>
          <w:color w:val="auto"/>
          <w:sz w:val="22"/>
          <w:szCs w:val="22"/>
          <w:u w:val="none"/>
          <w:lang w:val="en-US" w:eastAsia="zh-CN"/>
        </w:rPr>
        <w:t>三</w:t>
      </w:r>
      <w:r>
        <w:rPr>
          <w:rFonts w:hint="default" w:ascii="Times New Roman" w:hAnsi="Times New Roman" w:eastAsia="宋体" w:cs="Times New Roman"/>
          <w:b w:val="0"/>
          <w:bCs w:val="0"/>
          <w:color w:val="auto"/>
          <w:sz w:val="22"/>
          <w:szCs w:val="22"/>
          <w:u w:val="none"/>
        </w:rPr>
        <w:t>类文件。第一，分级词汇总表，收录</w:t>
      </w:r>
      <w:r>
        <w:rPr>
          <w:rFonts w:hint="default" w:ascii="Times New Roman" w:hAnsi="Times New Roman" w:cs="Times New Roman"/>
          <w:b w:val="0"/>
          <w:bCs w:val="0"/>
          <w:color w:val="auto"/>
          <w:sz w:val="22"/>
          <w:szCs w:val="22"/>
          <w:u w:val="none"/>
          <w:lang w:eastAsia="zh-CN"/>
        </w:rPr>
        <w:t>12000</w:t>
      </w:r>
      <w:r>
        <w:rPr>
          <w:rFonts w:hint="default" w:ascii="Times New Roman" w:hAnsi="Times New Roman" w:eastAsia="宋体" w:cs="Times New Roman"/>
          <w:b w:val="0"/>
          <w:bCs w:val="0"/>
          <w:color w:val="auto"/>
          <w:sz w:val="22"/>
          <w:szCs w:val="22"/>
          <w:u w:val="none"/>
        </w:rPr>
        <w:t>词条，含ACTFL等级、HSK等级（含跨级标注清洗后的主等级）、PG等级、义务教育等级四维对照字段，每词标注词性，支持多标准检索与按等级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词性导出。第二，各等级词汇分表共9份，从Novice Low至Advanced High+，每份包含能做水平基准（2017版英汉双语）与能力指标说明、各话题编码下的能做示例条目</w:t>
      </w:r>
      <w:r>
        <w:rPr>
          <w:rFonts w:hint="eastAsia" w:ascii="Times New Roman" w:hAnsi="Times New Roman" w:cs="Times New Roman"/>
          <w:b w:val="0"/>
          <w:bCs w:val="0"/>
          <w:color w:val="auto"/>
          <w:sz w:val="22"/>
          <w:szCs w:val="22"/>
          <w:u w:val="none"/>
          <w:lang w:val="en-US" w:eastAsia="zh-CN"/>
        </w:rPr>
        <w:t>以及可使用的</w:t>
      </w:r>
      <w:r>
        <w:rPr>
          <w:rFonts w:hint="default" w:ascii="Times New Roman" w:hAnsi="Times New Roman" w:eastAsia="宋体" w:cs="Times New Roman"/>
          <w:b w:val="0"/>
          <w:bCs w:val="0"/>
          <w:color w:val="auto"/>
          <w:sz w:val="22"/>
          <w:szCs w:val="22"/>
          <w:u w:val="none"/>
        </w:rPr>
        <w:t>核心词与相关词</w:t>
      </w:r>
      <w:r>
        <w:rPr>
          <w:rFonts w:hint="eastAsia" w:ascii="Times New Roman" w:hAnsi="Times New Roman" w:cs="Times New Roman"/>
          <w:b w:val="0"/>
          <w:bCs w:val="0"/>
          <w:color w:val="auto"/>
          <w:sz w:val="22"/>
          <w:szCs w:val="22"/>
          <w:u w:val="none"/>
          <w:lang w:val="en-US" w:eastAsia="zh-CN"/>
        </w:rPr>
        <w:t>等</w:t>
      </w:r>
      <w:r>
        <w:rPr>
          <w:rFonts w:hint="default" w:ascii="Times New Roman" w:hAnsi="Times New Roman" w:eastAsia="宋体" w:cs="Times New Roman"/>
          <w:b w:val="0"/>
          <w:bCs w:val="0"/>
          <w:color w:val="auto"/>
          <w:sz w:val="22"/>
          <w:szCs w:val="22"/>
          <w:u w:val="none"/>
        </w:rPr>
        <w:t>。第三，分级语法量表三段，均含语法点名称、类别标注、与配套例句；Advanced段专设书面语与口语语体系统对比框架及拆双用单词对约50组。</w:t>
      </w:r>
    </w:p>
    <w:p w14:paraId="635A1761">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cs="Times New Roman"/>
          <w:b/>
          <w:bCs/>
          <w:color w:val="auto"/>
          <w:sz w:val="24"/>
          <w:szCs w:val="24"/>
          <w:u w:val="none"/>
          <w:lang w:val="en-US" w:eastAsia="zh-CN"/>
        </w:rPr>
        <w:t>5.</w:t>
      </w:r>
      <w:r>
        <w:rPr>
          <w:rFonts w:hint="default" w:ascii="Times New Roman" w:hAnsi="Times New Roman" w:eastAsia="宋体" w:cs="Times New Roman"/>
          <w:b/>
          <w:bCs/>
          <w:color w:val="auto"/>
          <w:sz w:val="24"/>
          <w:szCs w:val="24"/>
          <w:u w:val="none"/>
          <w:lang w:val="en-US" w:eastAsia="zh-CN"/>
        </w:rPr>
        <w:t>2 两套应用系统</w:t>
      </w:r>
    </w:p>
    <w:p w14:paraId="6DEE35C1">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依托本量表构建了两套应用系统，分别服务于词汇检索和教学资源整合两种需求。</w:t>
      </w:r>
    </w:p>
    <w:p w14:paraId="365C73B9">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第一套为ACTFL分级</w:t>
      </w:r>
      <w:r>
        <w:rPr>
          <w:rFonts w:hint="eastAsia" w:ascii="Times New Roman" w:hAnsi="Times New Roman" w:cs="Times New Roman"/>
          <w:b w:val="0"/>
          <w:bCs w:val="0"/>
          <w:color w:val="auto"/>
          <w:sz w:val="22"/>
          <w:szCs w:val="22"/>
          <w:u w:val="none"/>
          <w:lang w:val="en-US" w:eastAsia="zh-CN"/>
        </w:rPr>
        <w:t>文本</w:t>
      </w:r>
      <w:r>
        <w:rPr>
          <w:rFonts w:hint="default" w:ascii="Times New Roman" w:hAnsi="Times New Roman" w:eastAsia="宋体" w:cs="Times New Roman"/>
          <w:b w:val="0"/>
          <w:bCs w:val="0"/>
          <w:color w:val="auto"/>
          <w:sz w:val="22"/>
          <w:szCs w:val="22"/>
          <w:u w:val="none"/>
        </w:rPr>
        <w:t>查询系统，以</w:t>
      </w:r>
      <w:r>
        <w:rPr>
          <w:rFonts w:hint="default" w:ascii="Times New Roman" w:hAnsi="Times New Roman" w:eastAsia="宋体" w:cs="Times New Roman"/>
          <w:b w:val="0"/>
          <w:bCs w:val="0"/>
          <w:color w:val="auto"/>
          <w:sz w:val="22"/>
          <w:szCs w:val="22"/>
          <w:u w:val="none"/>
          <w:lang w:eastAsia="zh-CN"/>
        </w:rPr>
        <w:t>12000</w:t>
      </w:r>
      <w:r>
        <w:rPr>
          <w:rFonts w:hint="default" w:ascii="Times New Roman" w:hAnsi="Times New Roman" w:eastAsia="宋体" w:cs="Times New Roman"/>
          <w:b w:val="0"/>
          <w:bCs w:val="0"/>
          <w:color w:val="auto"/>
          <w:sz w:val="22"/>
          <w:szCs w:val="22"/>
          <w:u w:val="none"/>
        </w:rPr>
        <w:t>词条为数据基础，构建按ACTFL等级分级检索的词汇查询界面</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将等级参照从抽象数字转化为可检索、可导出的教学资源，直接支撑课程设计与评估任务语言要素选取。</w:t>
      </w:r>
    </w:p>
    <w:p w14:paraId="42D9DFB6">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第二套为主题—能做—词汇—语法多维教学资源查询系统，以</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主题—子主题—话题—能做—模态—词汇—功能语段</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为索引主轴，规划在线查询与交叉检索功能，支持按主题</w:t>
      </w:r>
      <w:r>
        <w:rPr>
          <w:rFonts w:hint="eastAsia" w:ascii="Times New Roman" w:hAnsi="Times New Roman" w:cs="Times New Roman"/>
          <w:b w:val="0"/>
          <w:bCs w:val="0"/>
          <w:color w:val="auto"/>
          <w:sz w:val="22"/>
          <w:szCs w:val="22"/>
          <w:u w:val="none"/>
          <w:lang w:val="en-US" w:eastAsia="zh-CN"/>
        </w:rPr>
        <w:t>或能做快速查询核心词、相关词、</w:t>
      </w:r>
      <w:r>
        <w:rPr>
          <w:rFonts w:hint="default" w:ascii="Times New Roman" w:hAnsi="Times New Roman" w:eastAsia="宋体" w:cs="Times New Roman"/>
          <w:b w:val="0"/>
          <w:bCs w:val="0"/>
          <w:color w:val="auto"/>
          <w:sz w:val="22"/>
          <w:szCs w:val="22"/>
          <w:u w:val="none"/>
        </w:rPr>
        <w:t>参考语篇样例。</w:t>
      </w:r>
    </w:p>
    <w:p w14:paraId="1135516A">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lang w:eastAsia="zh-CN"/>
        </w:rPr>
      </w:pPr>
      <w:r>
        <w:rPr>
          <w:rFonts w:hint="default" w:ascii="Times New Roman" w:hAnsi="Times New Roman" w:eastAsia="宋体" w:cs="Times New Roman"/>
          <w:b w:val="0"/>
          <w:bCs w:val="0"/>
          <w:color w:val="auto"/>
          <w:sz w:val="22"/>
          <w:szCs w:val="22"/>
          <w:u w:val="none"/>
        </w:rPr>
        <w:t>两套系统的在线版本正在开发中。</w:t>
      </w:r>
    </w:p>
    <w:p w14:paraId="284CC951">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 w:leftChars="0" w:firstLine="420" w:firstLineChars="0"/>
        <w:textAlignment w:val="auto"/>
        <w:outlineLvl w:val="0"/>
        <w:rPr>
          <w:rFonts w:hint="default" w:ascii="Times New Roman" w:hAnsi="Times New Roman" w:cs="Times New Roman"/>
          <w:b/>
          <w:bCs/>
          <w:color w:val="auto"/>
          <w:sz w:val="28"/>
          <w:szCs w:val="28"/>
          <w:u w:val="none"/>
          <w:lang w:val="en-US" w:eastAsia="zh-CN"/>
        </w:rPr>
      </w:pPr>
      <w:r>
        <w:rPr>
          <w:rFonts w:hint="default" w:ascii="Times New Roman" w:hAnsi="Times New Roman" w:cs="Times New Roman"/>
          <w:b/>
          <w:bCs/>
          <w:color w:val="auto"/>
          <w:sz w:val="28"/>
          <w:szCs w:val="28"/>
          <w:u w:val="none"/>
          <w:lang w:val="en-US" w:eastAsia="zh-CN"/>
        </w:rPr>
        <w:t>局限性与后续工作展望</w:t>
      </w:r>
    </w:p>
    <w:p w14:paraId="69398248">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本项目作为方法性探索，存在以下局限性，均需在后续研究中系统回应。</w:t>
      </w:r>
    </w:p>
    <w:p w14:paraId="30BF2938">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第一，能做陈述版本局限。本量表以2017版《NCSSFL-ACTFL能做陈述》为编制依据，仅涵盖理解诠释、人际沟通、表达演示三种交际模态。2026版已将跨文化沟通升级为独立第四模态，并引入</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解压</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方式</w:t>
      </w:r>
      <w:r>
        <w:rPr>
          <w:rFonts w:hint="default" w:ascii="Times New Roman" w:hAnsi="Times New Roman" w:eastAsia="宋体" w:cs="Times New Roman"/>
          <w:b w:val="0"/>
          <w:bCs w:val="0"/>
          <w:color w:val="auto"/>
          <w:sz w:val="22"/>
          <w:szCs w:val="22"/>
          <w:u w:val="none"/>
        </w:rPr>
        <w:t>将每条能力指标拆解为三个核心要素，这些更新尚未在本量表中得到系统整合，导致各等级分表中跨文化模态的能力指标缺失。</w:t>
      </w:r>
    </w:p>
    <w:p w14:paraId="0A3FA8AB">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w:t>
      </w:r>
      <w:r>
        <w:rPr>
          <w:rFonts w:hint="eastAsia" w:ascii="Times New Roman" w:hAnsi="Times New Roman" w:cs="Times New Roman"/>
          <w:b w:val="0"/>
          <w:bCs w:val="0"/>
          <w:color w:val="auto"/>
          <w:sz w:val="22"/>
          <w:szCs w:val="22"/>
          <w:u w:val="none"/>
          <w:lang w:val="en-US" w:eastAsia="zh-CN"/>
        </w:rPr>
        <w:t>二</w:t>
      </w:r>
      <w:r>
        <w:rPr>
          <w:rFonts w:hint="default" w:ascii="Times New Roman" w:hAnsi="Times New Roman" w:eastAsia="宋体" w:cs="Times New Roman"/>
          <w:b w:val="0"/>
          <w:bCs w:val="0"/>
          <w:color w:val="auto"/>
          <w:sz w:val="22"/>
          <w:szCs w:val="22"/>
          <w:u w:val="none"/>
        </w:rPr>
        <w:t>，Advanced High+等级精细度不足。AH+收录4000词，等级跨度较宽，后续可视教学实践需求细分为多个子等级，并针对学术中文、商业中文、法律</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医学等特定领域中文分别开发专项词表。</w:t>
      </w:r>
    </w:p>
    <w:p w14:paraId="33F38CD4">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w:t>
      </w:r>
      <w:r>
        <w:rPr>
          <w:rFonts w:hint="eastAsia" w:ascii="Times New Roman" w:hAnsi="Times New Roman" w:cs="Times New Roman"/>
          <w:b w:val="0"/>
          <w:bCs w:val="0"/>
          <w:color w:val="auto"/>
          <w:sz w:val="22"/>
          <w:szCs w:val="22"/>
          <w:u w:val="none"/>
          <w:lang w:val="en-US" w:eastAsia="zh-CN"/>
        </w:rPr>
        <w:t>三</w:t>
      </w:r>
      <w:r>
        <w:rPr>
          <w:rFonts w:hint="default" w:ascii="Times New Roman" w:hAnsi="Times New Roman" w:eastAsia="宋体" w:cs="Times New Roman"/>
          <w:b w:val="0"/>
          <w:bCs w:val="0"/>
          <w:color w:val="auto"/>
          <w:sz w:val="22"/>
          <w:szCs w:val="22"/>
          <w:u w:val="none"/>
        </w:rPr>
        <w:t>，量表未经大规模实证使用研究验证。本量表至今无美国中文教师的大规模使用效度研究，其在实际课堂中对学习成效、课程设计质量和评估一致性的影响尚无系统数据支撑，现有数据主要来自专家审定意见而非实证研究结果。基于上述局限性，后续工作建议按优先级排列如下：（一）按2026版框架补充跨文化沟通模态的能力指标标注，将现有</w:t>
      </w:r>
      <w:r>
        <w:rPr>
          <w:rFonts w:hint="eastAsia" w:ascii="Times New Roman" w:hAnsi="Times New Roman" w:cs="Times New Roman"/>
          <w:b w:val="0"/>
          <w:bCs w:val="0"/>
          <w:color w:val="auto"/>
          <w:sz w:val="22"/>
          <w:szCs w:val="22"/>
          <w:u w:val="none"/>
          <w:lang w:val="en-US" w:eastAsia="zh-CN"/>
        </w:rPr>
        <w:t>能做与</w:t>
      </w:r>
      <w:r>
        <w:rPr>
          <w:rFonts w:hint="default" w:ascii="Times New Roman" w:hAnsi="Times New Roman" w:eastAsia="宋体" w:cs="Times New Roman"/>
          <w:b w:val="0"/>
          <w:bCs w:val="0"/>
          <w:color w:val="auto"/>
          <w:sz w:val="22"/>
          <w:szCs w:val="22"/>
          <w:u w:val="none"/>
        </w:rPr>
        <w:t>《ACTFL语言水平大纲2024版》</w:t>
      </w:r>
      <w:r>
        <w:rPr>
          <w:rFonts w:hint="eastAsia" w:ascii="Times New Roman" w:hAnsi="Times New Roman" w:cs="Times New Roman"/>
          <w:b w:val="0"/>
          <w:bCs w:val="0"/>
          <w:color w:val="auto"/>
          <w:sz w:val="22"/>
          <w:szCs w:val="22"/>
          <w:u w:val="none"/>
          <w:lang w:val="en-US" w:eastAsia="zh-CN"/>
        </w:rPr>
        <w:t>对齐</w:t>
      </w:r>
      <w:r>
        <w:rPr>
          <w:rFonts w:hint="default" w:ascii="Times New Roman" w:hAnsi="Times New Roman" w:eastAsia="宋体" w:cs="Times New Roman"/>
          <w:b w:val="0"/>
          <w:bCs w:val="0"/>
          <w:color w:val="auto"/>
          <w:sz w:val="22"/>
          <w:szCs w:val="22"/>
          <w:u w:val="none"/>
        </w:rPr>
        <w:t>；（二）开展美国中文教师使用效度实证研究，通过问卷调查、课堂观察及学习者测试数据系统评估量表的实际教学效果，重点关注前移词的教学可行性与语法等级安排的学习者接受度；（三）与AP中文、Avant STAMP 4S、OPI等考试体系进行等级映射验证，建立量表等级与主流评估工具的明确对应关系；（</w:t>
      </w:r>
      <w:r>
        <w:rPr>
          <w:rFonts w:hint="eastAsia" w:ascii="Times New Roman" w:hAnsi="Times New Roman" w:cs="Times New Roman"/>
          <w:b w:val="0"/>
          <w:bCs w:val="0"/>
          <w:color w:val="auto"/>
          <w:sz w:val="22"/>
          <w:szCs w:val="22"/>
          <w:u w:val="none"/>
          <w:lang w:val="en-US" w:eastAsia="zh-CN"/>
        </w:rPr>
        <w:t>四</w:t>
      </w:r>
      <w:r>
        <w:rPr>
          <w:rFonts w:hint="default" w:ascii="Times New Roman" w:hAnsi="Times New Roman" w:eastAsia="宋体" w:cs="Times New Roman"/>
          <w:b w:val="0"/>
          <w:bCs w:val="0"/>
          <w:color w:val="auto"/>
          <w:sz w:val="22"/>
          <w:szCs w:val="22"/>
          <w:u w:val="none"/>
        </w:rPr>
        <w:t>）完善两套应用系统的在线查询与交叉检索功能，建立持续更新机制，以应对美国中文教育生态的动态变化和ACTFL标准的周期性修订。</w:t>
      </w:r>
    </w:p>
    <w:p w14:paraId="1E4CDEE8">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eastAsia="宋体" w:cs="Times New Roman"/>
          <w:b w:val="0"/>
          <w:bCs w:val="0"/>
          <w:color w:val="auto"/>
          <w:sz w:val="22"/>
          <w:szCs w:val="22"/>
          <w:u w:val="none"/>
        </w:rPr>
      </w:pPr>
    </w:p>
    <w:p w14:paraId="00CABF0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0"/>
        <w:textAlignment w:val="auto"/>
        <w:outlineLvl w:val="0"/>
        <w:rPr>
          <w:rFonts w:hint="default" w:ascii="Times New Roman" w:hAnsi="Times New Roman" w:cs="Times New Roman"/>
          <w:b/>
          <w:bCs/>
          <w:color w:val="auto"/>
          <w:sz w:val="28"/>
          <w:szCs w:val="28"/>
          <w:u w:val="none"/>
          <w:lang w:val="en-US" w:eastAsia="zh-CN"/>
        </w:rPr>
      </w:pPr>
      <w:r>
        <w:rPr>
          <w:rFonts w:hint="default" w:ascii="Times New Roman" w:hAnsi="Times New Roman" w:cs="Times New Roman"/>
          <w:b/>
          <w:bCs/>
          <w:color w:val="auto"/>
          <w:sz w:val="28"/>
          <w:szCs w:val="28"/>
          <w:u w:val="none"/>
          <w:lang w:val="en-US" w:eastAsia="zh-CN"/>
        </w:rPr>
        <w:t>参考文献</w:t>
      </w:r>
    </w:p>
    <w:p w14:paraId="7EF410B8">
      <w:pPr>
        <w:keepNext w:val="0"/>
        <w:keepLines w:val="0"/>
        <w:pageBreakBefore w:val="0"/>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American Council on the Teaching of Foreign Languages (ACTFL). (2024). ACTFL Proficiency Guidelines 2024. ACTFL.</w:t>
      </w:r>
    </w:p>
    <w:p w14:paraId="26D8C98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NCSSFL-ACTFL. (2017). NCSSFL-ACTFL Can-Do Statements (2017 Edition). ACTFL.</w:t>
      </w:r>
    </w:p>
    <w:p w14:paraId="2C84659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NCSSFL-ACTFL. (2026). NCSSFL-ACTFL Can-Do Statements (2026 Edition). ACTFL.</w:t>
      </w:r>
    </w:p>
    <w:p w14:paraId="09FBCFEF">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ACTFL. (2015). World-Readiness Standards for Learning Languages (4th ed.). ACTFL.</w:t>
      </w:r>
    </w:p>
    <w:p w14:paraId="3B0D38C9">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College Board. (2023). AP Chinese Language and Culture Course and Exam Description. College Board.</w:t>
      </w:r>
    </w:p>
    <w:p w14:paraId="7B8EF5D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刘英林. (2021). HSK 3.0考试大纲研制报告. 《语言文字应用》.</w:t>
      </w:r>
    </w:p>
    <w:p w14:paraId="35882385">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中华人民共和国国家汉语国际推广领导小组办公室. (2021). 《国际中文教育中文水平等级标准》（GB/T 38244—2019）.</w:t>
      </w:r>
    </w:p>
    <w:p w14:paraId="3826E7FE">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教育部. (2024). 《国际中文教学通用课程大纲》（中小学阶段/大学成人阶段）.</w:t>
      </w:r>
    </w:p>
    <w:p w14:paraId="71F4AE0A">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刘月华、潘文娱、故韡. (2001). 《实用现代汉语语法》（增订本）. 商务印书馆.</w:t>
      </w:r>
    </w:p>
    <w:p w14:paraId="0C6BB2D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刘家宁、李宝贵. (2024). 国际中文教育标准体系建设综述. 《汉语国际教育学报》.</w:t>
      </w:r>
    </w:p>
    <w:p w14:paraId="09A8B6F6">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Modern Language Association. (2021). Enrollments in Languages Other Than English in United States Institutions of Higher Education, Fall 2021. MLA.</w:t>
      </w:r>
    </w:p>
    <w:p w14:paraId="21AA7471">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伍晨辰、梁宇. (2023). 美国华文教育发展现状报告. 全美中文学校协会.</w:t>
      </w:r>
    </w:p>
    <w:p w14:paraId="5D4DB26A">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雷歌、吴应辉. (2024). 美国中文教育标准化研究综述. 《国际汉语教学研究》.</w:t>
      </w:r>
    </w:p>
    <w:p w14:paraId="5903017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Fulcher, G., &amp; Davidson, F. (2007). Language Testing and Assessment: An Advanced Resource Book. Routledge.</w:t>
      </w:r>
    </w:p>
    <w:p w14:paraId="3DAA45A4">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Krashen, S. D. (1982). Principles and Practice in Second Language Acquisition. Pergamon Press.</w:t>
      </w:r>
    </w:p>
    <w:p w14:paraId="42B7121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Moeller, A. J., &amp; Yu, F. (2015). NCSSFL-ACTFL Can-Do Statements: An effective tool for improving language learning within and outside the classroom. In P. Swanson (Ed.), Dimension 2015 (pp. 50–69). SCOLT.</w:t>
      </w:r>
    </w:p>
    <w:p w14:paraId="71566FF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North, B. (2000). The Development of a Common Framework Scale of Language Proficiency. Peter Lang.</w:t>
      </w:r>
    </w:p>
    <w:p w14:paraId="3D9E349F"/>
    <w:sectPr>
      <w:footerReference r:id="rId4" w:type="default"/>
      <w:pgSz w:w="12240" w:h="15840"/>
      <w:pgMar w:top="1440" w:right="126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ans-serif">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Noto Serif CJK SC">
    <w:altName w:val="Cambria"/>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285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2A386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1E2A386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BB6704B">
      <w:pPr>
        <w:pStyle w:val="11"/>
        <w:keepNext w:val="0"/>
        <w:keepLines w:val="0"/>
        <w:pageBreakBefore w:val="0"/>
        <w:widowControl/>
        <w:kinsoku/>
        <w:wordWrap/>
        <w:overflowPunct/>
        <w:topLinePunct w:val="0"/>
        <w:bidi w:val="0"/>
        <w:adjustRightInd w:val="0"/>
        <w:snapToGrid w:val="0"/>
        <w:textAlignment w:val="auto"/>
        <w:rPr>
          <w:sz w:val="18"/>
          <w:szCs w:val="18"/>
        </w:rPr>
      </w:pPr>
      <w:r>
        <w:rPr>
          <w:rStyle w:val="20"/>
          <w:sz w:val="18"/>
          <w:szCs w:val="18"/>
        </w:rPr>
        <w:footnoteRef/>
      </w:r>
      <w:r>
        <w:rPr>
          <w:sz w:val="18"/>
          <w:szCs w:val="18"/>
        </w:rPr>
        <w:t xml:space="preserve"> </w:t>
      </w:r>
      <w:r>
        <w:rPr>
          <w:rFonts w:hint="eastAsia" w:ascii="楷体" w:hAnsi="楷体" w:eastAsia="楷体" w:cs="楷体"/>
          <w:snapToGrid w:val="0"/>
          <w:color w:val="000000"/>
          <w:spacing w:val="-3"/>
          <w:kern w:val="0"/>
          <w:sz w:val="18"/>
          <w:szCs w:val="18"/>
          <w:lang w:val="en-US" w:eastAsia="zh-CN" w:bidi="ar-SA"/>
        </w:rPr>
        <w:t>不同词表标注格式的不同已进行处理，如干活儿 = 干活，聊天儿 = 聊天；可选括号：有时（候）→ {有时, 有时候}，兔（子）→ {兔, 兔子}，（老）虎 → {虎, 老虎}；词性标注括号：白（形）→ 白，会（动）→ 会（识别并剥除）；拼音括号：得（děi）→ 得，看（kàn）→ 看；竖线分隔：爸爸∣爸 → {爸爸, 爸}；编号：本1 → 本，点2 → 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9B4F9"/>
    <w:multiLevelType w:val="singleLevel"/>
    <w:tmpl w:val="D599B4F9"/>
    <w:lvl w:ilvl="0" w:tentative="0">
      <w:start w:val="1"/>
      <w:numFmt w:val="chineseCounting"/>
      <w:suff w:val="nothing"/>
      <w:lvlText w:val="第%1，"/>
      <w:lvlJc w:val="left"/>
      <w:rPr>
        <w:rFonts w:hint="eastAsia"/>
      </w:rPr>
    </w:lvl>
  </w:abstractNum>
  <w:abstractNum w:abstractNumId="1">
    <w:nsid w:val="E4F84C24"/>
    <w:multiLevelType w:val="singleLevel"/>
    <w:tmpl w:val="E4F84C24"/>
    <w:lvl w:ilvl="0" w:tentative="0">
      <w:start w:val="1"/>
      <w:numFmt w:val="chineseCounting"/>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2"/>
    <w:footnote w:id="3"/>
  </w:footnotePr>
  <w:compat>
    <w:doNotExpandShiftReturn/>
    <w:doNotWrapTextWithPunct/>
    <w:doNotUseEastAsianBreakRules/>
    <w:useFELayout/>
    <w:compatSetting w:name="compatibilityMode" w:uri="http://schemas.microsoft.com/office/word" w:val="15"/>
  </w:compat>
  <w:rsids>
    <w:rsidRoot w:val="00172A27"/>
    <w:rsid w:val="005E03DE"/>
    <w:rsid w:val="00AD248D"/>
    <w:rsid w:val="016A347B"/>
    <w:rsid w:val="01A36CAD"/>
    <w:rsid w:val="01D134FA"/>
    <w:rsid w:val="02005B8D"/>
    <w:rsid w:val="02111B48"/>
    <w:rsid w:val="022E26FA"/>
    <w:rsid w:val="0270061D"/>
    <w:rsid w:val="02BC0859"/>
    <w:rsid w:val="02CC42EB"/>
    <w:rsid w:val="046823FC"/>
    <w:rsid w:val="04744DDE"/>
    <w:rsid w:val="04D01847"/>
    <w:rsid w:val="05257DE5"/>
    <w:rsid w:val="056F1060"/>
    <w:rsid w:val="06055520"/>
    <w:rsid w:val="06395792"/>
    <w:rsid w:val="06CB49BC"/>
    <w:rsid w:val="06E11AE9"/>
    <w:rsid w:val="06E45A7E"/>
    <w:rsid w:val="0712113E"/>
    <w:rsid w:val="0744651C"/>
    <w:rsid w:val="078A2181"/>
    <w:rsid w:val="0797489E"/>
    <w:rsid w:val="079A613C"/>
    <w:rsid w:val="07EF46DA"/>
    <w:rsid w:val="08183C31"/>
    <w:rsid w:val="082C3238"/>
    <w:rsid w:val="08430582"/>
    <w:rsid w:val="08A6363E"/>
    <w:rsid w:val="08BD6586"/>
    <w:rsid w:val="09714747"/>
    <w:rsid w:val="09A432A2"/>
    <w:rsid w:val="0A193C90"/>
    <w:rsid w:val="0A6273E5"/>
    <w:rsid w:val="0B185AAE"/>
    <w:rsid w:val="0B3F3DC4"/>
    <w:rsid w:val="0B647652"/>
    <w:rsid w:val="0B6D5B58"/>
    <w:rsid w:val="0BF56037"/>
    <w:rsid w:val="0C0A7D34"/>
    <w:rsid w:val="0C5B40EC"/>
    <w:rsid w:val="0CE40585"/>
    <w:rsid w:val="0CE47EB2"/>
    <w:rsid w:val="0CF14A50"/>
    <w:rsid w:val="0CF956B3"/>
    <w:rsid w:val="0D38267F"/>
    <w:rsid w:val="0D573ECE"/>
    <w:rsid w:val="0D6C40D7"/>
    <w:rsid w:val="0D86163D"/>
    <w:rsid w:val="0D991A7F"/>
    <w:rsid w:val="0E356BBF"/>
    <w:rsid w:val="0E4A47F1"/>
    <w:rsid w:val="0ED6779A"/>
    <w:rsid w:val="0F3155D8"/>
    <w:rsid w:val="0F9A317D"/>
    <w:rsid w:val="0FD7617F"/>
    <w:rsid w:val="0FF24D67"/>
    <w:rsid w:val="10DE172B"/>
    <w:rsid w:val="10DE52EC"/>
    <w:rsid w:val="112A6783"/>
    <w:rsid w:val="11484992"/>
    <w:rsid w:val="116752E1"/>
    <w:rsid w:val="11A007F3"/>
    <w:rsid w:val="11D75E67"/>
    <w:rsid w:val="12176D07"/>
    <w:rsid w:val="121F5BBC"/>
    <w:rsid w:val="12837EF9"/>
    <w:rsid w:val="12940358"/>
    <w:rsid w:val="13243514"/>
    <w:rsid w:val="13AE3CBB"/>
    <w:rsid w:val="149363ED"/>
    <w:rsid w:val="14CF1B1B"/>
    <w:rsid w:val="14D050A2"/>
    <w:rsid w:val="14D72BAD"/>
    <w:rsid w:val="153E5FD3"/>
    <w:rsid w:val="157C230A"/>
    <w:rsid w:val="157D0378"/>
    <w:rsid w:val="15BE7EE6"/>
    <w:rsid w:val="15FB11C4"/>
    <w:rsid w:val="16175528"/>
    <w:rsid w:val="161C2B3E"/>
    <w:rsid w:val="16493207"/>
    <w:rsid w:val="169E17A5"/>
    <w:rsid w:val="169E79F7"/>
    <w:rsid w:val="170D692B"/>
    <w:rsid w:val="17125CEF"/>
    <w:rsid w:val="17514A69"/>
    <w:rsid w:val="175B03A6"/>
    <w:rsid w:val="17771FF6"/>
    <w:rsid w:val="17BC0AB5"/>
    <w:rsid w:val="18243F2C"/>
    <w:rsid w:val="18BB370C"/>
    <w:rsid w:val="18C4126B"/>
    <w:rsid w:val="190F0D21"/>
    <w:rsid w:val="190F698A"/>
    <w:rsid w:val="1914121B"/>
    <w:rsid w:val="19233875"/>
    <w:rsid w:val="192A37C4"/>
    <w:rsid w:val="1A7B68CC"/>
    <w:rsid w:val="1ACB066E"/>
    <w:rsid w:val="1B132036"/>
    <w:rsid w:val="1B541CC3"/>
    <w:rsid w:val="1B742AD4"/>
    <w:rsid w:val="1B844ABD"/>
    <w:rsid w:val="1BB27AA1"/>
    <w:rsid w:val="1BC528BF"/>
    <w:rsid w:val="1BCA4DEA"/>
    <w:rsid w:val="1BDF5EED"/>
    <w:rsid w:val="1C1B24AA"/>
    <w:rsid w:val="1C8A6328"/>
    <w:rsid w:val="1D507571"/>
    <w:rsid w:val="1D8D60CF"/>
    <w:rsid w:val="1D9E3123"/>
    <w:rsid w:val="1E173CC5"/>
    <w:rsid w:val="1E22252A"/>
    <w:rsid w:val="1E5E7A6C"/>
    <w:rsid w:val="1E636E30"/>
    <w:rsid w:val="1E641526"/>
    <w:rsid w:val="1E8E0351"/>
    <w:rsid w:val="1F3F1ACB"/>
    <w:rsid w:val="1F51312D"/>
    <w:rsid w:val="1F5350F7"/>
    <w:rsid w:val="200C32BA"/>
    <w:rsid w:val="200F54C2"/>
    <w:rsid w:val="20175456"/>
    <w:rsid w:val="20873C6C"/>
    <w:rsid w:val="20895274"/>
    <w:rsid w:val="20EA3839"/>
    <w:rsid w:val="20F655E8"/>
    <w:rsid w:val="21C53AFC"/>
    <w:rsid w:val="220F6948"/>
    <w:rsid w:val="22356D36"/>
    <w:rsid w:val="22833F45"/>
    <w:rsid w:val="228D26CE"/>
    <w:rsid w:val="22BD1205"/>
    <w:rsid w:val="23A13D5D"/>
    <w:rsid w:val="23B7235F"/>
    <w:rsid w:val="23FF75FB"/>
    <w:rsid w:val="24247062"/>
    <w:rsid w:val="24347829"/>
    <w:rsid w:val="245A6505"/>
    <w:rsid w:val="24DB0068"/>
    <w:rsid w:val="252E1F46"/>
    <w:rsid w:val="25761B3F"/>
    <w:rsid w:val="25853B30"/>
    <w:rsid w:val="26746889"/>
    <w:rsid w:val="26B86EE4"/>
    <w:rsid w:val="26E03714"/>
    <w:rsid w:val="26FC6074"/>
    <w:rsid w:val="27003DB6"/>
    <w:rsid w:val="27005B64"/>
    <w:rsid w:val="27155DCE"/>
    <w:rsid w:val="27201977"/>
    <w:rsid w:val="277A5916"/>
    <w:rsid w:val="279577F1"/>
    <w:rsid w:val="27CC1EEA"/>
    <w:rsid w:val="27EC60E8"/>
    <w:rsid w:val="27F805DB"/>
    <w:rsid w:val="281C69CE"/>
    <w:rsid w:val="28334D97"/>
    <w:rsid w:val="286D0FD7"/>
    <w:rsid w:val="288B76AF"/>
    <w:rsid w:val="288D3427"/>
    <w:rsid w:val="28DB0E17"/>
    <w:rsid w:val="28F11C08"/>
    <w:rsid w:val="28F73BA4"/>
    <w:rsid w:val="29140EF8"/>
    <w:rsid w:val="293E2974"/>
    <w:rsid w:val="29883BEF"/>
    <w:rsid w:val="29D4597E"/>
    <w:rsid w:val="29E6143A"/>
    <w:rsid w:val="2B0B1B03"/>
    <w:rsid w:val="2B2554ED"/>
    <w:rsid w:val="2B6B13C6"/>
    <w:rsid w:val="2BBA09D7"/>
    <w:rsid w:val="2C271DE5"/>
    <w:rsid w:val="2CA13945"/>
    <w:rsid w:val="2CDD4252"/>
    <w:rsid w:val="2D23435A"/>
    <w:rsid w:val="2D3E1194"/>
    <w:rsid w:val="2D7813DC"/>
    <w:rsid w:val="2D792E9C"/>
    <w:rsid w:val="2D7C1CBC"/>
    <w:rsid w:val="2DB80884"/>
    <w:rsid w:val="2DB80F46"/>
    <w:rsid w:val="2DC8332F"/>
    <w:rsid w:val="2DE75388"/>
    <w:rsid w:val="2E0028ED"/>
    <w:rsid w:val="2E1A6A85"/>
    <w:rsid w:val="2E797950"/>
    <w:rsid w:val="2E7A26A0"/>
    <w:rsid w:val="2EAE5EA6"/>
    <w:rsid w:val="2EC61441"/>
    <w:rsid w:val="2F4B315F"/>
    <w:rsid w:val="2FDD4C94"/>
    <w:rsid w:val="301F34FF"/>
    <w:rsid w:val="304B51E1"/>
    <w:rsid w:val="30A6152A"/>
    <w:rsid w:val="30C220DC"/>
    <w:rsid w:val="311C7A3E"/>
    <w:rsid w:val="31622A14"/>
    <w:rsid w:val="317C34AF"/>
    <w:rsid w:val="31833619"/>
    <w:rsid w:val="31A46D69"/>
    <w:rsid w:val="32A0644D"/>
    <w:rsid w:val="32A95302"/>
    <w:rsid w:val="32F26CA9"/>
    <w:rsid w:val="33A83767"/>
    <w:rsid w:val="33D00518"/>
    <w:rsid w:val="33E13858"/>
    <w:rsid w:val="33EE0CB5"/>
    <w:rsid w:val="33F27507"/>
    <w:rsid w:val="34192013"/>
    <w:rsid w:val="3468501E"/>
    <w:rsid w:val="34925AE1"/>
    <w:rsid w:val="356E79A4"/>
    <w:rsid w:val="35977693"/>
    <w:rsid w:val="35B93AAE"/>
    <w:rsid w:val="35C736C6"/>
    <w:rsid w:val="35D94150"/>
    <w:rsid w:val="360A255B"/>
    <w:rsid w:val="362B4280"/>
    <w:rsid w:val="3650100C"/>
    <w:rsid w:val="36D30B9F"/>
    <w:rsid w:val="370C40B1"/>
    <w:rsid w:val="372D19FB"/>
    <w:rsid w:val="3862667F"/>
    <w:rsid w:val="39162FC5"/>
    <w:rsid w:val="39493A7B"/>
    <w:rsid w:val="395C1320"/>
    <w:rsid w:val="39EC38B9"/>
    <w:rsid w:val="3A3556CD"/>
    <w:rsid w:val="3A6A181A"/>
    <w:rsid w:val="3A7B5946"/>
    <w:rsid w:val="3AB02FA5"/>
    <w:rsid w:val="3ADA3505"/>
    <w:rsid w:val="3B851508"/>
    <w:rsid w:val="3BC46D08"/>
    <w:rsid w:val="3BF13876"/>
    <w:rsid w:val="3CF711C0"/>
    <w:rsid w:val="3CF96E86"/>
    <w:rsid w:val="3D034028"/>
    <w:rsid w:val="3D405813"/>
    <w:rsid w:val="3D69400B"/>
    <w:rsid w:val="3DB039E8"/>
    <w:rsid w:val="3DBD7EB3"/>
    <w:rsid w:val="3E145F68"/>
    <w:rsid w:val="3E2C636E"/>
    <w:rsid w:val="3E6E16C1"/>
    <w:rsid w:val="3E7A3E39"/>
    <w:rsid w:val="3E8E35FE"/>
    <w:rsid w:val="3E974C1D"/>
    <w:rsid w:val="3E9926CE"/>
    <w:rsid w:val="3ECE159A"/>
    <w:rsid w:val="3F4168C2"/>
    <w:rsid w:val="40487668"/>
    <w:rsid w:val="40491ED2"/>
    <w:rsid w:val="40CF322D"/>
    <w:rsid w:val="40E15ECC"/>
    <w:rsid w:val="422C5607"/>
    <w:rsid w:val="425F39BC"/>
    <w:rsid w:val="42AF1E2C"/>
    <w:rsid w:val="42F05AF9"/>
    <w:rsid w:val="432B281E"/>
    <w:rsid w:val="433C187A"/>
    <w:rsid w:val="43C169B6"/>
    <w:rsid w:val="43EB7FFB"/>
    <w:rsid w:val="44B244EA"/>
    <w:rsid w:val="45034D45"/>
    <w:rsid w:val="45101210"/>
    <w:rsid w:val="45F97EF6"/>
    <w:rsid w:val="463E3B5B"/>
    <w:rsid w:val="469F45FA"/>
    <w:rsid w:val="46D22C21"/>
    <w:rsid w:val="47290367"/>
    <w:rsid w:val="474B4C1C"/>
    <w:rsid w:val="47B10A89"/>
    <w:rsid w:val="47EA5D49"/>
    <w:rsid w:val="4812652E"/>
    <w:rsid w:val="48595276"/>
    <w:rsid w:val="489F2FD7"/>
    <w:rsid w:val="48EA3B26"/>
    <w:rsid w:val="49AF724A"/>
    <w:rsid w:val="49D4280C"/>
    <w:rsid w:val="49E113CD"/>
    <w:rsid w:val="4A3926C0"/>
    <w:rsid w:val="4A4A3F0E"/>
    <w:rsid w:val="4A952A50"/>
    <w:rsid w:val="4AB802BF"/>
    <w:rsid w:val="4B0532CE"/>
    <w:rsid w:val="4B8A29A8"/>
    <w:rsid w:val="4B9A5CD8"/>
    <w:rsid w:val="4BD756EA"/>
    <w:rsid w:val="4BE97045"/>
    <w:rsid w:val="4C0F5D7E"/>
    <w:rsid w:val="4C1B2975"/>
    <w:rsid w:val="4C5C2F8D"/>
    <w:rsid w:val="4C847AD2"/>
    <w:rsid w:val="4CC0351C"/>
    <w:rsid w:val="4CD80866"/>
    <w:rsid w:val="4D4B54DB"/>
    <w:rsid w:val="4D9D560B"/>
    <w:rsid w:val="4DB25B52"/>
    <w:rsid w:val="4DBE5CAD"/>
    <w:rsid w:val="4E933360"/>
    <w:rsid w:val="4EEF2AAB"/>
    <w:rsid w:val="4F5368C9"/>
    <w:rsid w:val="4FE6773D"/>
    <w:rsid w:val="50096F88"/>
    <w:rsid w:val="50C55866"/>
    <w:rsid w:val="512750D9"/>
    <w:rsid w:val="517C4442"/>
    <w:rsid w:val="51A96C75"/>
    <w:rsid w:val="51C26798"/>
    <w:rsid w:val="52391D60"/>
    <w:rsid w:val="52A01E26"/>
    <w:rsid w:val="52C33D66"/>
    <w:rsid w:val="52D928C3"/>
    <w:rsid w:val="52EE4A1B"/>
    <w:rsid w:val="530E43BC"/>
    <w:rsid w:val="53271BCA"/>
    <w:rsid w:val="53430CF6"/>
    <w:rsid w:val="534F73A8"/>
    <w:rsid w:val="5386726D"/>
    <w:rsid w:val="53B16F7B"/>
    <w:rsid w:val="53C51B3F"/>
    <w:rsid w:val="53CD72A9"/>
    <w:rsid w:val="53E605F6"/>
    <w:rsid w:val="54F62E89"/>
    <w:rsid w:val="55366A71"/>
    <w:rsid w:val="55D02A22"/>
    <w:rsid w:val="56013A0F"/>
    <w:rsid w:val="568D02E8"/>
    <w:rsid w:val="572D5C52"/>
    <w:rsid w:val="574216FD"/>
    <w:rsid w:val="57550FF9"/>
    <w:rsid w:val="57FB5D50"/>
    <w:rsid w:val="58370771"/>
    <w:rsid w:val="5889335C"/>
    <w:rsid w:val="58F339F8"/>
    <w:rsid w:val="5907306E"/>
    <w:rsid w:val="59367040"/>
    <w:rsid w:val="5952374E"/>
    <w:rsid w:val="59812190"/>
    <w:rsid w:val="599D333F"/>
    <w:rsid w:val="5A1D0200"/>
    <w:rsid w:val="5AAB6FEB"/>
    <w:rsid w:val="5B3E042E"/>
    <w:rsid w:val="5B6D2D12"/>
    <w:rsid w:val="5BA00626"/>
    <w:rsid w:val="5BBF6264"/>
    <w:rsid w:val="5BDB61D0"/>
    <w:rsid w:val="5BE80399"/>
    <w:rsid w:val="5BEF6783"/>
    <w:rsid w:val="5C0E6A0C"/>
    <w:rsid w:val="5C54662E"/>
    <w:rsid w:val="5C6C4B26"/>
    <w:rsid w:val="5CEE19DF"/>
    <w:rsid w:val="5D4D6706"/>
    <w:rsid w:val="5D9A4FF0"/>
    <w:rsid w:val="5DAA158A"/>
    <w:rsid w:val="5DEF7F81"/>
    <w:rsid w:val="5E5314E7"/>
    <w:rsid w:val="5E655CD1"/>
    <w:rsid w:val="5EA20CD3"/>
    <w:rsid w:val="5EC944B2"/>
    <w:rsid w:val="5ED837A7"/>
    <w:rsid w:val="5F465B03"/>
    <w:rsid w:val="5F6D3295"/>
    <w:rsid w:val="5F7A39FE"/>
    <w:rsid w:val="5FCD1D80"/>
    <w:rsid w:val="5FE43DC3"/>
    <w:rsid w:val="5FFA1EB5"/>
    <w:rsid w:val="61361C15"/>
    <w:rsid w:val="615362B5"/>
    <w:rsid w:val="6232615E"/>
    <w:rsid w:val="627202A3"/>
    <w:rsid w:val="62742987"/>
    <w:rsid w:val="627806C9"/>
    <w:rsid w:val="639826A5"/>
    <w:rsid w:val="63A64DC2"/>
    <w:rsid w:val="63A75388"/>
    <w:rsid w:val="64032214"/>
    <w:rsid w:val="64041AE8"/>
    <w:rsid w:val="64402948"/>
    <w:rsid w:val="64744EC0"/>
    <w:rsid w:val="64CC2606"/>
    <w:rsid w:val="64DF35AF"/>
    <w:rsid w:val="64E50514"/>
    <w:rsid w:val="650D02EA"/>
    <w:rsid w:val="653463FD"/>
    <w:rsid w:val="65766A16"/>
    <w:rsid w:val="659D3FA3"/>
    <w:rsid w:val="66026A77"/>
    <w:rsid w:val="667473F9"/>
    <w:rsid w:val="66EC30DC"/>
    <w:rsid w:val="66FB505F"/>
    <w:rsid w:val="6738702B"/>
    <w:rsid w:val="678D1076"/>
    <w:rsid w:val="67A56F5B"/>
    <w:rsid w:val="67C25F42"/>
    <w:rsid w:val="67E73BFB"/>
    <w:rsid w:val="683A1F7D"/>
    <w:rsid w:val="686679E3"/>
    <w:rsid w:val="68790F37"/>
    <w:rsid w:val="694839A6"/>
    <w:rsid w:val="69665C51"/>
    <w:rsid w:val="698C05B6"/>
    <w:rsid w:val="699D3E7F"/>
    <w:rsid w:val="69C1074F"/>
    <w:rsid w:val="69DB383A"/>
    <w:rsid w:val="69EE301F"/>
    <w:rsid w:val="6A272A2B"/>
    <w:rsid w:val="6A401B02"/>
    <w:rsid w:val="6A735AF7"/>
    <w:rsid w:val="6A89528F"/>
    <w:rsid w:val="6B080110"/>
    <w:rsid w:val="6B6E4567"/>
    <w:rsid w:val="6BA3608B"/>
    <w:rsid w:val="6C4909E0"/>
    <w:rsid w:val="6C9A123C"/>
    <w:rsid w:val="6CAE4CE7"/>
    <w:rsid w:val="6D1E20E1"/>
    <w:rsid w:val="6D6F26C8"/>
    <w:rsid w:val="6DD47053"/>
    <w:rsid w:val="6DE50595"/>
    <w:rsid w:val="6E70494A"/>
    <w:rsid w:val="6ED3075F"/>
    <w:rsid w:val="6F1C418A"/>
    <w:rsid w:val="6F2E3EBD"/>
    <w:rsid w:val="6F571666"/>
    <w:rsid w:val="6F593885"/>
    <w:rsid w:val="70357BF9"/>
    <w:rsid w:val="707A560C"/>
    <w:rsid w:val="70840239"/>
    <w:rsid w:val="71BA6403"/>
    <w:rsid w:val="71C31235"/>
    <w:rsid w:val="72E43211"/>
    <w:rsid w:val="73137F9A"/>
    <w:rsid w:val="738D5656"/>
    <w:rsid w:val="73905147"/>
    <w:rsid w:val="74202616"/>
    <w:rsid w:val="742E508B"/>
    <w:rsid w:val="7467234B"/>
    <w:rsid w:val="74B607F5"/>
    <w:rsid w:val="74DD43BC"/>
    <w:rsid w:val="74DD616A"/>
    <w:rsid w:val="750559D8"/>
    <w:rsid w:val="75790C57"/>
    <w:rsid w:val="75B55338"/>
    <w:rsid w:val="7625483F"/>
    <w:rsid w:val="76BA53EF"/>
    <w:rsid w:val="771E077E"/>
    <w:rsid w:val="775A21CE"/>
    <w:rsid w:val="77A318EC"/>
    <w:rsid w:val="77DB72D8"/>
    <w:rsid w:val="78411105"/>
    <w:rsid w:val="784437A8"/>
    <w:rsid w:val="787943FB"/>
    <w:rsid w:val="78A43B6E"/>
    <w:rsid w:val="78FC07D7"/>
    <w:rsid w:val="791365FE"/>
    <w:rsid w:val="794864FF"/>
    <w:rsid w:val="79617BF3"/>
    <w:rsid w:val="79752E15"/>
    <w:rsid w:val="797A042B"/>
    <w:rsid w:val="798219D5"/>
    <w:rsid w:val="798B6ADC"/>
    <w:rsid w:val="79C478F8"/>
    <w:rsid w:val="79D52446"/>
    <w:rsid w:val="79E263BE"/>
    <w:rsid w:val="7A653177"/>
    <w:rsid w:val="7A6766B1"/>
    <w:rsid w:val="7AF81F4F"/>
    <w:rsid w:val="7B6202F2"/>
    <w:rsid w:val="7B6E2211"/>
    <w:rsid w:val="7BF070CA"/>
    <w:rsid w:val="7C6B454D"/>
    <w:rsid w:val="7D2E2BEF"/>
    <w:rsid w:val="7D4F1BCF"/>
    <w:rsid w:val="7DAB14FB"/>
    <w:rsid w:val="7DDD542C"/>
    <w:rsid w:val="7DF1206F"/>
    <w:rsid w:val="7DFD0E3A"/>
    <w:rsid w:val="7E6873EC"/>
    <w:rsid w:val="7E6B47E6"/>
    <w:rsid w:val="7EC82119"/>
    <w:rsid w:val="7EDB5E10"/>
    <w:rsid w:val="7EED78F1"/>
    <w:rsid w:val="7EFF6DF3"/>
    <w:rsid w:val="7F736048"/>
    <w:rsid w:val="7FA04963"/>
    <w:rsid w:val="7FCD4124"/>
    <w:rsid w:val="7FF52F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400" w:after="160"/>
      <w:outlineLvl w:val="0"/>
    </w:pPr>
    <w:rPr>
      <w:rFonts w:ascii="宋体" w:hAnsi="宋体" w:eastAsia="宋体" w:cs="宋体"/>
      <w:b/>
      <w:bCs/>
      <w:sz w:val="34"/>
      <w:szCs w:val="34"/>
    </w:rPr>
  </w:style>
  <w:style w:type="paragraph" w:styleId="3">
    <w:name w:val="heading 2"/>
    <w:next w:val="1"/>
    <w:qFormat/>
    <w:uiPriority w:val="0"/>
    <w:pPr>
      <w:spacing w:before="260" w:after="100"/>
      <w:outlineLvl w:val="1"/>
    </w:pPr>
    <w:rPr>
      <w:rFonts w:ascii="宋体" w:hAnsi="宋体" w:eastAsia="宋体" w:cs="宋体"/>
      <w:b/>
      <w:bCs/>
      <w:sz w:val="27"/>
      <w:szCs w:val="27"/>
    </w:rPr>
  </w:style>
  <w:style w:type="paragraph" w:styleId="4">
    <w:name w:val="heading 3"/>
    <w:next w:val="1"/>
    <w:qFormat/>
    <w:uiPriority w:val="0"/>
    <w:pPr>
      <w:spacing w:before="180" w:after="60"/>
      <w:outlineLvl w:val="2"/>
    </w:pPr>
    <w:rPr>
      <w:rFonts w:ascii="宋体" w:hAnsi="宋体" w:eastAsia="宋体" w:cs="宋体"/>
      <w:b/>
      <w:bCs/>
      <w:sz w:val="24"/>
      <w:szCs w:val="24"/>
    </w:rPr>
  </w:style>
  <w:style w:type="paragraph" w:styleId="5">
    <w:name w:val="heading 4"/>
    <w:next w:val="1"/>
    <w:qFormat/>
    <w:uiPriority w:val="0"/>
    <w:pPr>
      <w:spacing w:before="120" w:after="40"/>
      <w:outlineLvl w:val="3"/>
    </w:pPr>
    <w:rPr>
      <w:rFonts w:ascii="宋体" w:hAnsi="宋体" w:eastAsia="宋体" w:cs="宋体"/>
      <w:b/>
      <w:bCs/>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6">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2"/>
    <w:semiHidden/>
    <w:unhideWhenUsed/>
    <w:qFormat/>
    <w:uiPriority w:val="99"/>
    <w:pPr>
      <w:spacing w:after="0" w:line="240" w:lineRule="auto"/>
    </w:pPr>
    <w:rPr>
      <w:rFonts w:ascii="宋体" w:hAnsi="宋体" w:eastAsia="宋体" w:cs="宋体"/>
      <w:sz w:val="20"/>
      <w:szCs w:val="20"/>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qFormat/>
    <w:uiPriority w:val="0"/>
    <w:rPr>
      <w:rFonts w:ascii="宋体" w:hAnsi="宋体" w:eastAsia="宋体" w:cs="宋体"/>
      <w:sz w:val="56"/>
      <w:szCs w:val="56"/>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unhideWhenUsed/>
    <w:qFormat/>
    <w:uiPriority w:val="99"/>
    <w:rPr>
      <w:color w:val="0563C1"/>
      <w:u w:val="single"/>
    </w:rPr>
  </w:style>
  <w:style w:type="character" w:styleId="19">
    <w:name w:val="HTML Code"/>
    <w:basedOn w:val="16"/>
    <w:uiPriority w:val="0"/>
    <w:rPr>
      <w:rFonts w:ascii="Courier New" w:hAnsi="Courier New"/>
      <w:sz w:val="20"/>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宋体" w:hAnsi="宋体" w:eastAsia="宋体" w:cs="宋体"/>
      <w:sz w:val="22"/>
      <w:szCs w:val="22"/>
    </w:rPr>
  </w:style>
  <w:style w:type="character" w:customStyle="1" w:styleId="22">
    <w:name w:val="Footnote Text Char"/>
    <w:link w:val="11"/>
    <w:semiHidden/>
    <w:unhideWhenUsed/>
    <w:qFormat/>
    <w:uiPriority w:val="99"/>
    <w:rPr>
      <w:sz w:val="20"/>
      <w:szCs w:val="20"/>
    </w:rPr>
  </w:style>
  <w:style w:type="character" w:customStyle="1" w:styleId="23">
    <w:name w:val="font31"/>
    <w:basedOn w:val="16"/>
    <w:uiPriority w:val="0"/>
    <w:rPr>
      <w:rFonts w:hint="default" w:ascii="Times New Roman" w:hAnsi="Times New Roman" w:cs="Times New Roman"/>
      <w:color w:val="000000"/>
      <w:sz w:val="22"/>
      <w:szCs w:val="22"/>
      <w:u w:val="none"/>
    </w:rPr>
  </w:style>
  <w:style w:type="character" w:customStyle="1" w:styleId="24">
    <w:name w:val="font01"/>
    <w:basedOn w:val="16"/>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chart" Target="charts/chart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26700;&#38754;\ACTFL&#31561;&#32423;&#35789;&#37327;&#32479;&#3574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chemeClr val="tx1"/>
                </a:solidFill>
                <a:latin typeface="+mn-lt"/>
                <a:ea typeface="+mn-ea"/>
                <a:cs typeface="+mn-cs"/>
              </a:defRPr>
            </a:pPr>
            <a:r>
              <a:t>各等级词量构成对比</a:t>
            </a:r>
          </a:p>
        </c:rich>
      </c:tx>
      <c:layout/>
      <c:overlay val="0"/>
    </c:title>
    <c:autoTitleDeleted val="0"/>
    <c:plotArea>
      <c:layout/>
      <c:barChart>
        <c:barDir val="bar"/>
        <c:grouping val="stacked"/>
        <c:varyColors val="0"/>
        <c:ser>
          <c:idx val="0"/>
          <c:order val="0"/>
          <c:tx>
            <c:strRef>
              <c:f>[ACTFL等级词量统计表.xlsx]词量分布图表!$C$1</c:f>
              <c:strCache>
                <c:ptCount val="1"/>
                <c:pt idx="0">
                  <c:v>三表共有</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[ACTFL等级词量统计表.xlsx]词量分布图表!$C$2:$C$10</c:f>
              <c:numCache>
                <c:formatCode>General</c:formatCode>
                <c:ptCount val="9"/>
                <c:pt idx="0">
                  <c:v>309</c:v>
                </c:pt>
                <c:pt idx="1">
                  <c:v>338</c:v>
                </c:pt>
                <c:pt idx="2">
                  <c:v>551</c:v>
                </c:pt>
                <c:pt idx="3">
                  <c:v>814</c:v>
                </c:pt>
                <c:pt idx="4">
                  <c:v>1002</c:v>
                </c:pt>
                <c:pt idx="5">
                  <c:v>1232</c:v>
                </c:pt>
                <c:pt idx="6">
                  <c:v>1370</c:v>
                </c:pt>
                <c:pt idx="7">
                  <c:v>1745</c:v>
                </c:pt>
                <c:pt idx="8">
                  <c:v>2461</c:v>
                </c:pt>
              </c:numCache>
            </c:numRef>
          </c:val>
        </c:ser>
        <c:ser>
          <c:idx val="1"/>
          <c:order val="1"/>
          <c:tx>
            <c:strRef>
              <c:f>[ACTFL等级词量统计表.xlsx]词量分布图表!$D$1</c:f>
              <c:strCache>
                <c:ptCount val="1"/>
                <c:pt idx="0">
                  <c:v>HSK外词数</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[ACTFL等级词量统计表.xlsx]词量分布图表!$D$2:$D$10</c:f>
              <c:numCache>
                <c:formatCode>General</c:formatCode>
                <c:ptCount val="9"/>
                <c:pt idx="0">
                  <c:v>4</c:v>
                </c:pt>
                <c:pt idx="1">
                  <c:v>12</c:v>
                </c:pt>
                <c:pt idx="2">
                  <c:v>25</c:v>
                </c:pt>
                <c:pt idx="3">
                  <c:v>22</c:v>
                </c:pt>
                <c:pt idx="4">
                  <c:v>37</c:v>
                </c:pt>
                <c:pt idx="5">
                  <c:v>67</c:v>
                </c:pt>
                <c:pt idx="6">
                  <c:v>66</c:v>
                </c:pt>
                <c:pt idx="7">
                  <c:v>94</c:v>
                </c:pt>
                <c:pt idx="8">
                  <c:v>672</c:v>
                </c:pt>
              </c:numCache>
            </c:numRef>
          </c:val>
        </c:ser>
        <c:ser>
          <c:idx val="2"/>
          <c:order val="2"/>
          <c:tx>
            <c:strRef>
              <c:f>[ACTFL等级词量统计表.xlsx]词量分布图表!$E$1</c:f>
              <c:strCache>
                <c:ptCount val="1"/>
                <c:pt idx="0">
                  <c:v>PG外词数</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[ACTFL等级词量统计表.xlsx]词量分布图表!$E$2:$E$10</c:f>
              <c:numCache>
                <c:formatCode>General</c:formatCode>
                <c:ptCount val="9"/>
                <c:pt idx="0">
                  <c:v>8</c:v>
                </c:pt>
                <c:pt idx="1">
                  <c:v>0</c:v>
                </c:pt>
                <c:pt idx="2">
                  <c:v>9</c:v>
                </c:pt>
                <c:pt idx="3">
                  <c:v>19</c:v>
                </c:pt>
                <c:pt idx="4">
                  <c:v>12</c:v>
                </c:pt>
                <c:pt idx="5">
                  <c:v>52</c:v>
                </c:pt>
                <c:pt idx="6">
                  <c:v>76</c:v>
                </c:pt>
                <c:pt idx="7">
                  <c:v>211</c:v>
                </c:pt>
                <c:pt idx="8">
                  <c:v>1121</c:v>
                </c:pt>
              </c:numCache>
            </c:numRef>
          </c:val>
        </c:ser>
        <c:ser>
          <c:idx val="3"/>
          <c:order val="3"/>
          <c:tx>
            <c:strRef>
              <c:f>[ACTFL等级词量统计表.xlsx]词量分布图表!$F$1</c:f>
              <c:strCache>
                <c:ptCount val="1"/>
                <c:pt idx="0">
                  <c:v>仅ACTFL独有</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[ACTFL等级词量统计表.xlsx]词量分布图表!$F$2:$F$10</c:f>
              <c:numCache>
                <c:formatCode>General</c:formatCode>
                <c:ptCount val="9"/>
                <c:pt idx="0">
                  <c:v>1</c:v>
                </c:pt>
                <c:pt idx="1">
                  <c:v>0</c:v>
                </c:pt>
                <c:pt idx="2">
                  <c:v>5</c:v>
                </c:pt>
                <c:pt idx="3">
                  <c:v>5</c:v>
                </c:pt>
                <c:pt idx="4">
                  <c:v>1</c:v>
                </c:pt>
                <c:pt idx="5">
                  <c:v>1</c:v>
                </c:pt>
                <c:pt idx="6">
                  <c:v>12</c:v>
                </c:pt>
                <c:pt idx="7">
                  <c:v>50</c:v>
                </c:pt>
                <c:pt idx="8">
                  <c:v>254</c:v>
                </c:pt>
              </c:numCache>
            </c:numRef>
          </c:val>
        </c:ser>
        <c:dLbls>
          <c:showLegendKey val="0"/>
          <c:showVal val="0"/>
          <c:showCatName val="0"/>
          <c:showSerName val="0"/>
          <c:showPercent val="0"/>
          <c:showBubbleSize val="0"/>
        </c:dLbls>
        <c:gapWidth val="150"/>
        <c:axId val="10"/>
        <c:axId val="100"/>
      </c:barChart>
      <c:catAx>
        <c:axId val="10"/>
        <c:scaling>
          <c:orientation val="minMax"/>
        </c:scaling>
        <c:delete val="0"/>
        <c:axPos val="l"/>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t>ACTFL等级</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00"/>
        <c:crosses val="autoZero"/>
        <c:auto val="1"/>
        <c:lblAlgn val="ctr"/>
        <c:lblOffset val="100"/>
        <c:noMultiLvlLbl val="0"/>
      </c:catAx>
      <c:valAx>
        <c:axId val="100"/>
        <c:scaling>
          <c:orientation val="minMax"/>
        </c:scaling>
        <c:delete val="0"/>
        <c:axPos val="b"/>
        <c:maj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t>词条数</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2e15efe7-88f5-426d-9e04-32c23bac8e2a}"/>
      </c:ext>
    </c:extLst>
  </c:chart>
  <c:txPr>
    <a:bodyPr/>
    <a:lstStyle/>
    <a:p>
      <a:pPr>
        <a:defRPr lang="zh-CN"/>
      </a:pPr>
    </a:p>
  </c:txPr>
  <c:externalData r:id="rId1">
    <c:autoUpdate val="0"/>
  </c:externalData>
</c:chartSpac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2424</Words>
  <Characters>3116</Characters>
  <TotalTime>18</TotalTime>
  <ScaleCrop>false</ScaleCrop>
  <LinksUpToDate>false</LinksUpToDate>
  <CharactersWithSpaces>3170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2026-03-21T09:34:00Z</dcterms:created>
  <dc:creator>Un-named</dc:creator>
  <cp:lastModifiedBy>Fengyong</cp:lastModifiedBy>
  <dcterms:modified xsi:type="dcterms:W3CDTF">2026-03-23T07:53:56Z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2052-12.1.0.25225</vt:lpwstr>
  </property>
  <property fmtid="{D5CDD505-2E9C-101B-9397-08002B2CF9AE}" pid="4" name="ICV">
    <vt:lpwstr>5CC9B5321082477692C7BC402671FB72_13</vt:lpwstr>
  </property>
</Properties>
</file>