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BC6A" w14:textId="77777777" w:rsidR="000D1D70" w:rsidRDefault="00940D7D" w:rsidP="00F83D27">
      <w:pPr>
        <w:pStyle w:val="Heading1"/>
      </w:pPr>
      <w:r>
        <w:t xml:space="preserve">BIOSTAT 653 Homework </w:t>
      </w:r>
      <w:r w:rsidR="005F2C8F">
        <w:t>#5</w:t>
      </w:r>
      <w:r w:rsidR="00F83D27">
        <w:t xml:space="preserve"> Solution</w:t>
      </w:r>
      <w:r w:rsidR="00F83D27">
        <w:br/>
      </w:r>
    </w:p>
    <w:p w14:paraId="3B27F564" w14:textId="77777777" w:rsidR="007F4D4F" w:rsidRPr="00561B53" w:rsidRDefault="007F4D4F" w:rsidP="007F4D4F">
      <w:pPr>
        <w:rPr>
          <w:b/>
        </w:rPr>
      </w:pPr>
      <w:r>
        <w:rPr>
          <w:b/>
        </w:rPr>
        <w:t>Problem 1</w:t>
      </w:r>
    </w:p>
    <w:p w14:paraId="06FDD0BA" w14:textId="77777777" w:rsidR="003E4EFF" w:rsidRDefault="00596374" w:rsidP="00975965">
      <w:r>
        <w:t xml:space="preserve">The incidence of skin cancers is to be monitored in a sample of N patients undergoing PUVA treatment for psoriasis. Consider this simplified version of the problem. Patients initially free of disease are followed annually on 2 successive occasions and the number of new cancers is noted.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denote the number of new cancers for t=1,2, for the i'th subject. Our objective is simply to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w:proofErr w:type="gramStart"/>
        <m:r>
          <w:rPr>
            <w:rFonts w:ascii="Cambria Math" w:eastAsiaTheme="minorEastAsia" w:hAnsi="Cambria Math"/>
          </w:rPr>
          <m:t>E(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for t=1,2, i.e. the annual incidence rates.</w:t>
      </w:r>
      <w:r w:rsidR="003E4EFF">
        <w:rPr>
          <w:rFonts w:eastAsiaTheme="minorEastAsia"/>
        </w:rPr>
        <w:t xml:space="preserve"> </w:t>
      </w:r>
    </w:p>
    <w:p w14:paraId="523D296A" w14:textId="77777777" w:rsidR="003E4EFF" w:rsidRDefault="003E4EFF" w:rsidP="007F4D4F">
      <w:pPr>
        <w:rPr>
          <w:rFonts w:eastAsiaTheme="minorEastAsia"/>
        </w:rPr>
      </w:pPr>
    </w:p>
    <w:p w14:paraId="0F6AAA0B" w14:textId="77777777" w:rsidR="00596374" w:rsidRDefault="00596374" w:rsidP="003E4EF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Consider a GEE model </w:t>
      </w:r>
      <w:r w:rsidR="00547CDB">
        <w:t>with</w:t>
      </w:r>
      <w:r>
        <w:t xml:space="preserve"> identity link. </w:t>
      </w:r>
      <w:r w:rsidR="00547CDB">
        <w:t>Under working independence assumption</w:t>
      </w:r>
      <w:r w:rsidR="00FF4BD1">
        <w:t xml:space="preserve"> (i.e. W=I)</w:t>
      </w:r>
      <w:r w:rsidR="00547CDB">
        <w:t xml:space="preserve">, </w:t>
      </w:r>
      <w:r>
        <w:t xml:space="preserve">estimate </w:t>
      </w:r>
      <m:oMath>
        <m:r>
          <w:rPr>
            <w:rFonts w:ascii="Cambria Math" w:hAnsi="Cambria Math"/>
          </w:rPr>
          <m:t>μ=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547CDB">
        <w:rPr>
          <w:rFonts w:eastAsiaTheme="minorEastAsia"/>
        </w:rPr>
        <w:t xml:space="preserve"> </w:t>
      </w:r>
      <w:r w:rsidR="00D054D1">
        <w:rPr>
          <w:rFonts w:eastAsiaTheme="minorEastAsia"/>
        </w:rPr>
        <w:t xml:space="preserve">Note that </w:t>
      </w:r>
      <w:r w:rsidR="000969CD">
        <w:rPr>
          <w:rFonts w:eastAsiaTheme="minorEastAsia"/>
        </w:rPr>
        <w:t xml:space="preserve">although </w:t>
      </w:r>
      <w:r w:rsidR="00D054D1">
        <w:rPr>
          <w:rFonts w:eastAsiaTheme="minorEastAsia"/>
        </w:rPr>
        <w:t>we have explained a two-stage estimat</w:t>
      </w:r>
      <w:r w:rsidR="000969CD">
        <w:rPr>
          <w:rFonts w:eastAsiaTheme="minorEastAsia"/>
        </w:rPr>
        <w:t xml:space="preserve">ion procedure for GEE in class, </w:t>
      </w:r>
      <w:r w:rsidR="00D054D1">
        <w:rPr>
          <w:rFonts w:eastAsiaTheme="minorEastAsia"/>
        </w:rPr>
        <w:t>GEE works with any working</w:t>
      </w:r>
      <w:r w:rsidR="000429A9">
        <w:rPr>
          <w:rFonts w:eastAsiaTheme="minorEastAsia"/>
        </w:rPr>
        <w:t xml:space="preserve"> weight/</w:t>
      </w:r>
      <w:r w:rsidR="000969CD">
        <w:rPr>
          <w:rFonts w:eastAsiaTheme="minorEastAsia"/>
        </w:rPr>
        <w:t>co</w:t>
      </w:r>
      <w:r w:rsidR="009B1611">
        <w:rPr>
          <w:rFonts w:eastAsiaTheme="minorEastAsia"/>
        </w:rPr>
        <w:t>variance matrices just as in WLS.</w:t>
      </w:r>
    </w:p>
    <w:p w14:paraId="0A0A1601" w14:textId="77777777" w:rsidR="00A143E5" w:rsidRDefault="00A143E5" w:rsidP="00596374"/>
    <w:p w14:paraId="3FFAEC12" w14:textId="77777777" w:rsidR="00547CDB" w:rsidRDefault="00547CDB" w:rsidP="00596374">
      <w:r>
        <w:t xml:space="preserve">With identity link,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</m:oMath>
      <w:r w:rsidR="0068567B">
        <w:rPr>
          <w:rFonts w:eastAsiaTheme="minorEastAsia"/>
        </w:rPr>
        <w:t xml:space="preserve">, </w:t>
      </w:r>
      <w:r w:rsidR="0068567B">
        <w:t xml:space="preserve">and </w:t>
      </w:r>
      <w:r>
        <w:t>the GEE</w:t>
      </w:r>
      <w:r w:rsidR="007927A1">
        <w:t xml:space="preserve"> equation</w:t>
      </w:r>
      <w:r>
        <w:t xml:space="preserve">s are </w:t>
      </w:r>
    </w:p>
    <w:p w14:paraId="183F41DD" w14:textId="77777777" w:rsidR="00547CDB" w:rsidRDefault="00D90F68" w:rsidP="00596374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DCE6E29" w14:textId="77777777" w:rsidR="00547CDB" w:rsidRDefault="00547CDB" w:rsidP="00596374">
      <w:r>
        <w:t xml:space="preserve">Because of working independence assumption, we have </w:t>
      </w:r>
      <m:oMath>
        <m:r>
          <w:rPr>
            <w:rFonts w:ascii="Cambria Math" w:hAnsi="Cambria Math"/>
          </w:rPr>
          <m:t>W=I</m:t>
        </m:r>
      </m:oMath>
      <w:r>
        <w:rPr>
          <w:rFonts w:eastAsiaTheme="minorEastAsia"/>
        </w:rPr>
        <w:t>. Thus</w:t>
      </w:r>
    </w:p>
    <w:p w14:paraId="0365018D" w14:textId="77777777" w:rsidR="00A143E5" w:rsidRDefault="00D90F68" w:rsidP="00596374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54F92BDA" w14:textId="77777777" w:rsidR="006110C5" w:rsidRDefault="00547CDB" w:rsidP="00596374">
      <w:proofErr w:type="gramStart"/>
      <w:r>
        <w:t>or</w:t>
      </w:r>
      <w:proofErr w:type="gramEnd"/>
      <w:r>
        <w:t xml:space="preserve"> equivalently, </w:t>
      </w:r>
    </w:p>
    <w:p w14:paraId="76143BC9" w14:textId="77777777" w:rsidR="00547CDB" w:rsidRDefault="00D90F68" w:rsidP="00547C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14675F3" w14:textId="77777777" w:rsidR="006110C5" w:rsidRDefault="006110C5" w:rsidP="00596374"/>
    <w:p w14:paraId="07279C5C" w14:textId="77777777" w:rsidR="00596374" w:rsidRPr="001E4F89" w:rsidRDefault="00F345F4" w:rsidP="00596374">
      <w:pPr>
        <w:pStyle w:val="ListParagraph"/>
        <w:numPr>
          <w:ilvl w:val="0"/>
          <w:numId w:val="13"/>
        </w:numPr>
      </w:pPr>
      <w:r>
        <w:t xml:space="preserve">Use the sandwich variance estimate to obtain </w:t>
      </w:r>
      <w:proofErr w:type="gramStart"/>
      <m:oMath>
        <m:r>
          <w:rPr>
            <w:rFonts w:ascii="Cambria Math" w:hAnsi="Cambria Math"/>
          </w:rPr>
          <m:t>V(</m:t>
        </m:r>
        <w:proofErr w:type="gramEnd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hence </w:t>
      </w:r>
      <m:oMath>
        <m:r>
          <w:rPr>
            <w:rFonts w:ascii="Cambria Math" w:hAnsi="Cambria Math"/>
          </w:rPr>
          <m:t>V(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You should get closed form expressions.</w:t>
      </w:r>
    </w:p>
    <w:p w14:paraId="15A627ED" w14:textId="77777777" w:rsidR="0068567B" w:rsidRDefault="0068567B" w:rsidP="0068567B">
      <w:pPr>
        <w:rPr>
          <w:rFonts w:eastAsiaTheme="minorEastAsia"/>
        </w:rPr>
      </w:pPr>
    </w:p>
    <w:p w14:paraId="22567E69" w14:textId="77777777" w:rsidR="0068567B" w:rsidRDefault="0068567B" w:rsidP="0068567B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</m:oMath>
      <w:r>
        <w:rPr>
          <w:rFonts w:eastAsiaTheme="minorEastAsia"/>
        </w:rPr>
        <w:t xml:space="preserve">, the variance estimate formula is simplified to </w:t>
      </w:r>
    </w:p>
    <w:p w14:paraId="6B3C5307" w14:textId="77777777" w:rsidR="0068567B" w:rsidRPr="0068567B" w:rsidRDefault="0068567B" w:rsidP="006856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  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  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4763EA" w14:textId="77777777" w:rsidR="00DB7851" w:rsidRDefault="00DB7851" w:rsidP="00BA07B7">
      <w:pPr>
        <w:rPr>
          <w:rFonts w:eastAsiaTheme="minorEastAsia"/>
        </w:rPr>
      </w:pPr>
      <w:bookmarkStart w:id="0" w:name="_GoBack"/>
      <w:bookmarkEnd w:id="0"/>
    </w:p>
    <w:p w14:paraId="6CD0C718" w14:textId="77777777" w:rsidR="00DB7851" w:rsidRPr="00BA07B7" w:rsidRDefault="00DB7851" w:rsidP="00BA07B7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δ=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-1</m:t>
            </m:r>
          </m:e>
        </m:d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, </w:t>
      </w:r>
      <w:r w:rsidR="002E568B">
        <w:rPr>
          <w:rFonts w:eastAsiaTheme="minorEastAsia"/>
        </w:rPr>
        <w:t>by Delta method</w:t>
      </w:r>
      <w:r w:rsidR="00F83D27">
        <w:rPr>
          <w:rFonts w:eastAsiaTheme="minorEastAsia"/>
        </w:rPr>
        <w:t xml:space="preserve"> or rules of variance</w:t>
      </w:r>
      <w:r w:rsidR="002E568B">
        <w:rPr>
          <w:rFonts w:eastAsiaTheme="minorEastAsia"/>
        </w:rPr>
        <w:t xml:space="preserve">, </w:t>
      </w:r>
      <w:r>
        <w:rPr>
          <w:rFonts w:eastAsiaTheme="minorEastAsia"/>
        </w:rPr>
        <w:t>we have</w:t>
      </w:r>
    </w:p>
    <w:p w14:paraId="2072E1AD" w14:textId="77777777" w:rsidR="001E4F89" w:rsidRPr="00DB7851" w:rsidRDefault="00DB7851" w:rsidP="00DB7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-1</m:t>
              </m:r>
            </m:e>
          </m:d>
          <m:r>
            <w:rPr>
              <w:rFonts w:ascii="Cambria Math" w:eastAsiaTheme="minorEastAsia" w:hAnsi="Cambria Math"/>
            </w:rPr>
            <m:t>V(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2486A5C" w14:textId="77777777" w:rsidR="001E4F89" w:rsidRPr="00F345F4" w:rsidRDefault="001E4F89" w:rsidP="001E4F89">
      <w:pPr>
        <w:pStyle w:val="ListParagraph"/>
      </w:pPr>
    </w:p>
    <w:p w14:paraId="5F253452" w14:textId="77777777" w:rsidR="00F345F4" w:rsidRPr="002E568B" w:rsidRDefault="00F345F4" w:rsidP="00596374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With count data, we usually use the log-link,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. What is the interpretation of </w:t>
      </w:r>
      <m:oMath>
        <m:r>
          <w:rPr>
            <w:rFonts w:ascii="Cambria Math" w:eastAsiaTheme="minorEastAsia" w:hAnsi="Cambria Math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?</w:t>
      </w:r>
    </w:p>
    <w:p w14:paraId="31551305" w14:textId="77777777" w:rsidR="002E568B" w:rsidRDefault="002E568B" w:rsidP="002E568B">
      <w:pPr>
        <w:pStyle w:val="ListParagraph"/>
        <w:rPr>
          <w:rFonts w:eastAsiaTheme="minorEastAsia"/>
        </w:rPr>
      </w:pPr>
    </w:p>
    <w:p w14:paraId="27C76981" w14:textId="77777777" w:rsidR="002E568B" w:rsidRPr="002E568B" w:rsidRDefault="002E568B" w:rsidP="002E56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log of the incidence rate ratio.</w:t>
      </w:r>
    </w:p>
    <w:p w14:paraId="282746AB" w14:textId="77777777" w:rsidR="002E568B" w:rsidRPr="00F345F4" w:rsidRDefault="002E568B" w:rsidP="002E568B">
      <w:pPr>
        <w:pStyle w:val="ListParagraph"/>
      </w:pPr>
    </w:p>
    <w:p w14:paraId="05CEC892" w14:textId="77777777" w:rsidR="00F345F4" w:rsidRPr="00167E77" w:rsidRDefault="00F345F4" w:rsidP="00596374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With the log-link, what is the usual variance function in generalized linear models? </w:t>
      </w:r>
      <w:r w:rsidR="00D51FA3">
        <w:rPr>
          <w:rFonts w:eastAsiaTheme="minorEastAsia"/>
        </w:rPr>
        <w:t>Suggest a</w:t>
      </w:r>
      <w:r>
        <w:rPr>
          <w:rFonts w:eastAsiaTheme="minorEastAsia"/>
        </w:rPr>
        <w:t xml:space="preserve"> </w:t>
      </w:r>
      <w:r w:rsidR="00D51FA3">
        <w:rPr>
          <w:rFonts w:eastAsiaTheme="minorEastAsia"/>
        </w:rPr>
        <w:t>co</w:t>
      </w:r>
      <w:r>
        <w:rPr>
          <w:rFonts w:eastAsiaTheme="minorEastAsia"/>
        </w:rPr>
        <w:t>variance matrix</w:t>
      </w:r>
      <w:r w:rsidR="00D51FA3">
        <w:rPr>
          <w:rFonts w:eastAsiaTheme="minorEastAsia"/>
        </w:rPr>
        <w:t xml:space="preserve"> form</w:t>
      </w:r>
      <w:r>
        <w:rPr>
          <w:rFonts w:eastAsiaTheme="minorEastAsia"/>
        </w:rPr>
        <w:t xml:space="preserve"> </w:t>
      </w:r>
      <w:r w:rsidR="00D51FA3">
        <w:rPr>
          <w:rFonts w:eastAsiaTheme="minorEastAsia"/>
        </w:rPr>
        <w:t>based on</w:t>
      </w:r>
      <w:r>
        <w:rPr>
          <w:rFonts w:eastAsiaTheme="minorEastAsia"/>
        </w:rPr>
        <w:t xml:space="preserve"> the usual variance function.</w:t>
      </w:r>
    </w:p>
    <w:p w14:paraId="68F13039" w14:textId="77777777" w:rsidR="00167E77" w:rsidRPr="002E568B" w:rsidRDefault="00167E77" w:rsidP="00167E77">
      <w:pPr>
        <w:pStyle w:val="ListParagraph"/>
      </w:pPr>
    </w:p>
    <w:p w14:paraId="07D3FAD7" w14:textId="77777777" w:rsidR="002E568B" w:rsidRDefault="00167E77" w:rsidP="002E568B">
      <w:r>
        <w:t xml:space="preserve">We usually </w:t>
      </w:r>
      <w:r w:rsidR="004360AC">
        <w:t>assume</w:t>
      </w:r>
      <w:r>
        <w:t xml:space="preserve"> that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so a natural working variance matrix is</w:t>
      </w:r>
    </w:p>
    <w:p w14:paraId="6A4AAE72" w14:textId="77777777" w:rsidR="00167E77" w:rsidRDefault="00167E77" w:rsidP="00167E77">
      <w:pPr>
        <w:pStyle w:val="ListParagraph"/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1/2 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1/2 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1/2 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1/2 </m:t>
                        </m:r>
                      </m:sup>
                    </m:sSup>
                  </m:e>
                </m:mr>
              </m:m>
            </m:e>
          </m:d>
        </m:oMath>
      </m:oMathPara>
    </w:p>
    <w:p w14:paraId="4E1328ED" w14:textId="77777777" w:rsidR="00167E77" w:rsidRDefault="009543EF" w:rsidP="002E568B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Corr(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5015D9F3" w14:textId="77777777" w:rsidR="002E568B" w:rsidRPr="00F345F4" w:rsidRDefault="002E568B" w:rsidP="002E568B"/>
    <w:p w14:paraId="71570E8C" w14:textId="77777777" w:rsidR="00F345F4" w:rsidRPr="004360AC" w:rsidRDefault="00F345F4" w:rsidP="00596374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Suppose we use GEE with log-link to estimate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again using any </w:t>
      </w:r>
      <w:r w:rsidR="004360AC">
        <w:rPr>
          <w:rFonts w:eastAsiaTheme="minorEastAsia"/>
        </w:rPr>
        <w:t xml:space="preserve">working </w:t>
      </w:r>
      <w:r>
        <w:rPr>
          <w:rFonts w:eastAsiaTheme="minorEastAsia"/>
        </w:rPr>
        <w:t>weight</w:t>
      </w:r>
      <w:r w:rsidR="000429A9">
        <w:rPr>
          <w:rFonts w:eastAsiaTheme="minorEastAsia"/>
        </w:rPr>
        <w:t>/covariance</w:t>
      </w:r>
      <w:r>
        <w:rPr>
          <w:rFonts w:eastAsiaTheme="minorEastAsia"/>
        </w:rPr>
        <w:t xml:space="preserve"> matrix W that does not depend on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 Give</w:t>
      </w:r>
      <w:r w:rsidR="006B6097">
        <w:rPr>
          <w:rFonts w:eastAsiaTheme="minorEastAsia"/>
        </w:rPr>
        <w:t xml:space="preserve"> out the GEE equations and e</w:t>
      </w:r>
      <w:r>
        <w:rPr>
          <w:rFonts w:eastAsiaTheme="minorEastAsia"/>
        </w:rPr>
        <w:t>xplain</w:t>
      </w:r>
      <w:r w:rsidR="006B6097">
        <w:rPr>
          <w:rFonts w:eastAsiaTheme="minorEastAsia"/>
        </w:rPr>
        <w:t xml:space="preserve"> how you would estimate </w:t>
      </w:r>
      <m:oMath>
        <m:r>
          <w:rPr>
            <w:rFonts w:ascii="Cambria Math" w:hAnsi="Cambria Math"/>
          </w:rPr>
          <m:t>μ=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B6097">
        <w:rPr>
          <w:rFonts w:eastAsiaTheme="minorEastAsia"/>
          <w:b/>
        </w:rPr>
        <w:t>.</w:t>
      </w:r>
    </w:p>
    <w:p w14:paraId="33D617CE" w14:textId="77777777" w:rsidR="004360AC" w:rsidRDefault="004360AC" w:rsidP="004360AC">
      <w:pPr>
        <w:pStyle w:val="ListParagraph"/>
        <w:rPr>
          <w:rFonts w:eastAsiaTheme="minorEastAsia"/>
        </w:rPr>
      </w:pPr>
    </w:p>
    <w:p w14:paraId="02F5D0F6" w14:textId="53A920F4" w:rsidR="0060028D" w:rsidRDefault="004360AC" w:rsidP="0060028D">
      <w:pPr>
        <w:rPr>
          <w:rFonts w:eastAsiaTheme="minorEastAsia"/>
        </w:rPr>
      </w:pPr>
      <w:r>
        <w:t xml:space="preserve">With log link,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diag(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w:r>
        <w:t xml:space="preserve">and </w:t>
      </w:r>
      <w:r w:rsidR="0060028D">
        <w:rPr>
          <w:rFonts w:eastAsiaTheme="minorEastAsia"/>
        </w:rPr>
        <w:t>a</w:t>
      </w:r>
      <w:r w:rsidR="0060028D">
        <w:rPr>
          <w:rFonts w:eastAsiaTheme="minorEastAsia"/>
        </w:rPr>
        <w:t xml:space="preserve">ssume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60028D">
        <w:rPr>
          <w:rFonts w:eastAsiaTheme="minorEastAsia"/>
        </w:rPr>
        <w:t xml:space="preserve">, we have </w:t>
      </w:r>
    </w:p>
    <w:p w14:paraId="375C18EC" w14:textId="1836A21C" w:rsidR="004360AC" w:rsidRDefault="004360AC" w:rsidP="004360AC"/>
    <w:p w14:paraId="6334DC77" w14:textId="6E2B439D" w:rsidR="004360AC" w:rsidRDefault="00D90F68" w:rsidP="004360AC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4CDB42D" w14:textId="41665DC2" w:rsidR="00ED6C85" w:rsidRPr="00F83D27" w:rsidRDefault="00F83D27" w:rsidP="004360A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proofErr w:type="gramStart"/>
      <w:r w:rsidR="0012291E">
        <w:rPr>
          <w:rFonts w:eastAsiaTheme="minorEastAsia"/>
        </w:rPr>
        <w:t>and</w:t>
      </w:r>
      <w:proofErr w:type="gramEnd"/>
      <w:r w:rsidR="0012291E">
        <w:rPr>
          <w:rFonts w:eastAsiaTheme="minorEastAsia"/>
        </w:rPr>
        <w:t xml:space="preserve"> solve to get:</w:t>
      </w:r>
    </w:p>
    <w:p w14:paraId="3285DDEB" w14:textId="77777777" w:rsidR="00F83D27" w:rsidRPr="00F83D27" w:rsidRDefault="00D90F68" w:rsidP="004360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49F435B" w14:textId="77777777" w:rsidR="00F83D27" w:rsidRDefault="00F83D27" w:rsidP="004360AC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equivalently,</w:t>
      </w:r>
    </w:p>
    <w:p w14:paraId="7CE7E2BB" w14:textId="77777777" w:rsidR="00F83D27" w:rsidRPr="00F83D27" w:rsidRDefault="00D90F68" w:rsidP="00F83D2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F2169E" w14:textId="77777777" w:rsidR="00F83D27" w:rsidRDefault="00F83D27" w:rsidP="004360AC">
      <w:pPr>
        <w:rPr>
          <w:rFonts w:eastAsiaTheme="minorEastAsia"/>
        </w:rPr>
      </w:pPr>
    </w:p>
    <w:p w14:paraId="3F43F8DF" w14:textId="281AAE63" w:rsidR="00903047" w:rsidRPr="004360AC" w:rsidRDefault="00903047" w:rsidP="004360AC">
      <w:pPr>
        <w:rPr>
          <w:rFonts w:eastAsiaTheme="minorEastAsia"/>
        </w:rPr>
      </w:pPr>
      <w:r>
        <w:rPr>
          <w:rFonts w:eastAsiaTheme="minorEastAsia"/>
        </w:rPr>
        <w:t xml:space="preserve">Remark: For D and </w:t>
      </w:r>
      <w:r w:rsidR="00D81267">
        <w:rPr>
          <w:rFonts w:eastAsiaTheme="minorEastAsia"/>
        </w:rPr>
        <w:t xml:space="preserve">(invertible) </w:t>
      </w:r>
      <w:r>
        <w:rPr>
          <w:rFonts w:eastAsiaTheme="minorEastAsia"/>
        </w:rPr>
        <w:t xml:space="preserve">W independent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you</w:t>
      </w:r>
      <w:r w:rsidR="00261B88">
        <w:rPr>
          <w:rFonts w:eastAsiaTheme="minorEastAsia"/>
        </w:rPr>
        <w:t>r</w:t>
      </w:r>
      <w:r>
        <w:rPr>
          <w:rFonts w:eastAsiaTheme="minorEastAsia"/>
        </w:rPr>
        <w:t xml:space="preserve"> GEE estimates </w:t>
      </w:r>
      <w:r w:rsidR="00261B88">
        <w:rPr>
          <w:rFonts w:eastAsiaTheme="minorEastAsia"/>
        </w:rPr>
        <w:t xml:space="preserve">will </w:t>
      </w:r>
      <w:r>
        <w:rPr>
          <w:rFonts w:eastAsiaTheme="minorEastAsia"/>
        </w:rPr>
        <w:t>be the sample mean.</w:t>
      </w:r>
    </w:p>
    <w:p w14:paraId="705AA0CF" w14:textId="77777777" w:rsidR="00487D51" w:rsidRPr="00F345F4" w:rsidRDefault="00487D51" w:rsidP="004360AC">
      <w:pPr>
        <w:pStyle w:val="ListParagraph"/>
      </w:pPr>
    </w:p>
    <w:p w14:paraId="5FD8173D" w14:textId="77777777" w:rsidR="00F345F4" w:rsidRDefault="00F345F4" w:rsidP="00596374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Again using the sandwich variance estimation, and 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 and </w:t>
      </w:r>
      <w:r w:rsidR="008F22F7">
        <w:rPr>
          <w:rFonts w:eastAsiaTheme="minorEastAsia"/>
        </w:rPr>
        <w:t xml:space="preserve">a working variance matrix </w:t>
      </w:r>
      <w:r>
        <w:rPr>
          <w:rFonts w:eastAsiaTheme="minorEastAsia"/>
        </w:rPr>
        <w:t xml:space="preserve">W, derive an expression for an estimate of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</m:d>
      </m:oMath>
      <w:r>
        <w:rPr>
          <w:rFonts w:eastAsiaTheme="minorEastAsia"/>
        </w:rPr>
        <w:t xml:space="preserve"> using the log-link.</w:t>
      </w:r>
    </w:p>
    <w:p w14:paraId="00006AB0" w14:textId="77777777" w:rsidR="0074711D" w:rsidRDefault="00C32534" w:rsidP="00596374"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W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W 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W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N 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W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098827" w14:textId="77777777" w:rsidR="0074711D" w:rsidRPr="00561B53" w:rsidRDefault="0074711D" w:rsidP="0074711D">
      <w:pPr>
        <w:rPr>
          <w:b/>
        </w:rPr>
      </w:pPr>
      <w:r>
        <w:rPr>
          <w:b/>
        </w:rPr>
        <w:t>Problem 2</w:t>
      </w:r>
    </w:p>
    <w:p w14:paraId="27B90C13" w14:textId="77777777" w:rsidR="0074711D" w:rsidRDefault="0074711D" w:rsidP="0074711D">
      <w:r>
        <w:t>Problem 14.1 on the textbook (page 434-436)</w:t>
      </w:r>
    </w:p>
    <w:p w14:paraId="0110F63E" w14:textId="77777777" w:rsidR="0074711D" w:rsidRPr="0074711D" w:rsidRDefault="0074711D" w:rsidP="00596374">
      <w:pPr>
        <w:rPr>
          <w:b/>
        </w:rPr>
      </w:pPr>
      <w:r w:rsidRPr="0074711D">
        <w:rPr>
          <w:b/>
        </w:rPr>
        <w:t>Solution</w:t>
      </w:r>
    </w:p>
    <w:p w14:paraId="02C36AFD" w14:textId="77777777" w:rsidR="00942A9B" w:rsidRDefault="00942A9B" w:rsidP="00942A9B">
      <w:r>
        <w:lastRenderedPageBreak/>
        <w:t xml:space="preserve">14.1.1 </w:t>
      </w:r>
    </w:p>
    <w:p w14:paraId="1DEC23CF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toenail;</w:t>
      </w:r>
    </w:p>
    <w:p w14:paraId="07268E82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'toenail-data.txt'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35D54C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$ 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Visit;</w:t>
      </w:r>
    </w:p>
    <w:p w14:paraId="4544B26B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7D8105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CB87F7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=toenail;</w:t>
      </w:r>
    </w:p>
    <w:p w14:paraId="2F2BDEFB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41160B44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=BINOMIAL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=LOGIT;</w:t>
      </w:r>
    </w:p>
    <w:p w14:paraId="05BAFF81" w14:textId="77777777" w:rsidR="00942A9B" w:rsidRDefault="00942A9B" w:rsidP="00942A9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=EXCH;</w:t>
      </w:r>
    </w:p>
    <w:p w14:paraId="71E8BC7F" w14:textId="77777777" w:rsidR="0074711D" w:rsidRDefault="00942A9B" w:rsidP="00942A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943CAA" w14:textId="77777777" w:rsidR="001D0F2C" w:rsidRPr="001D0F2C" w:rsidRDefault="001D0F2C" w:rsidP="00942A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enmod: Analysis Of GEE Parameter Estimates - Empirical Std Errors"/>
      </w:tblPr>
      <w:tblGrid>
        <w:gridCol w:w="1117"/>
        <w:gridCol w:w="906"/>
        <w:gridCol w:w="1500"/>
        <w:gridCol w:w="1086"/>
        <w:gridCol w:w="1086"/>
        <w:gridCol w:w="567"/>
        <w:gridCol w:w="797"/>
      </w:tblGrid>
      <w:tr w:rsidR="001D0F2C" w:rsidRPr="001D0F2C" w14:paraId="15902A9B" w14:textId="77777777" w:rsidTr="001D0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9E80838" w14:textId="77777777" w:rsidR="001D0F2C" w:rsidRPr="001D0F2C" w:rsidRDefault="001D0F2C" w:rsidP="001D0F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Analysis Of GEE Parameter Estimates</w:t>
            </w:r>
          </w:p>
        </w:tc>
      </w:tr>
      <w:tr w:rsidR="001D0F2C" w:rsidRPr="001D0F2C" w14:paraId="027EA254" w14:textId="77777777" w:rsidTr="001D0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56BF431D" w14:textId="77777777" w:rsidR="001D0F2C" w:rsidRPr="001D0F2C" w:rsidRDefault="001D0F2C" w:rsidP="001D0F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Empirical Standard Error Estimates</w:t>
            </w:r>
          </w:p>
        </w:tc>
      </w:tr>
      <w:tr w:rsidR="001D0F2C" w:rsidRPr="001D0F2C" w14:paraId="40FC47F5" w14:textId="77777777" w:rsidTr="001D0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62E7B" w14:textId="77777777" w:rsidR="001D0F2C" w:rsidRPr="001D0F2C" w:rsidRDefault="001D0F2C" w:rsidP="001D0F2C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206D9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5500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Standard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92B440" w14:textId="77777777" w:rsidR="001D0F2C" w:rsidRPr="001D0F2C" w:rsidRDefault="001D0F2C" w:rsidP="001D0F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95% Confidence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9A728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E944E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Pr</w:t>
            </w:r>
            <w:proofErr w:type="spellEnd"/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&gt; |Z|</w:t>
            </w:r>
          </w:p>
        </w:tc>
      </w:tr>
      <w:tr w:rsidR="001D0F2C" w:rsidRPr="001D0F2C" w14:paraId="69346581" w14:textId="77777777" w:rsidTr="001D0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50C1" w14:textId="77777777" w:rsidR="001D0F2C" w:rsidRPr="001D0F2C" w:rsidRDefault="001D0F2C" w:rsidP="001D0F2C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63D249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-0.5782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E9A7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E68D0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-0.8337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7AF6E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1EDD3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D697C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gramStart"/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  <w:proofErr w:type="gramEnd"/>
          </w:p>
        </w:tc>
      </w:tr>
      <w:tr w:rsidR="001D0F2C" w:rsidRPr="001D0F2C" w14:paraId="42C486BA" w14:textId="77777777" w:rsidTr="001D0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ED32" w14:textId="77777777" w:rsidR="001D0F2C" w:rsidRPr="001D0F2C" w:rsidRDefault="001D0F2C" w:rsidP="001D0F2C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66452B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-0.1713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870B2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809A0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-0.2293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5F200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-0.1134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1D0A7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E6AD0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gramStart"/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  <w:proofErr w:type="gramEnd"/>
          </w:p>
        </w:tc>
      </w:tr>
      <w:tr w:rsidR="001D0F2C" w:rsidRPr="001D0F2C" w14:paraId="663E3E8C" w14:textId="77777777" w:rsidTr="001D0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16D42" w14:textId="77777777" w:rsidR="001D0F2C" w:rsidRPr="001D0F2C" w:rsidRDefault="001D0F2C" w:rsidP="001D0F2C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Month*</w:t>
            </w:r>
            <w:proofErr w:type="spellStart"/>
            <w:r w:rsidRPr="001D0F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792EBC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86C9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F9B878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B048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458814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263DF" w14:textId="77777777" w:rsidR="001D0F2C" w:rsidRPr="001D0F2C" w:rsidRDefault="001D0F2C" w:rsidP="001D0F2C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D0F2C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0.1485</w:t>
            </w:r>
          </w:p>
        </w:tc>
      </w:tr>
    </w:tbl>
    <w:p w14:paraId="7CF26735" w14:textId="77777777" w:rsidR="001D0F2C" w:rsidRDefault="001D0F2C" w:rsidP="00942A9B"/>
    <w:p w14:paraId="7A6E6119" w14:textId="77777777" w:rsidR="00942A9B" w:rsidRDefault="00942A9B" w:rsidP="00942A9B">
      <w:r>
        <w:t>14.1.2</w:t>
      </w:r>
    </w:p>
    <w:p w14:paraId="778FFE3B" w14:textId="77777777" w:rsidR="00942A9B" w:rsidRDefault="00D90F68" w:rsidP="00942A9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0F2C">
        <w:rPr>
          <w:rFonts w:eastAsiaTheme="minorEastAsia"/>
        </w:rPr>
        <w:t xml:space="preserve"> </w:t>
      </w:r>
      <w:proofErr w:type="gramStart"/>
      <w:r w:rsidR="001D0F2C">
        <w:rPr>
          <w:rFonts w:eastAsiaTheme="minorEastAsia"/>
        </w:rPr>
        <w:t>is</w:t>
      </w:r>
      <w:proofErr w:type="gramEnd"/>
      <w:r w:rsidR="001D0F2C">
        <w:rPr>
          <w:rFonts w:eastAsiaTheme="minorEastAsia"/>
        </w:rPr>
        <w:t xml:space="preserve"> the </w:t>
      </w:r>
      <w:r w:rsidR="00EE7847">
        <w:rPr>
          <w:rFonts w:eastAsiaTheme="minorEastAsia"/>
        </w:rPr>
        <w:t xml:space="preserve">change in log odds of moderate or severe </w:t>
      </w:r>
      <w:proofErr w:type="spellStart"/>
      <w:r w:rsidR="00EE7847">
        <w:rPr>
          <w:rFonts w:eastAsiaTheme="minorEastAsia"/>
        </w:rPr>
        <w:t>onycholysis</w:t>
      </w:r>
      <w:proofErr w:type="spellEnd"/>
      <w:r w:rsidR="00EE7847">
        <w:rPr>
          <w:rFonts w:eastAsiaTheme="minorEastAsia"/>
        </w:rPr>
        <w:t xml:space="preserve"> per month in the </w:t>
      </w:r>
      <w:proofErr w:type="spellStart"/>
      <w:r w:rsidR="00EE7847">
        <w:rPr>
          <w:rFonts w:eastAsiaTheme="minorEastAsia"/>
        </w:rPr>
        <w:t>Itraconazole</w:t>
      </w:r>
      <w:proofErr w:type="spellEnd"/>
      <w:r w:rsidR="00EE7847">
        <w:rPr>
          <w:rFonts w:eastAsiaTheme="minorEastAsia"/>
        </w:rPr>
        <w:t xml:space="preserve"> treatment group.</w:t>
      </w:r>
    </w:p>
    <w:p w14:paraId="6A190AE7" w14:textId="77777777" w:rsidR="00942A9B" w:rsidRDefault="00942A9B" w:rsidP="00942A9B"/>
    <w:p w14:paraId="5DC4284B" w14:textId="77777777" w:rsidR="00EE7847" w:rsidRDefault="00EE66F1" w:rsidP="00EE7847">
      <w:r>
        <w:t>14.1.3</w:t>
      </w:r>
    </w:p>
    <w:p w14:paraId="494AA00F" w14:textId="77777777" w:rsidR="00EE7847" w:rsidRDefault="00D90F68" w:rsidP="00EE78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7847">
        <w:rPr>
          <w:rFonts w:eastAsiaTheme="minorEastAsia"/>
        </w:rPr>
        <w:t xml:space="preserve"> </w:t>
      </w:r>
      <w:proofErr w:type="gramStart"/>
      <w:r w:rsidR="00EE7847">
        <w:rPr>
          <w:rFonts w:eastAsiaTheme="minorEastAsia"/>
        </w:rPr>
        <w:t>is</w:t>
      </w:r>
      <w:proofErr w:type="gramEnd"/>
      <w:r w:rsidR="00EE7847">
        <w:rPr>
          <w:rFonts w:eastAsiaTheme="minorEastAsia"/>
        </w:rPr>
        <w:t xml:space="preserve"> the difference between changes in log odds of moderate or severe onycholysis per month in the Terbinafine treatment group and the Itraconazole treatment group.</w:t>
      </w:r>
    </w:p>
    <w:p w14:paraId="4EEB3EFB" w14:textId="77777777" w:rsidR="00EE66F1" w:rsidRDefault="00EE66F1" w:rsidP="00EE7847"/>
    <w:p w14:paraId="31DC13BA" w14:textId="77777777" w:rsidR="00EE7847" w:rsidRDefault="00EE66F1" w:rsidP="00942A9B">
      <w:r>
        <w:t>14.1.4</w:t>
      </w:r>
    </w:p>
    <w:p w14:paraId="62ED99AA" w14:textId="77777777" w:rsidR="00EE66F1" w:rsidRDefault="00EE66F1" w:rsidP="00942A9B">
      <w:pPr>
        <w:rPr>
          <w:rFonts w:eastAsiaTheme="minorEastAsia"/>
        </w:rPr>
      </w:pPr>
      <w:r>
        <w:t xml:space="preserve">From the result table in 14.1.1, we conclude that </w:t>
      </w:r>
      <w:r>
        <w:rPr>
          <w:rFonts w:eastAsiaTheme="minorEastAsia"/>
        </w:rPr>
        <w:t xml:space="preserve">the log </w:t>
      </w:r>
      <w:proofErr w:type="gramStart"/>
      <w:r>
        <w:rPr>
          <w:rFonts w:eastAsiaTheme="minorEastAsia"/>
        </w:rPr>
        <w:t xml:space="preserve">odds of moderate or severe </w:t>
      </w:r>
      <w:proofErr w:type="spellStart"/>
      <w:r>
        <w:rPr>
          <w:rFonts w:eastAsiaTheme="minorEastAsia"/>
        </w:rPr>
        <w:t>onycholysis</w:t>
      </w:r>
      <w:proofErr w:type="spellEnd"/>
      <w:r>
        <w:rPr>
          <w:rFonts w:eastAsiaTheme="minorEastAsia"/>
        </w:rPr>
        <w:t xml:space="preserve"> </w:t>
      </w:r>
      <w:r w:rsidR="00D927B6">
        <w:rPr>
          <w:rFonts w:eastAsiaTheme="minorEastAsia"/>
        </w:rPr>
        <w:t xml:space="preserve">in the </w:t>
      </w:r>
      <w:proofErr w:type="spellStart"/>
      <w:r w:rsidR="00D927B6">
        <w:rPr>
          <w:rFonts w:eastAsiaTheme="minorEastAsia"/>
        </w:rPr>
        <w:t>Itraconazole</w:t>
      </w:r>
      <w:proofErr w:type="spellEnd"/>
      <w:r w:rsidR="00D927B6">
        <w:rPr>
          <w:rFonts w:eastAsiaTheme="minorEastAsia"/>
        </w:rPr>
        <w:t xml:space="preserve"> treatment group is</w:t>
      </w:r>
      <w:proofErr w:type="gramEnd"/>
      <w:r w:rsidR="00D927B6">
        <w:rPr>
          <w:rFonts w:eastAsiaTheme="minorEastAsia"/>
        </w:rPr>
        <w:t xml:space="preserve"> significantly reduced over the</w:t>
      </w:r>
      <w:r>
        <w:rPr>
          <w:rFonts w:eastAsiaTheme="minorEastAsia"/>
        </w:rPr>
        <w:t xml:space="preserve"> month</w:t>
      </w:r>
      <w:r w:rsidR="00D927B6">
        <w:rPr>
          <w:rFonts w:eastAsiaTheme="minorEastAsia"/>
        </w:rPr>
        <w:t>s</w:t>
      </w:r>
      <w:r>
        <w:rPr>
          <w:rFonts w:eastAsiaTheme="minorEastAsia"/>
        </w:rPr>
        <w:t xml:space="preserve">. In addition, we conclude that there is no statistically significant difference between </w:t>
      </w:r>
      <w:proofErr w:type="spellStart"/>
      <w:r>
        <w:rPr>
          <w:rFonts w:eastAsiaTheme="minorEastAsia"/>
        </w:rPr>
        <w:t>Itraconazole</w:t>
      </w:r>
      <w:proofErr w:type="spellEnd"/>
      <w:r>
        <w:rPr>
          <w:rFonts w:eastAsiaTheme="minorEastAsia"/>
        </w:rPr>
        <w:t xml:space="preserve"> treatment and </w:t>
      </w:r>
      <w:proofErr w:type="spellStart"/>
      <w:r>
        <w:rPr>
          <w:rFonts w:eastAsiaTheme="minorEastAsia"/>
        </w:rPr>
        <w:t>Terbinafine</w:t>
      </w:r>
      <w:proofErr w:type="spellEnd"/>
      <w:r>
        <w:rPr>
          <w:rFonts w:eastAsiaTheme="minorEastAsia"/>
        </w:rPr>
        <w:t xml:space="preserve"> treatment on reducing the log odds of moderate or severe </w:t>
      </w:r>
      <w:proofErr w:type="spellStart"/>
      <w:r>
        <w:rPr>
          <w:rFonts w:eastAsiaTheme="minorEastAsia"/>
        </w:rPr>
        <w:t>onycholysis</w:t>
      </w:r>
      <w:proofErr w:type="spellEnd"/>
      <w:r>
        <w:rPr>
          <w:rFonts w:eastAsiaTheme="minorEastAsia"/>
        </w:rPr>
        <w:t xml:space="preserve"> </w:t>
      </w:r>
      <w:r w:rsidR="00D927B6">
        <w:rPr>
          <w:rFonts w:eastAsiaTheme="minorEastAsia"/>
        </w:rPr>
        <w:t>over the</w:t>
      </w:r>
      <w:r>
        <w:rPr>
          <w:rFonts w:eastAsiaTheme="minorEastAsia"/>
        </w:rPr>
        <w:t xml:space="preserve"> month</w:t>
      </w:r>
      <w:r w:rsidR="00D927B6">
        <w:rPr>
          <w:rFonts w:eastAsiaTheme="minorEastAsia"/>
        </w:rPr>
        <w:t>s</w:t>
      </w:r>
      <w:r>
        <w:rPr>
          <w:rFonts w:eastAsiaTheme="minorEastAsia"/>
        </w:rPr>
        <w:t>.</w:t>
      </w:r>
    </w:p>
    <w:p w14:paraId="502CF974" w14:textId="77777777" w:rsidR="00310585" w:rsidRDefault="00310585" w:rsidP="00942A9B">
      <w:pPr>
        <w:rPr>
          <w:rFonts w:eastAsiaTheme="minorEastAsia"/>
        </w:rPr>
      </w:pPr>
    </w:p>
    <w:p w14:paraId="686ACA27" w14:textId="77777777" w:rsidR="00310585" w:rsidRDefault="00310585" w:rsidP="00942A9B">
      <w:pPr>
        <w:rPr>
          <w:rFonts w:eastAsiaTheme="minorEastAsia"/>
        </w:rPr>
      </w:pPr>
      <w:r>
        <w:rPr>
          <w:rFonts w:eastAsiaTheme="minorEastAsia"/>
        </w:rPr>
        <w:t>14.1.5</w:t>
      </w:r>
    </w:p>
    <w:p w14:paraId="63DA3366" w14:textId="77777777" w:rsidR="00EB62C5" w:rsidRDefault="00EB62C5" w:rsidP="00EB62C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=toenail;</w:t>
      </w:r>
    </w:p>
    <w:p w14:paraId="44F2CC36" w14:textId="77777777" w:rsidR="00EB62C5" w:rsidRDefault="00EB62C5" w:rsidP="00EB62C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31910CA2" w14:textId="77777777" w:rsidR="00EB62C5" w:rsidRDefault="00EB62C5" w:rsidP="00EB62C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=BINOMIAL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9E749A" w14:textId="77777777" w:rsidR="00EB62C5" w:rsidRDefault="00EB62C5" w:rsidP="00EB62C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=UN;</w:t>
      </w:r>
    </w:p>
    <w:p w14:paraId="6DEBF1F0" w14:textId="77777777" w:rsidR="00EB62C5" w:rsidRDefault="00EB62C5" w:rsidP="00EB62C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117"/>
        <w:gridCol w:w="906"/>
        <w:gridCol w:w="1500"/>
        <w:gridCol w:w="550"/>
        <w:gridCol w:w="767"/>
        <w:gridCol w:w="365"/>
        <w:gridCol w:w="365"/>
      </w:tblGrid>
      <w:tr w:rsidR="00EB62C5" w:rsidRPr="00EB62C5" w14:paraId="0C611D3D" w14:textId="77777777" w:rsidTr="00EB62C5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FAD74A8" w14:textId="77777777" w:rsidR="00EB62C5" w:rsidRPr="00EB62C5" w:rsidRDefault="00EB62C5" w:rsidP="00EB62C5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lastRenderedPageBreak/>
              <w:t>Solutions for Fixed Effects</w:t>
            </w:r>
          </w:p>
        </w:tc>
      </w:tr>
      <w:tr w:rsidR="00EB62C5" w:rsidRPr="00EB62C5" w14:paraId="11C4FC96" w14:textId="77777777" w:rsidTr="00EB62C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B563A" w14:textId="77777777" w:rsidR="00EB62C5" w:rsidRPr="00EB62C5" w:rsidRDefault="00EB62C5" w:rsidP="00EB62C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90DD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450D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EEA99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AD88E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gramStart"/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t</w:t>
            </w:r>
            <w:proofErr w:type="gramEnd"/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42ABC8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Pr</w:t>
            </w:r>
            <w:proofErr w:type="spellEnd"/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&gt; |t|</w:t>
            </w:r>
          </w:p>
        </w:tc>
      </w:tr>
      <w:tr w:rsidR="00EB62C5" w:rsidRPr="00EB62C5" w14:paraId="7F749055" w14:textId="77777777" w:rsidTr="00EB62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AD3AB" w14:textId="77777777" w:rsidR="00EB62C5" w:rsidRPr="00EB62C5" w:rsidRDefault="00EB62C5" w:rsidP="00EB62C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72469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-1.6972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8916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412FF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979CF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-5.15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42C461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gramStart"/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  <w:proofErr w:type="gramEnd"/>
          </w:p>
        </w:tc>
      </w:tr>
      <w:tr w:rsidR="00EB62C5" w:rsidRPr="00EB62C5" w14:paraId="239CF2F8" w14:textId="77777777" w:rsidTr="00EB62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1F794" w14:textId="77777777" w:rsidR="00EB62C5" w:rsidRPr="00EB62C5" w:rsidRDefault="00EB62C5" w:rsidP="00EB62C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13B56B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39CBE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0FAD2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2FCF1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-8.97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0E7B4D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gramStart"/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  <w:proofErr w:type="gramEnd"/>
          </w:p>
        </w:tc>
      </w:tr>
      <w:tr w:rsidR="00EB62C5" w:rsidRPr="00EB62C5" w14:paraId="3F9B869B" w14:textId="77777777" w:rsidTr="00EB62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1DE33" w14:textId="77777777" w:rsidR="00EB62C5" w:rsidRPr="00EB62C5" w:rsidRDefault="00EB62C5" w:rsidP="00EB62C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Month*</w:t>
            </w:r>
            <w:proofErr w:type="spellStart"/>
            <w:r w:rsidRPr="00EB62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62228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-0.1424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92F9A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3DCF8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0EE83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-2.19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DAD7F4" w14:textId="77777777" w:rsidR="00EB62C5" w:rsidRPr="00EB62C5" w:rsidRDefault="00EB62C5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B62C5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0.0284</w:t>
            </w:r>
          </w:p>
        </w:tc>
      </w:tr>
      <w:tr w:rsidR="00870266" w:rsidRPr="00EB62C5" w14:paraId="66511736" w14:textId="77777777" w:rsidTr="00EB62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7AF6A" w14:textId="77777777" w:rsidR="00870266" w:rsidRPr="00EB62C5" w:rsidRDefault="00870266" w:rsidP="00EB62C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14:paraId="0C615DD0" w14:textId="77777777" w:rsidR="00870266" w:rsidRPr="00EB62C5" w:rsidRDefault="00870266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8A20C" w14:textId="77777777" w:rsidR="00870266" w:rsidRPr="00EB62C5" w:rsidRDefault="00870266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D63A6" w14:textId="77777777" w:rsidR="00870266" w:rsidRPr="00EB62C5" w:rsidRDefault="00870266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14:paraId="28F4C779" w14:textId="77777777" w:rsidR="00870266" w:rsidRPr="00EB62C5" w:rsidRDefault="00870266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543A6" w14:textId="77777777" w:rsidR="00870266" w:rsidRPr="00EB62C5" w:rsidRDefault="00870266" w:rsidP="00EB62C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870266" w:rsidRPr="00870266" w14:paraId="6D05D511" w14:textId="77777777" w:rsidTr="00870266">
        <w:trPr>
          <w:gridAfter w:val="1"/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FF45FA3" w14:textId="77777777" w:rsidR="00870266" w:rsidRPr="00870266" w:rsidRDefault="00870266" w:rsidP="0087026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Covariance Parameter Estimates</w:t>
            </w:r>
          </w:p>
        </w:tc>
      </w:tr>
      <w:tr w:rsidR="00870266" w:rsidRPr="00870266" w14:paraId="05A3076B" w14:textId="77777777" w:rsidTr="00870266">
        <w:trPr>
          <w:gridAfter w:val="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BD9C0" w14:textId="77777777" w:rsidR="00870266" w:rsidRPr="00870266" w:rsidRDefault="00870266" w:rsidP="00870266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Cov</w:t>
            </w:r>
            <w:proofErr w:type="spellEnd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D55DF" w14:textId="77777777" w:rsidR="00870266" w:rsidRPr="00870266" w:rsidRDefault="00870266" w:rsidP="00870266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40B8E" w14:textId="77777777" w:rsidR="00870266" w:rsidRPr="00870266" w:rsidRDefault="00870266" w:rsidP="00870266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BBFB43" w14:textId="77777777" w:rsidR="00870266" w:rsidRPr="00870266" w:rsidRDefault="00870266" w:rsidP="00870266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Standard Error</w:t>
            </w:r>
          </w:p>
        </w:tc>
      </w:tr>
      <w:tr w:rsidR="00870266" w:rsidRPr="00870266" w14:paraId="27F77648" w14:textId="77777777" w:rsidTr="00870266">
        <w:trPr>
          <w:gridAfter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051B0" w14:textId="77777777" w:rsidR="00870266" w:rsidRPr="00870266" w:rsidRDefault="00870266" w:rsidP="00870266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gramStart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UN(</w:t>
            </w:r>
            <w:proofErr w:type="gramEnd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AA128" w14:textId="77777777" w:rsidR="00870266" w:rsidRPr="00870266" w:rsidRDefault="00870266" w:rsidP="00870266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gramStart"/>
            <w:r w:rsidRPr="008702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55BAA" w14:textId="77777777" w:rsidR="00870266" w:rsidRPr="00870266" w:rsidRDefault="00870266" w:rsidP="00870266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16.0349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34A6453" w14:textId="77777777" w:rsidR="00870266" w:rsidRPr="00870266" w:rsidRDefault="00870266" w:rsidP="00870266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870266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3.0395</w:t>
            </w:r>
          </w:p>
        </w:tc>
      </w:tr>
    </w:tbl>
    <w:p w14:paraId="5B816F7D" w14:textId="77777777" w:rsidR="0074711D" w:rsidRDefault="0074711D" w:rsidP="00596374"/>
    <w:p w14:paraId="0F9EE541" w14:textId="77777777" w:rsidR="00870266" w:rsidRDefault="00870266" w:rsidP="00870266">
      <w:pPr>
        <w:rPr>
          <w:rFonts w:eastAsiaTheme="minorEastAsia"/>
        </w:rPr>
      </w:pPr>
      <w:r>
        <w:rPr>
          <w:rFonts w:eastAsiaTheme="minorEastAsia"/>
        </w:rPr>
        <w:t>14.1.6</w:t>
      </w:r>
    </w:p>
    <w:p w14:paraId="5DCDB618" w14:textId="35D4F397" w:rsidR="00870266" w:rsidRDefault="000F2E9D" w:rsidP="00596374">
      <w:pPr>
        <w:rPr>
          <w:rFonts w:eastAsiaTheme="minorEastAsia"/>
        </w:rPr>
      </w:pPr>
      <w:r>
        <w:rPr>
          <w:rFonts w:eastAsiaTheme="minorEastAsia"/>
        </w:rPr>
        <w:t xml:space="preserve">The estimated variance for the intercept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=16.03</m:t>
        </m:r>
      </m:oMath>
      <w:r w:rsidR="00870266">
        <w:rPr>
          <w:rFonts w:eastAsiaTheme="minorEastAsia"/>
        </w:rPr>
        <w:t>, which suggests</w:t>
      </w:r>
      <w:r>
        <w:rPr>
          <w:rFonts w:eastAsiaTheme="minorEastAsia"/>
        </w:rPr>
        <w:t xml:space="preserve"> high individual-level</w:t>
      </w:r>
      <w:r w:rsidR="00870266">
        <w:rPr>
          <w:rFonts w:eastAsiaTheme="minorEastAsia"/>
        </w:rPr>
        <w:t xml:space="preserve"> </w:t>
      </w:r>
      <w:r>
        <w:rPr>
          <w:rFonts w:eastAsiaTheme="minorEastAsia"/>
        </w:rPr>
        <w:t>heterogeneity</w:t>
      </w:r>
      <w:r w:rsidR="00870266">
        <w:rPr>
          <w:rFonts w:eastAsiaTheme="minorEastAsia"/>
        </w:rPr>
        <w:t>.</w:t>
      </w:r>
      <w:r w:rsidR="00261B88">
        <w:rPr>
          <w:rFonts w:eastAsiaTheme="minorEastAsia"/>
        </w:rPr>
        <w:t xml:space="preserve"> [</w:t>
      </w:r>
      <w:r w:rsidR="000A6C1A">
        <w:rPr>
          <w:rFonts w:eastAsiaTheme="minorEastAsia"/>
        </w:rPr>
        <w:t>R give</w:t>
      </w:r>
      <w:r w:rsidR="0052267F">
        <w:rPr>
          <w:rFonts w:eastAsiaTheme="minorEastAsia"/>
        </w:rPr>
        <w:t>s</w:t>
      </w:r>
      <w:r w:rsidR="000A6C1A">
        <w:rPr>
          <w:rFonts w:eastAsiaTheme="minorEastAsia"/>
        </w:rPr>
        <w:t xml:space="preserve"> you 20.61 apparently. I haven’t taken the time to check why thi</w:t>
      </w:r>
      <w:r w:rsidR="00261B88">
        <w:rPr>
          <w:rFonts w:eastAsiaTheme="minorEastAsia"/>
        </w:rPr>
        <w:t>s was though. Exercise for fun.]</w:t>
      </w:r>
    </w:p>
    <w:p w14:paraId="37CF9B80" w14:textId="77777777" w:rsidR="00870266" w:rsidRDefault="00870266" w:rsidP="00596374">
      <w:pPr>
        <w:rPr>
          <w:rFonts w:eastAsiaTheme="minorEastAsia"/>
        </w:rPr>
      </w:pPr>
    </w:p>
    <w:p w14:paraId="328D3CBE" w14:textId="77777777" w:rsidR="00870266" w:rsidRDefault="00870266" w:rsidP="00870266">
      <w:r>
        <w:t>14.1.7</w:t>
      </w:r>
    </w:p>
    <w:p w14:paraId="6F60042F" w14:textId="29BA2DD0" w:rsidR="00870266" w:rsidRDefault="00D90F68" w:rsidP="008702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0266">
        <w:rPr>
          <w:rFonts w:eastAsiaTheme="minorEastAsia"/>
        </w:rPr>
        <w:t xml:space="preserve"> </w:t>
      </w:r>
      <w:proofErr w:type="gramStart"/>
      <w:r w:rsidR="00870266">
        <w:rPr>
          <w:rFonts w:eastAsiaTheme="minorEastAsia"/>
        </w:rPr>
        <w:t>is</w:t>
      </w:r>
      <w:proofErr w:type="gramEnd"/>
      <w:r w:rsidR="00870266">
        <w:rPr>
          <w:rFonts w:eastAsiaTheme="minorEastAsia"/>
        </w:rPr>
        <w:t xml:space="preserve"> the change in log odds of moderate or severe onycholysis per month in the Itraconazole treatment group, </w:t>
      </w:r>
      <w:r w:rsidR="00870266" w:rsidRPr="00BE0E6F">
        <w:rPr>
          <w:rFonts w:eastAsiaTheme="minorEastAsia"/>
        </w:rPr>
        <w:t>for a typical individual</w:t>
      </w:r>
      <w:r w:rsidR="00870266" w:rsidRPr="0052267F">
        <w:rPr>
          <w:rFonts w:eastAsiaTheme="minorEastAsia"/>
          <w:strike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b</m:t>
            </m:r>
          </m:e>
          <m:sub>
            <m:r>
              <w:rPr>
                <w:rFonts w:ascii="Cambria Math" w:eastAsiaTheme="minorEastAsia" w:hAnsi="Cambria Math"/>
                <w:strike/>
              </w:rPr>
              <m:t>i</m:t>
            </m:r>
          </m:sub>
        </m:sSub>
        <m:r>
          <w:rPr>
            <w:rFonts w:ascii="Cambria Math" w:eastAsiaTheme="minorEastAsia" w:hAnsi="Cambria Math"/>
            <w:strike/>
          </w:rPr>
          <m:t>=0</m:t>
        </m:r>
      </m:oMath>
      <w:r w:rsidR="00870266" w:rsidRPr="0052267F">
        <w:rPr>
          <w:rFonts w:eastAsiaTheme="minorEastAsia"/>
          <w:strike/>
        </w:rPr>
        <w:t>.</w:t>
      </w:r>
      <w:r w:rsidR="0052267F">
        <w:rPr>
          <w:rFonts w:eastAsiaTheme="minorEastAsia"/>
        </w:rPr>
        <w:t xml:space="preserve"> </w:t>
      </w:r>
    </w:p>
    <w:p w14:paraId="518D83FF" w14:textId="77777777" w:rsidR="00870266" w:rsidRDefault="00870266" w:rsidP="00870266"/>
    <w:p w14:paraId="3D0DB078" w14:textId="77777777" w:rsidR="00870266" w:rsidRDefault="00870266" w:rsidP="00870266">
      <w:r>
        <w:t>14.1.8</w:t>
      </w:r>
    </w:p>
    <w:p w14:paraId="5137B579" w14:textId="77777777" w:rsidR="00870266" w:rsidRDefault="00D90F68" w:rsidP="008702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70266">
        <w:rPr>
          <w:rFonts w:eastAsiaTheme="minorEastAsia"/>
        </w:rPr>
        <w:t xml:space="preserve"> </w:t>
      </w:r>
      <w:proofErr w:type="gramStart"/>
      <w:r w:rsidR="00870266">
        <w:rPr>
          <w:rFonts w:eastAsiaTheme="minorEastAsia"/>
        </w:rPr>
        <w:t>is</w:t>
      </w:r>
      <w:proofErr w:type="gramEnd"/>
      <w:r w:rsidR="00870266">
        <w:rPr>
          <w:rFonts w:eastAsiaTheme="minorEastAsia"/>
        </w:rPr>
        <w:t xml:space="preserve"> the difference between changes in log odds of moderate or severe onycholysis per month in the </w:t>
      </w:r>
      <w:proofErr w:type="spellStart"/>
      <w:r w:rsidR="00870266">
        <w:rPr>
          <w:rFonts w:eastAsiaTheme="minorEastAsia"/>
        </w:rPr>
        <w:t>Terbinafine</w:t>
      </w:r>
      <w:proofErr w:type="spellEnd"/>
      <w:r w:rsidR="00870266">
        <w:rPr>
          <w:rFonts w:eastAsiaTheme="minorEastAsia"/>
        </w:rPr>
        <w:t xml:space="preserve"> treatment group and the </w:t>
      </w:r>
      <w:proofErr w:type="spellStart"/>
      <w:r w:rsidR="00870266">
        <w:rPr>
          <w:rFonts w:eastAsiaTheme="minorEastAsia"/>
        </w:rPr>
        <w:t>Itraconazole</w:t>
      </w:r>
      <w:proofErr w:type="spellEnd"/>
      <w:r w:rsidR="00870266">
        <w:rPr>
          <w:rFonts w:eastAsiaTheme="minorEastAsia"/>
        </w:rPr>
        <w:t xml:space="preserve"> treatment group,</w:t>
      </w:r>
      <w:r w:rsidR="00870266" w:rsidRPr="00BE0E6F">
        <w:rPr>
          <w:rFonts w:eastAsiaTheme="minorEastAsia"/>
        </w:rPr>
        <w:t xml:space="preserve"> for a typical individual </w:t>
      </w:r>
      <w:r w:rsidR="00870266" w:rsidRPr="0052267F">
        <w:rPr>
          <w:rFonts w:eastAsiaTheme="minorEastAsia"/>
          <w:strike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b</m:t>
            </m:r>
          </m:e>
          <m:sub>
            <m:r>
              <w:rPr>
                <w:rFonts w:ascii="Cambria Math" w:eastAsiaTheme="minorEastAsia" w:hAnsi="Cambria Math"/>
                <w:strike/>
              </w:rPr>
              <m:t>i</m:t>
            </m:r>
          </m:sub>
        </m:sSub>
        <m:r>
          <w:rPr>
            <w:rFonts w:ascii="Cambria Math" w:eastAsiaTheme="minorEastAsia" w:hAnsi="Cambria Math"/>
            <w:strike/>
          </w:rPr>
          <m:t>=0</m:t>
        </m:r>
      </m:oMath>
      <w:r w:rsidR="00870266" w:rsidRPr="0052267F">
        <w:rPr>
          <w:rFonts w:eastAsiaTheme="minorEastAsia"/>
          <w:strike/>
        </w:rPr>
        <w:t>.</w:t>
      </w:r>
    </w:p>
    <w:p w14:paraId="6139C08A" w14:textId="77777777" w:rsidR="00870266" w:rsidRDefault="00870266" w:rsidP="00596374"/>
    <w:p w14:paraId="7F9C6950" w14:textId="77777777" w:rsidR="00E92536" w:rsidRDefault="00E92536" w:rsidP="00E92536">
      <w:r>
        <w:t>14.1.9</w:t>
      </w:r>
    </w:p>
    <w:p w14:paraId="2E811395" w14:textId="5468CB62" w:rsidR="00E92536" w:rsidRDefault="00E92536" w:rsidP="00596374">
      <w:r>
        <w:t xml:space="preserve">The estimate in </w:t>
      </w:r>
      <w:r w:rsidR="007668BC">
        <w:t>GEE</w:t>
      </w:r>
      <w:r>
        <w:t xml:space="preserve"> is </w:t>
      </w:r>
      <w:r w:rsidR="00C8363B">
        <w:t>smaller in magnitude</w:t>
      </w:r>
      <w:r>
        <w:t xml:space="preserve"> </w:t>
      </w:r>
      <w:r w:rsidR="00C22F05">
        <w:t>[that’s what attenuate means</w:t>
      </w:r>
      <w:r w:rsidR="00B21E9E">
        <w:t xml:space="preserve"> here</w:t>
      </w:r>
      <w:r w:rsidR="00C22F05">
        <w:t xml:space="preserve">] </w:t>
      </w:r>
      <w:r>
        <w:t xml:space="preserve">compared with the estimate from </w:t>
      </w:r>
      <w:r w:rsidR="007668BC">
        <w:t>GLMM</w:t>
      </w:r>
      <w:r>
        <w:t>.</w:t>
      </w:r>
      <w:r w:rsidR="00C8363B">
        <w:t xml:space="preserve"> </w:t>
      </w:r>
      <w:r w:rsidR="00D90F68">
        <w:t>That one slide</w:t>
      </w:r>
      <w:r w:rsidR="00680FA1">
        <w:t xml:space="preserve"> </w:t>
      </w:r>
      <w:r w:rsidR="00D90F68">
        <w:t>in your lecture note shows that all the betas should be smaller</w:t>
      </w:r>
      <w:r w:rsidR="00680FA1">
        <w:t xml:space="preserve"> in magnitude</w:t>
      </w:r>
      <w:r w:rsidR="00261B88">
        <w:t xml:space="preserve"> by about the same amount (check this). [</w:t>
      </w:r>
      <w:r w:rsidR="00D90F68">
        <w:t xml:space="preserve">If you want to see more about deriving this, you can read this: </w:t>
      </w:r>
      <w:r w:rsidR="00D90F68" w:rsidRPr="00D90F68">
        <w:t>http://www.jstor.org/pss/2531734</w:t>
      </w:r>
      <w:r w:rsidR="00261B88">
        <w:t>]</w:t>
      </w:r>
    </w:p>
    <w:p w14:paraId="28D8F5CD" w14:textId="77777777" w:rsidR="00E92536" w:rsidRDefault="00E92536" w:rsidP="00596374"/>
    <w:p w14:paraId="265A7591" w14:textId="77777777" w:rsidR="00E92536" w:rsidRDefault="00E92536" w:rsidP="00596374">
      <w:r>
        <w:t>14.1.10</w:t>
      </w:r>
    </w:p>
    <w:p w14:paraId="775D0913" w14:textId="77777777" w:rsidR="007F4D4F" w:rsidRDefault="00156A25" w:rsidP="007F4D4F">
      <w:r>
        <w:t xml:space="preserve">The parameter estimates become stable once the number of quadrature points is above 20. </w:t>
      </w:r>
      <w:r w:rsidR="00E92536">
        <w:t xml:space="preserve"> </w:t>
      </w:r>
    </w:p>
    <w:sectPr w:rsidR="007F4D4F" w:rsidSect="006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82A"/>
    <w:multiLevelType w:val="hybridMultilevel"/>
    <w:tmpl w:val="C3A88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F0CC4"/>
    <w:multiLevelType w:val="hybridMultilevel"/>
    <w:tmpl w:val="EDFA5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E4D87"/>
    <w:multiLevelType w:val="hybridMultilevel"/>
    <w:tmpl w:val="D8FE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20A3B"/>
    <w:multiLevelType w:val="hybridMultilevel"/>
    <w:tmpl w:val="206631C4"/>
    <w:lvl w:ilvl="0" w:tplc="985EBA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32F1B"/>
    <w:multiLevelType w:val="hybridMultilevel"/>
    <w:tmpl w:val="3AF88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34DF1"/>
    <w:multiLevelType w:val="hybridMultilevel"/>
    <w:tmpl w:val="9B440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E1BDE"/>
    <w:multiLevelType w:val="hybridMultilevel"/>
    <w:tmpl w:val="C0FE6968"/>
    <w:lvl w:ilvl="0" w:tplc="CF4E833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35DB1"/>
    <w:multiLevelType w:val="hybridMultilevel"/>
    <w:tmpl w:val="24B23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10E6"/>
    <w:multiLevelType w:val="hybridMultilevel"/>
    <w:tmpl w:val="4ECA2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55E4B"/>
    <w:multiLevelType w:val="hybridMultilevel"/>
    <w:tmpl w:val="EBCA6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85B95"/>
    <w:multiLevelType w:val="hybridMultilevel"/>
    <w:tmpl w:val="5574D07E"/>
    <w:lvl w:ilvl="0" w:tplc="9A762E0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C0988"/>
    <w:multiLevelType w:val="hybridMultilevel"/>
    <w:tmpl w:val="26B8AB1C"/>
    <w:lvl w:ilvl="0" w:tplc="852A0C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74461"/>
    <w:multiLevelType w:val="hybridMultilevel"/>
    <w:tmpl w:val="97981310"/>
    <w:lvl w:ilvl="0" w:tplc="80BC0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3259E"/>
    <w:multiLevelType w:val="hybridMultilevel"/>
    <w:tmpl w:val="722A0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B3647"/>
    <w:multiLevelType w:val="hybridMultilevel"/>
    <w:tmpl w:val="93C22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11"/>
  </w:num>
  <w:num w:numId="6">
    <w:abstractNumId w:val="10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  <w:num w:numId="12">
    <w:abstractNumId w:val="14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99"/>
    <w:rsid w:val="0000431E"/>
    <w:rsid w:val="00006517"/>
    <w:rsid w:val="000260F8"/>
    <w:rsid w:val="00027948"/>
    <w:rsid w:val="000429A9"/>
    <w:rsid w:val="000969CD"/>
    <w:rsid w:val="000A556A"/>
    <w:rsid w:val="000A6C1A"/>
    <w:rsid w:val="000B465F"/>
    <w:rsid w:val="000D1D70"/>
    <w:rsid w:val="000F2E9D"/>
    <w:rsid w:val="000F4522"/>
    <w:rsid w:val="00107AC8"/>
    <w:rsid w:val="00121314"/>
    <w:rsid w:val="0012291E"/>
    <w:rsid w:val="00124AE0"/>
    <w:rsid w:val="0014562F"/>
    <w:rsid w:val="00156A25"/>
    <w:rsid w:val="001605BB"/>
    <w:rsid w:val="00167E77"/>
    <w:rsid w:val="00171B13"/>
    <w:rsid w:val="00174DA3"/>
    <w:rsid w:val="001849BF"/>
    <w:rsid w:val="001910AF"/>
    <w:rsid w:val="001A3880"/>
    <w:rsid w:val="001D0F2C"/>
    <w:rsid w:val="001E4F89"/>
    <w:rsid w:val="001F77E5"/>
    <w:rsid w:val="002140A2"/>
    <w:rsid w:val="00224168"/>
    <w:rsid w:val="00246EE0"/>
    <w:rsid w:val="00261B88"/>
    <w:rsid w:val="002827A3"/>
    <w:rsid w:val="0028422B"/>
    <w:rsid w:val="00290683"/>
    <w:rsid w:val="002A6188"/>
    <w:rsid w:val="002B167D"/>
    <w:rsid w:val="002B5638"/>
    <w:rsid w:val="002D795A"/>
    <w:rsid w:val="002E568B"/>
    <w:rsid w:val="002F5F92"/>
    <w:rsid w:val="00310585"/>
    <w:rsid w:val="0033193C"/>
    <w:rsid w:val="00352A81"/>
    <w:rsid w:val="003676A4"/>
    <w:rsid w:val="003A05F0"/>
    <w:rsid w:val="003C03F5"/>
    <w:rsid w:val="003D525E"/>
    <w:rsid w:val="003D5C7B"/>
    <w:rsid w:val="003E4EFF"/>
    <w:rsid w:val="003F416E"/>
    <w:rsid w:val="00401FD8"/>
    <w:rsid w:val="004360AC"/>
    <w:rsid w:val="00442D77"/>
    <w:rsid w:val="00452703"/>
    <w:rsid w:val="00487D51"/>
    <w:rsid w:val="004B5EBA"/>
    <w:rsid w:val="0052267F"/>
    <w:rsid w:val="00547CDB"/>
    <w:rsid w:val="00561B53"/>
    <w:rsid w:val="005674BE"/>
    <w:rsid w:val="00571B65"/>
    <w:rsid w:val="00583D50"/>
    <w:rsid w:val="00596374"/>
    <w:rsid w:val="005A0F6C"/>
    <w:rsid w:val="005A272A"/>
    <w:rsid w:val="005B6B79"/>
    <w:rsid w:val="005C23F9"/>
    <w:rsid w:val="005E1DA9"/>
    <w:rsid w:val="005E38A3"/>
    <w:rsid w:val="005E7919"/>
    <w:rsid w:val="005F2C8F"/>
    <w:rsid w:val="0060028D"/>
    <w:rsid w:val="006040D7"/>
    <w:rsid w:val="006051D8"/>
    <w:rsid w:val="006110C5"/>
    <w:rsid w:val="00616E90"/>
    <w:rsid w:val="00622424"/>
    <w:rsid w:val="0063190E"/>
    <w:rsid w:val="0065674D"/>
    <w:rsid w:val="00660DA2"/>
    <w:rsid w:val="00680FA1"/>
    <w:rsid w:val="0068567B"/>
    <w:rsid w:val="006B6097"/>
    <w:rsid w:val="006C3986"/>
    <w:rsid w:val="006D4A51"/>
    <w:rsid w:val="006E1145"/>
    <w:rsid w:val="006E77D2"/>
    <w:rsid w:val="0074711D"/>
    <w:rsid w:val="007473C0"/>
    <w:rsid w:val="007668BC"/>
    <w:rsid w:val="00773F97"/>
    <w:rsid w:val="007927A1"/>
    <w:rsid w:val="007A0F0B"/>
    <w:rsid w:val="007B6591"/>
    <w:rsid w:val="007F4D4F"/>
    <w:rsid w:val="00843828"/>
    <w:rsid w:val="00843DFE"/>
    <w:rsid w:val="00853EF6"/>
    <w:rsid w:val="00870266"/>
    <w:rsid w:val="008A0499"/>
    <w:rsid w:val="008A1E38"/>
    <w:rsid w:val="008A75CC"/>
    <w:rsid w:val="008B2726"/>
    <w:rsid w:val="008D1613"/>
    <w:rsid w:val="008D40B4"/>
    <w:rsid w:val="008F22F7"/>
    <w:rsid w:val="00903047"/>
    <w:rsid w:val="009048BF"/>
    <w:rsid w:val="009316E2"/>
    <w:rsid w:val="00940D7D"/>
    <w:rsid w:val="00942A9B"/>
    <w:rsid w:val="009448F4"/>
    <w:rsid w:val="009543EF"/>
    <w:rsid w:val="00975965"/>
    <w:rsid w:val="00975F08"/>
    <w:rsid w:val="00977BF6"/>
    <w:rsid w:val="00980379"/>
    <w:rsid w:val="009B1611"/>
    <w:rsid w:val="009C4235"/>
    <w:rsid w:val="009E209F"/>
    <w:rsid w:val="009E5240"/>
    <w:rsid w:val="009E557D"/>
    <w:rsid w:val="00A05F96"/>
    <w:rsid w:val="00A143E5"/>
    <w:rsid w:val="00A3374B"/>
    <w:rsid w:val="00A349D9"/>
    <w:rsid w:val="00A350B2"/>
    <w:rsid w:val="00A35DA2"/>
    <w:rsid w:val="00A41D6F"/>
    <w:rsid w:val="00A822FB"/>
    <w:rsid w:val="00A86E53"/>
    <w:rsid w:val="00A90796"/>
    <w:rsid w:val="00A9239F"/>
    <w:rsid w:val="00AC4BC7"/>
    <w:rsid w:val="00AD26B4"/>
    <w:rsid w:val="00AD7B87"/>
    <w:rsid w:val="00AE6D24"/>
    <w:rsid w:val="00B03BD8"/>
    <w:rsid w:val="00B174A8"/>
    <w:rsid w:val="00B21E9E"/>
    <w:rsid w:val="00B22121"/>
    <w:rsid w:val="00B54B18"/>
    <w:rsid w:val="00B61527"/>
    <w:rsid w:val="00B72847"/>
    <w:rsid w:val="00B90C56"/>
    <w:rsid w:val="00BA07B7"/>
    <w:rsid w:val="00BA2FBA"/>
    <w:rsid w:val="00BE0E6F"/>
    <w:rsid w:val="00BE3674"/>
    <w:rsid w:val="00BF2961"/>
    <w:rsid w:val="00C02007"/>
    <w:rsid w:val="00C034FA"/>
    <w:rsid w:val="00C05F42"/>
    <w:rsid w:val="00C061A6"/>
    <w:rsid w:val="00C17A90"/>
    <w:rsid w:val="00C22F05"/>
    <w:rsid w:val="00C32534"/>
    <w:rsid w:val="00C447B0"/>
    <w:rsid w:val="00C62549"/>
    <w:rsid w:val="00C8363B"/>
    <w:rsid w:val="00C93B2D"/>
    <w:rsid w:val="00CE7B96"/>
    <w:rsid w:val="00CF744F"/>
    <w:rsid w:val="00D03965"/>
    <w:rsid w:val="00D054D1"/>
    <w:rsid w:val="00D055A0"/>
    <w:rsid w:val="00D149C0"/>
    <w:rsid w:val="00D15D1B"/>
    <w:rsid w:val="00D51FA3"/>
    <w:rsid w:val="00D81267"/>
    <w:rsid w:val="00D8126B"/>
    <w:rsid w:val="00D90F68"/>
    <w:rsid w:val="00D927B6"/>
    <w:rsid w:val="00D934EE"/>
    <w:rsid w:val="00DB135F"/>
    <w:rsid w:val="00DB7851"/>
    <w:rsid w:val="00DC0A5F"/>
    <w:rsid w:val="00E72E85"/>
    <w:rsid w:val="00E77E1B"/>
    <w:rsid w:val="00E86F33"/>
    <w:rsid w:val="00E92536"/>
    <w:rsid w:val="00E963DA"/>
    <w:rsid w:val="00EB62C5"/>
    <w:rsid w:val="00EB6D9C"/>
    <w:rsid w:val="00EB7B0D"/>
    <w:rsid w:val="00ED6C85"/>
    <w:rsid w:val="00EE0AF8"/>
    <w:rsid w:val="00EE66F1"/>
    <w:rsid w:val="00EE7847"/>
    <w:rsid w:val="00F26743"/>
    <w:rsid w:val="00F345F4"/>
    <w:rsid w:val="00F40B32"/>
    <w:rsid w:val="00F62341"/>
    <w:rsid w:val="00F83D27"/>
    <w:rsid w:val="00F83EE1"/>
    <w:rsid w:val="00F94853"/>
    <w:rsid w:val="00FB25C2"/>
    <w:rsid w:val="00FB56C6"/>
    <w:rsid w:val="00FC3082"/>
    <w:rsid w:val="00FC56B7"/>
    <w:rsid w:val="00FF4BD1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03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90"/>
  </w:style>
  <w:style w:type="paragraph" w:styleId="Heading1">
    <w:name w:val="heading 1"/>
    <w:basedOn w:val="Normal"/>
    <w:next w:val="Normal"/>
    <w:link w:val="Heading1Char"/>
    <w:uiPriority w:val="9"/>
    <w:qFormat/>
    <w:rsid w:val="00561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99"/>
    <w:pPr>
      <w:ind w:left="720"/>
      <w:contextualSpacing/>
    </w:pPr>
  </w:style>
  <w:style w:type="table" w:styleId="TableGrid">
    <w:name w:val="Table Grid"/>
    <w:basedOn w:val="TableNormal"/>
    <w:uiPriority w:val="59"/>
    <w:rsid w:val="00E72E8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0D7D"/>
    <w:rPr>
      <w:color w:val="808080"/>
    </w:rPr>
  </w:style>
  <w:style w:type="character" w:customStyle="1" w:styleId="st">
    <w:name w:val="st"/>
    <w:basedOn w:val="DefaultParagraphFont"/>
    <w:rsid w:val="00C034FA"/>
  </w:style>
  <w:style w:type="character" w:styleId="Emphasis">
    <w:name w:val="Emphasis"/>
    <w:basedOn w:val="DefaultParagraphFont"/>
    <w:uiPriority w:val="20"/>
    <w:qFormat/>
    <w:rsid w:val="00C034F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49BF"/>
  </w:style>
  <w:style w:type="character" w:customStyle="1" w:styleId="DateChar">
    <w:name w:val="Date Char"/>
    <w:basedOn w:val="DefaultParagraphFont"/>
    <w:link w:val="Date"/>
    <w:uiPriority w:val="99"/>
    <w:semiHidden/>
    <w:rsid w:val="001849BF"/>
  </w:style>
  <w:style w:type="paragraph" w:styleId="BalloonText">
    <w:name w:val="Balloon Text"/>
    <w:basedOn w:val="Normal"/>
    <w:link w:val="BalloonTextChar"/>
    <w:uiPriority w:val="99"/>
    <w:semiHidden/>
    <w:unhideWhenUsed/>
    <w:rsid w:val="00F83D2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90"/>
  </w:style>
  <w:style w:type="paragraph" w:styleId="Heading1">
    <w:name w:val="heading 1"/>
    <w:basedOn w:val="Normal"/>
    <w:next w:val="Normal"/>
    <w:link w:val="Heading1Char"/>
    <w:uiPriority w:val="9"/>
    <w:qFormat/>
    <w:rsid w:val="00561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99"/>
    <w:pPr>
      <w:ind w:left="720"/>
      <w:contextualSpacing/>
    </w:pPr>
  </w:style>
  <w:style w:type="table" w:styleId="TableGrid">
    <w:name w:val="Table Grid"/>
    <w:basedOn w:val="TableNormal"/>
    <w:uiPriority w:val="59"/>
    <w:rsid w:val="00E72E8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0D7D"/>
    <w:rPr>
      <w:color w:val="808080"/>
    </w:rPr>
  </w:style>
  <w:style w:type="character" w:customStyle="1" w:styleId="st">
    <w:name w:val="st"/>
    <w:basedOn w:val="DefaultParagraphFont"/>
    <w:rsid w:val="00C034FA"/>
  </w:style>
  <w:style w:type="character" w:styleId="Emphasis">
    <w:name w:val="Emphasis"/>
    <w:basedOn w:val="DefaultParagraphFont"/>
    <w:uiPriority w:val="20"/>
    <w:qFormat/>
    <w:rsid w:val="00C034F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49BF"/>
  </w:style>
  <w:style w:type="character" w:customStyle="1" w:styleId="DateChar">
    <w:name w:val="Date Char"/>
    <w:basedOn w:val="DefaultParagraphFont"/>
    <w:link w:val="Date"/>
    <w:uiPriority w:val="99"/>
    <w:semiHidden/>
    <w:rsid w:val="001849BF"/>
  </w:style>
  <w:style w:type="paragraph" w:styleId="BalloonText">
    <w:name w:val="Balloon Text"/>
    <w:basedOn w:val="Normal"/>
    <w:link w:val="BalloonTextChar"/>
    <w:uiPriority w:val="99"/>
    <w:semiHidden/>
    <w:unhideWhenUsed/>
    <w:rsid w:val="00F83D2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3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19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67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7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50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43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8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5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1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2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05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2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6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3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0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5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06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9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1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0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18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6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2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7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5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8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Zoellner</dc:creator>
  <cp:lastModifiedBy>Christopher Lee</cp:lastModifiedBy>
  <cp:revision>2</cp:revision>
  <dcterms:created xsi:type="dcterms:W3CDTF">2017-12-14T08:02:00Z</dcterms:created>
  <dcterms:modified xsi:type="dcterms:W3CDTF">2017-12-14T08:02:00Z</dcterms:modified>
</cp:coreProperties>
</file>