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What I’ve been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Replicating some textual analysis paper: tetlock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contracting: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CONS+CSR/CONS+TXA/TXA+</w:t>
      </w:r>
      <w:r w:rsidR="008B3BE3" w:rsidRPr="008B3BE3">
        <w:rPr>
          <w:highlight w:val="cyan"/>
        </w:rPr>
        <w:t>traits</w:t>
      </w:r>
    </w:p>
    <w:p w14:paraId="348D0208" w14:textId="70AE750C" w:rsidR="00E43325" w:rsidRDefault="00E43325" w:rsidP="00335BD6">
      <w:pPr>
        <w:pStyle w:val="ListParagraph"/>
        <w:numPr>
          <w:ilvl w:val="0"/>
          <w:numId w:val="2"/>
        </w:numPr>
      </w:pPr>
      <w:r>
        <w:t>I did not start to read corporate fillings (10-Ks or earnings press releases) because I don’t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r>
        <w:t>Penalva and Wagenhofer (2019) and Giner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Li (2010), Loughran and McDonald (2016), Kravet and Muslu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r w:rsidR="00327CF3">
        <w:t>more or less good/bad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Conditional on that I know a good and a bad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time series</w:t>
      </w:r>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Erkens et al. (2014)</w:t>
      </w:r>
      <w:r w:rsidR="007377BC">
        <w:rPr>
          <w:color w:val="FF0000"/>
        </w:rPr>
        <w:t xml:space="preserve"> AFB</w:t>
      </w:r>
      <w:r w:rsidR="00F75127">
        <w:t>)</w:t>
      </w:r>
      <w:r w:rsidR="007377BC">
        <w:t xml:space="preserve"> Luoma and Goodstein (1999) </w:t>
      </w:r>
      <w:r w:rsidR="001635AC">
        <w:t xml:space="preserve">LENDER MONITORING: BOARD, </w:t>
      </w:r>
      <w:r w:rsidR="00BF179E">
        <w:rPr>
          <w:highlight w:val="green"/>
        </w:rPr>
        <w:t>board composition: BoardEX</w:t>
      </w:r>
      <w:r w:rsidR="00BF179E" w:rsidRPr="007377BC">
        <w:rPr>
          <w:highlight w:val="green"/>
        </w:rPr>
        <w:t>?</w:t>
      </w:r>
      <w:r w:rsidR="00BF179E">
        <w:t xml:space="preserve"> MORE </w:t>
      </w:r>
      <w:r w:rsidR="001635AC">
        <w:t xml:space="preserve">COVENANTS </w:t>
      </w:r>
      <w:r w:rsidR="0065418C">
        <w:rPr>
          <w:highlight w:val="green"/>
        </w:rPr>
        <w:t>C</w:t>
      </w:r>
      <w:r w:rsidR="006875C4" w:rsidRPr="006875C4">
        <w:rPr>
          <w:highlight w:val="green"/>
        </w:rPr>
        <w:t>ovenants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shareholders do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lead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OVERLAPPING tests though we focus on different channels, i.e.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r>
        <w:rPr>
          <w:rFonts w:hint="eastAsia"/>
        </w:rPr>
        <w:t>fundations</w:t>
      </w:r>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(cuz in Armstrong’s definition, conservatism is not about providing information sooner or later, but whether the firm will actually provide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r>
              <w:t xml:space="preserve">v.s.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reporting precision PI</w:t>
            </w:r>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to report bad realizations or not</w:t>
            </w:r>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r>
        <w:t>Radhakrisnan working paper has already used the shock to study the impact on conservatism</w:t>
      </w:r>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show power plant project</w:t>
      </w:r>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3 papers recommended</w:t>
      </w:r>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good v.s. bad news)</w:t>
      </w:r>
    </w:p>
    <w:p w14:paraId="5C620BE1" w14:textId="3CE145C9" w:rsidR="009C57C4" w:rsidRDefault="009C57C4" w:rsidP="002F517A">
      <w:r w:rsidRPr="009C57C4">
        <w:rPr>
          <w:highlight w:val="yellow"/>
        </w:rPr>
        <w:t>Read linguistic literature to find more properties of texts, apart from tone or readability</w:t>
      </w:r>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Dashboard package of Shiny: add documentation; storyline; license</w:t>
      </w:r>
    </w:p>
    <w:p w14:paraId="032AA3FA" w14:textId="6386D792" w:rsidR="004E0EF6" w:rsidRDefault="004E0EF6" w:rsidP="00CE012B">
      <w:pPr>
        <w:pStyle w:val="ListParagraph"/>
        <w:numPr>
          <w:ilvl w:val="0"/>
          <w:numId w:val="9"/>
        </w:numPr>
      </w:pPr>
      <w:r>
        <w:t>Make sure that we are not misinterpreting/misusing some variables</w:t>
      </w:r>
    </w:p>
    <w:p w14:paraId="6768C332" w14:textId="10D13F7E" w:rsidR="0007251D" w:rsidRDefault="00CF78CF" w:rsidP="0045644E">
      <w:pPr>
        <w:pStyle w:val="ListParagraph"/>
        <w:numPr>
          <w:ilvl w:val="0"/>
          <w:numId w:val="9"/>
        </w:numPr>
      </w:pPr>
      <w:r>
        <w:t xml:space="preserve">Presentation on Feb (45 mins): outcome (final outcome),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r w:rsidR="00B84E1A">
        <w:rPr>
          <w:highlight w:val="lightGray"/>
        </w:rPr>
        <w:t>conservatism</w:t>
      </w:r>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(e.g.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[Pitler and Nenkova,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10-K forms: i) txt ii) html iii)</w:t>
      </w:r>
      <w:r w:rsidR="00BA68A2">
        <w:t xml:space="preserve"> </w:t>
      </w:r>
      <w:r>
        <w:t>x</w:t>
      </w:r>
      <w:r w:rsidR="001B5C67">
        <w:t>brl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masulis and mo</w:t>
      </w:r>
      <w:r w:rsidR="00290922">
        <w:t>b</w:t>
      </w:r>
      <w:r w:rsidR="00613BFD">
        <w:t>bs)</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narrative disclosure in annual report is conditionally conservative, i.e</w:t>
      </w:r>
      <w:r>
        <w:t>.</w:t>
      </w:r>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litigation</w:t>
      </w:r>
      <w:r w:rsidR="004A517F">
        <w:t>, or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statement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statement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news”</w:t>
      </w:r>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in reflecting publicly available “bad news” than “good news”</w:t>
      </w:r>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r w:rsidR="00C671EB">
        <w:t>more timely</w:t>
      </w:r>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news”</w:t>
      </w:r>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(more timely)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i.e.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losses incurred in social capital, i.e.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i.e. good news, under US GAAP firms are not allowed to recognize gains in financial statements for fixed or intangible assets. Revaluation of fixed and intangible assets is permitted under IFRS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r w:rsidR="00B36AC3">
        <w:t xml:space="preserve">in order to communicate good news in a timely manner. Given the asymmetry treatment of good and bad news in accounting standards applied to numeric </w:t>
      </w:r>
      <w:r w:rsidR="00BB1998">
        <w:t>disclosure</w:t>
      </w:r>
      <w:r w:rsidR="00B36AC3">
        <w:t xml:space="preserve">, </w:t>
      </w:r>
      <w:r w:rsidR="00AC1C6E">
        <w:t xml:space="preserve">I hypothesize that in order </w:t>
      </w:r>
      <w:r w:rsidR="00B36AC3">
        <w:t>to achieve fair value accounting and comm</w:t>
      </w:r>
      <w:r w:rsidR="00AC1C6E">
        <w:t xml:space="preserve">unicate news in a timely and symmetric manner, firms will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its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fixed asset not allowed</w:t>
      </w:r>
      <w:r w:rsidR="00346EFE">
        <w:rPr>
          <w:b/>
          <w:bCs/>
        </w:rPr>
        <w:t>,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r>
        <w:t>:</w:t>
      </w:r>
      <w:r w:rsidR="00337D2B">
        <w:t xml:space="preserve"> </w:t>
      </w:r>
      <w:r w:rsidR="00350D19">
        <w:t>?????????</w:t>
      </w:r>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fixed asset allowed, intangible assets allowed</w:t>
      </w:r>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r>
        <w:t>Footnote;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r w:rsidRPr="00341EB8">
        <w:rPr>
          <w:rFonts w:hint="eastAsia"/>
        </w:rPr>
        <w:t>numericals</w:t>
      </w:r>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addressed</w:t>
      </w:r>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devoted to discussing the news</w:t>
      </w:r>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v.s. MDA)</w:t>
      </w:r>
      <w:r w:rsidR="00F77D66">
        <w:t xml:space="preserve"> </w:t>
      </w:r>
      <w:r>
        <w:t>3) Audited (8K</w:t>
      </w:r>
      <w:r w:rsidR="002F4056">
        <w:t>, 10-Q</w:t>
      </w:r>
      <w:r>
        <w:t xml:space="preserve"> v.s.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news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Pro: industry specific so that it is easy to associate a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r w:rsidR="00E11F70">
        <w:rPr>
          <w:strike/>
        </w:rPr>
        <w:t xml:space="preserve">  </w:t>
      </w:r>
      <w:r w:rsidR="00E11F70" w:rsidRPr="00E11F70">
        <w:t>(</w:t>
      </w:r>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more timely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r>
        <w:t>Akram – shortselling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AUDIT reports lenthy</w:t>
      </w:r>
    </w:p>
    <w:p w14:paraId="2F937A77" w14:textId="5CE307FB" w:rsidR="00FE016E" w:rsidRPr="00393762" w:rsidRDefault="00FE016E" w:rsidP="00122CB0">
      <w:pPr>
        <w:rPr>
          <w:highlight w:val="yellow"/>
        </w:rPr>
      </w:pPr>
      <w:r w:rsidRPr="00393762">
        <w:rPr>
          <w:highlight w:val="yellow"/>
        </w:rPr>
        <w:t>Ramar and watts paper good will impairment</w:t>
      </w:r>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level </w:t>
      </w:r>
    </w:p>
    <w:p w14:paraId="3CD30E86" w14:textId="2AE8C13A" w:rsidR="00B9238D" w:rsidRDefault="00B9238D" w:rsidP="00122CB0">
      <w:r w:rsidRPr="00393762">
        <w:rPr>
          <w:highlight w:val="yellow"/>
        </w:rPr>
        <w:t>Given a risk exposure, build an expected level of conservatism, and then see how much the firm increase/decrease</w:t>
      </w:r>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r w:rsidR="00A27F86">
        <w:rPr>
          <w:highlight w:val="yellow"/>
        </w:rPr>
        <w:t>doc_</w:t>
      </w:r>
      <w:r w:rsidRPr="00B24BA3">
        <w:rPr>
          <w:highlight w:val="yellow"/>
        </w:rPr>
        <w:t>measures: 1) do term-weighting 2) algo: accurately divide 10-Q into different sections</w:t>
      </w:r>
      <w:r w:rsidR="00B108AC">
        <w:rPr>
          <w:highlight w:val="yellow"/>
        </w:rPr>
        <w:t xml:space="preserve"> 3) refine tone</w:t>
      </w:r>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1"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F64C42" w:rsidP="00B83147">
      <w:pPr>
        <w:pStyle w:val="ListParagraph"/>
        <w:rPr>
          <w:rStyle w:val="Hyperlink"/>
        </w:rPr>
      </w:pPr>
      <w:hyperlink r:id="rId13"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r w:rsidRPr="004724E5">
        <w:rPr>
          <w:lang w:val="es-ES"/>
        </w:rPr>
        <w:t>Discuss D’Augusta et al. 2020 paper</w:t>
      </w:r>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TLAG 99% deleted, results hold</w:t>
      </w:r>
    </w:p>
    <w:p w14:paraId="271F18F7" w14:textId="33EE0791" w:rsidR="00501A07" w:rsidRDefault="00501A07" w:rsidP="00501A07">
      <w:pPr>
        <w:pStyle w:val="ListParagraph"/>
        <w:numPr>
          <w:ilvl w:val="0"/>
          <w:numId w:val="22"/>
        </w:numPr>
        <w:rPr>
          <w:highlight w:val="lightGray"/>
        </w:rPr>
      </w:pPr>
      <w:r w:rsidRPr="001C0246">
        <w:rPr>
          <w:highlight w:val="lightGray"/>
        </w:rPr>
        <w:t>TLAG inversed in regression to facilitate interpretation</w:t>
      </w:r>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but TABLE 4 not re</w:t>
      </w:r>
      <w:r w:rsidR="001537B2">
        <w:rPr>
          <w:highlight w:val="lightGray"/>
        </w:rPr>
        <w:t>producible</w:t>
      </w:r>
    </w:p>
    <w:p w14:paraId="5A7C72D4" w14:textId="6E70EE30" w:rsidR="004724E5" w:rsidRDefault="0062676D" w:rsidP="004724E5">
      <w:pPr>
        <w:pStyle w:val="ListParagraph"/>
        <w:numPr>
          <w:ilvl w:val="1"/>
          <w:numId w:val="22"/>
        </w:numPr>
        <w:rPr>
          <w:highlight w:val="lightGray"/>
        </w:rPr>
      </w:pPr>
      <w:r w:rsidRPr="00FB6762">
        <w:rPr>
          <w:highlight w:val="lightGray"/>
        </w:rPr>
        <w:t>Applying this abtone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Read Ball and Shivakumar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Run Eq(3) with RET + NEG + RET*NEG</w:t>
      </w:r>
      <w:r w:rsidR="002429B0" w:rsidRPr="00255765">
        <w:rPr>
          <w:highlight w:val="lightGray"/>
        </w:rPr>
        <w:t>?</w:t>
      </w:r>
      <w:r w:rsidR="00255765" w:rsidRPr="00255765">
        <w:rPr>
          <w:highlight w:val="lightGray"/>
        </w:rPr>
        <w:t xml:space="preserve"> TABLE 5, basically it coincides with the results for ABTONE</w:t>
      </w:r>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Read paper sent by Bea</w:t>
      </w:r>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r>
        <w:t>Tf-i</w:t>
      </w:r>
      <w:r w:rsidR="00D0657E">
        <w:t>d</w:t>
      </w:r>
      <w:r>
        <w:t>f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Think about ABTONE results interpretation</w:t>
      </w:r>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roperty of information quality</w:t>
      </w:r>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Among all items, only item 8.01 “other events” is voluntary</w:t>
      </w:r>
    </w:p>
    <w:p w14:paraId="589AFA5E" w14:textId="77777777" w:rsidR="00EB6565" w:rsidRPr="006235F5" w:rsidRDefault="00EB6565" w:rsidP="00EB6565">
      <w:pPr>
        <w:pStyle w:val="ListParagraph"/>
        <w:numPr>
          <w:ilvl w:val="1"/>
          <w:numId w:val="24"/>
        </w:numPr>
      </w:pPr>
      <w:r w:rsidRPr="006235F5">
        <w:t>Only item 7.01 and 8.01 are not subject to 4 business day reporting deadline</w:t>
      </w:r>
    </w:p>
    <w:p w14:paraId="4C83DF22" w14:textId="77777777" w:rsidR="00EB6565" w:rsidRPr="006235F5" w:rsidRDefault="00EB6565" w:rsidP="00EB6565">
      <w:pPr>
        <w:pStyle w:val="ListParagraph"/>
        <w:numPr>
          <w:ilvl w:val="1"/>
          <w:numId w:val="24"/>
        </w:numPr>
      </w:pPr>
      <w:r w:rsidRPr="006235F5">
        <w:t>Managerial discretion can still play a role within these 4 days limit</w:t>
      </w:r>
    </w:p>
    <w:p w14:paraId="0188D81D" w14:textId="6C7BEC43" w:rsidR="00EB6565" w:rsidRPr="006235F5" w:rsidRDefault="00F64C42" w:rsidP="00EB6565">
      <w:pPr>
        <w:pStyle w:val="ListParagraph"/>
        <w:ind w:firstLine="360"/>
      </w:pPr>
      <w:hyperlink r:id="rId14"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Eq(3) with RET + NEG + RET*NEG? TABLE </w:t>
      </w:r>
      <w:r w:rsidR="00EB6565" w:rsidRPr="00761860">
        <w:rPr>
          <w:highlight w:val="darkGray"/>
        </w:rPr>
        <w:t>2 PANEL B</w:t>
      </w:r>
      <w:r w:rsidRPr="00761860">
        <w:rPr>
          <w:highlight w:val="darkGray"/>
        </w:rPr>
        <w:t>, basically it coincides with the results for ABTONE</w:t>
      </w:r>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Read Ball and Shivakumar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r>
        <w:t>Tf-idf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r w:rsidRPr="00E562AC">
        <w:t>C</w:t>
      </w:r>
      <w:r>
        <w:t>_</w:t>
      </w:r>
      <w:r w:rsidRPr="00E562AC">
        <w:t>score</w:t>
      </w:r>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neutrality and timeliness requirement in CS?</w:t>
      </w:r>
      <w:r w:rsidRPr="005D772C">
        <w:t xml:space="preserve"> Timeliness definitely fits</w:t>
      </w:r>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it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size;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Should we apply the Conceptual Framework properties in theoretical framework? Does our finding contradict the completeness, neutrality and timeliness requirement in CS? (I realized that neutrality contradicts conservatism and discussed that in footnote 12, but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Cascino et al. 2014, 2020 papers are on this and we cite this debate), and also, the extend to which conservatism is a desirable property of accounting information (here, work from Basu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Ok, I think first we need to link narrative conservatism with earnings conservatism, to understand how the two interact, and then, we can try to think on whether narrative conservatism, in itself or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4. Numerical and narrative recognition (according to FASB Conceptual Framework, recognition does not only refer to numerical recognition, it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discus.</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This links to a number of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it is better to discuss simply abnormal tone rather than to call it ‘exaggeration’ which seems, in itself, an exaggeration</w:t>
      </w:r>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Read Ball and Shivakumar 2006</w:t>
      </w:r>
    </w:p>
    <w:p w14:paraId="1FF8B45A" w14:textId="49684C52" w:rsidR="00347AFD" w:rsidRDefault="00347AFD" w:rsidP="0018402A">
      <w:pPr>
        <w:pStyle w:val="ListParagraph"/>
        <w:numPr>
          <w:ilvl w:val="0"/>
          <w:numId w:val="28"/>
        </w:numPr>
      </w:pPr>
      <w:r>
        <w:t xml:space="preserve">Alternative news proxy: Bao et al. 2019 short interest and insider purchase cohen et al. </w:t>
      </w:r>
    </w:p>
    <w:p w14:paraId="4144BE94" w14:textId="6EC8B4E6" w:rsidR="00347AFD" w:rsidRDefault="00347AFD" w:rsidP="00347AFD">
      <w:pPr>
        <w:pStyle w:val="ListParagraph"/>
        <w:numPr>
          <w:ilvl w:val="1"/>
          <w:numId w:val="28"/>
        </w:numPr>
      </w:pPr>
      <w:r>
        <w:t>Does it reveals good/bad news?</w:t>
      </w:r>
    </w:p>
    <w:p w14:paraId="025CFFB5" w14:textId="548E6821" w:rsidR="00347AFD" w:rsidRPr="00A47E1A" w:rsidRDefault="00347AFD" w:rsidP="00347AFD">
      <w:pPr>
        <w:pStyle w:val="ListParagraph"/>
        <w:numPr>
          <w:ilvl w:val="1"/>
          <w:numId w:val="28"/>
        </w:numPr>
      </w:pPr>
      <w:r>
        <w:t>Does managers know the good/bad news</w:t>
      </w:r>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r>
        <w:t>Tf-idf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Relationship between reporting cons. And narrative cons? C_score</w:t>
      </w:r>
    </w:p>
    <w:p w14:paraId="0706E336" w14:textId="0AFECB7C" w:rsidR="00347AFD" w:rsidRDefault="00347AFD" w:rsidP="0018402A">
      <w:pPr>
        <w:pStyle w:val="ListParagraph"/>
        <w:numPr>
          <w:ilvl w:val="0"/>
          <w:numId w:val="28"/>
        </w:numPr>
      </w:pPr>
      <w:r>
        <w:t>Incentive cross sectional tests: kothari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cohen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r>
        <w:t>Tf-idf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r w:rsidR="00C31C2C" w:rsidRPr="003213D9">
        <w:rPr>
          <w:highlight w:val="darkYellow"/>
        </w:rPr>
        <w:t>v.s.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C_score</w:t>
      </w:r>
    </w:p>
    <w:p w14:paraId="38DE2539" w14:textId="69B30081" w:rsidR="00C94EB2" w:rsidRPr="009A4004" w:rsidRDefault="00C94EB2" w:rsidP="00C94EB2">
      <w:pPr>
        <w:pStyle w:val="ListParagraph"/>
        <w:numPr>
          <w:ilvl w:val="0"/>
          <w:numId w:val="29"/>
        </w:numPr>
        <w:rPr>
          <w:highlight w:val="darkYellow"/>
        </w:rPr>
      </w:pPr>
      <w:r w:rsidRPr="009A4004">
        <w:rPr>
          <w:highlight w:val="darkYellow"/>
        </w:rPr>
        <w:t>Incentive cross sectional tests: kothari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9A4004" w:rsidRDefault="00C94EB2" w:rsidP="00C94EB2">
      <w:pPr>
        <w:pStyle w:val="ListParagraph"/>
        <w:numPr>
          <w:ilvl w:val="1"/>
          <w:numId w:val="29"/>
        </w:numPr>
        <w:rPr>
          <w:highlight w:val="darkYellow"/>
        </w:rPr>
      </w:pPr>
      <w:r w:rsidRPr="009A4004">
        <w:rPr>
          <w:highlight w:val="darkYellow"/>
        </w:rPr>
        <w:t>Litigation (more conservative)</w:t>
      </w:r>
    </w:p>
    <w:p w14:paraId="78BC6D60" w14:textId="77777777" w:rsidR="00C94EB2" w:rsidRPr="009A4004" w:rsidRDefault="00C94EB2" w:rsidP="00C94EB2">
      <w:pPr>
        <w:pStyle w:val="ListParagraph"/>
        <w:numPr>
          <w:ilvl w:val="1"/>
          <w:numId w:val="29"/>
        </w:numPr>
        <w:rPr>
          <w:highlight w:val="darkYellow"/>
        </w:rPr>
      </w:pPr>
      <w:r w:rsidRPr="009A4004">
        <w:rPr>
          <w:highlight w:val="dark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v.s.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正方形框框，无颜色</w:t>
      </w:r>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I will send this draft to evaluation committee by next Monday, and I will copy to you</w:t>
      </w:r>
    </w:p>
    <w:p w14:paraId="07A1CAE7" w14:textId="682A8884" w:rsidR="00A96D68"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ddl</w:t>
      </w:r>
      <w:r w:rsidR="00A96D68">
        <w:t xml:space="preserve"> is</w:t>
      </w:r>
      <w:r w:rsidR="005B4279">
        <w:t xml:space="preserve"> in Nov.</w:t>
      </w:r>
      <w:r w:rsidR="00B90C81">
        <w:t xml:space="preserve"> 15th</w:t>
      </w:r>
      <w:r w:rsidR="005B4279">
        <w:t xml:space="preserve"> this year</w:t>
      </w:r>
    </w:p>
    <w:p w14:paraId="254349B1" w14:textId="40C207EE" w:rsidR="00B618F7" w:rsidRPr="007D3267" w:rsidRDefault="00B618F7" w:rsidP="00B618F7">
      <w:pPr>
        <w:rPr>
          <w:highlight w:val="cyan"/>
        </w:rPr>
      </w:pPr>
      <w:r>
        <w:rPr>
          <w:highlight w:val="cyan"/>
        </w:rPr>
        <w:t>10</w:t>
      </w:r>
      <w:r w:rsidRPr="007D3267">
        <w:rPr>
          <w:highlight w:val="cyan"/>
        </w:rPr>
        <w:t>/</w:t>
      </w:r>
      <w:r>
        <w:rPr>
          <w:highlight w:val="cyan"/>
        </w:rPr>
        <w:t>19</w:t>
      </w:r>
      <w:r w:rsidRPr="007D3267">
        <w:rPr>
          <w:highlight w:val="cyan"/>
        </w:rPr>
        <w:t>/2020</w:t>
      </w:r>
    </w:p>
    <w:p w14:paraId="7F369E5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1. Narrative v.s. conditional conservatism</w:t>
      </w:r>
    </w:p>
    <w:p w14:paraId="6D647CF6"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a.</w:t>
      </w:r>
      <w:r w:rsidRPr="00D47AA5">
        <w:rPr>
          <w:rFonts w:ascii="Arial" w:eastAsia="Times New Roman" w:hAnsi="Arial" w:cs="Arial"/>
          <w:color w:val="222222"/>
          <w:sz w:val="20"/>
          <w:szCs w:val="20"/>
        </w:rPr>
        <w:t> Bea suggested to conduct a "decile rank analysis'' as in Khan and Watts 2009. So I tried other thresholds at which I classify the 10-Q observations into high and low conditional conservatism subsamples. Originally all observations with higher (lower) than median C_SCORE were classified into high conditional conservatism subsample. Now I tried above (below) 75% and 80% (25% and 20%), and the relationship between NC and CCONS. flipped from substitutes to complements. </w:t>
      </w:r>
    </w:p>
    <w:p w14:paraId="431AED2B" w14:textId="77777777" w:rsidR="00D47AA5" w:rsidRPr="00D47AA5" w:rsidRDefault="00D47AA5" w:rsidP="00D47AA5">
      <w:pPr>
        <w:spacing w:after="0" w:line="240" w:lineRule="auto"/>
        <w:rPr>
          <w:rFonts w:ascii="Times New Roman" w:eastAsia="Times New Roman" w:hAnsi="Times New Roman" w:cs="Times New Roman"/>
          <w:sz w:val="20"/>
          <w:szCs w:val="20"/>
        </w:rPr>
      </w:pPr>
      <w:r w:rsidRPr="00D47AA5">
        <w:rPr>
          <w:rFonts w:ascii="Arial" w:eastAsia="Times New Roman" w:hAnsi="Arial" w:cs="Arial"/>
          <w:b/>
          <w:bCs/>
          <w:color w:val="222222"/>
          <w:sz w:val="20"/>
          <w:szCs w:val="20"/>
          <w:shd w:val="clear" w:color="auto" w:fill="FFFFFF"/>
        </w:rPr>
        <w:t>b.</w:t>
      </w:r>
      <w:r w:rsidRPr="00D47AA5">
        <w:rPr>
          <w:rFonts w:ascii="Arial" w:eastAsia="Times New Roman" w:hAnsi="Arial" w:cs="Arial"/>
          <w:color w:val="222222"/>
          <w:sz w:val="20"/>
          <w:szCs w:val="20"/>
          <w:shd w:val="clear" w:color="auto" w:fill="FFFFFF"/>
        </w:rPr>
        <w:t> How to explain the relationship or what is the mechanism? Look into Guay and Verrecchia 2018 + Lawrence et al. 2013 (non-discretionary conservatism)?</w:t>
      </w:r>
    </w:p>
    <w:p w14:paraId="7B095193"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F8B752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2. Bea asked: "A key issue of CCONS is that non-verifiable good and bad news have different criteria for their recognition. What role verifiability has in this (NC) setting if at all?"</w:t>
      </w:r>
    </w:p>
    <w:p w14:paraId="14194F3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Not really sure how to answer, what do you suggest?</w:t>
      </w:r>
    </w:p>
    <w:p w14:paraId="2A012E8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3. Explanatory v.s. supplementary narratives</w:t>
      </w:r>
    </w:p>
    <w:p w14:paraId="0A639FD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Juan pointed out that referring to MDA and notes to financial statements as supplementary and explanatory narratives might be confusing. So I dropped this framing and directly say that we test the narrative conservatism in the two sections to ensure that our results are not driven by boilerplate (because MDA should contain less boilerplate than the notes). </w:t>
      </w:r>
    </w:p>
    <w:p w14:paraId="2AF7623B"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4. An aggregated measure of narrative conservatism</w:t>
      </w:r>
      <w:r w:rsidRPr="00D47AA5">
        <w:rPr>
          <w:rFonts w:ascii="Arial" w:eastAsia="Times New Roman" w:hAnsi="Arial" w:cs="Arial"/>
          <w:color w:val="222222"/>
          <w:sz w:val="20"/>
          <w:szCs w:val="20"/>
        </w:rPr>
        <w:t> </w:t>
      </w:r>
    </w:p>
    <w:p w14:paraId="6F803F9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Bea suggested to create an aggregate measure of narrative conservatism encompassing all three dimensions: length, tone and timeliness. This is feasible, but at the cost of losing granularity. Is it really necessary? Maybe for future research?</w:t>
      </w:r>
    </w:p>
    <w:p w14:paraId="2614224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5. Fixes for the criticism of Basu Model</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lastRenderedPageBreak/>
        <w:t>a. </w:t>
      </w:r>
      <w:r w:rsidRPr="00D47AA5">
        <w:rPr>
          <w:rFonts w:ascii="Arial" w:eastAsia="Times New Roman" w:hAnsi="Arial" w:cs="Arial"/>
          <w:color w:val="222222"/>
          <w:sz w:val="20"/>
          <w:szCs w:val="20"/>
        </w:rPr>
        <w:t>Remedies suggested in Ball and Shivakumar 2013 already implemented: 1) firm fixed effects 2) adding SIZE MTB LEV as controls</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b. </w:t>
      </w:r>
      <w:r w:rsidRPr="00D47AA5">
        <w:rPr>
          <w:rFonts w:ascii="Arial" w:eastAsia="Times New Roman" w:hAnsi="Arial" w:cs="Arial"/>
          <w:color w:val="222222"/>
          <w:sz w:val="20"/>
          <w:szCs w:val="20"/>
        </w:rPr>
        <w:t>Alternative models of conditional conservatism? Accrual-CFO model proposed by Ball and Shivakumar 2005</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c.</w:t>
      </w:r>
      <w:r w:rsidRPr="00D47AA5">
        <w:rPr>
          <w:rFonts w:ascii="Arial" w:eastAsia="Times New Roman" w:hAnsi="Arial" w:cs="Arial"/>
          <w:color w:val="222222"/>
          <w:sz w:val="20"/>
          <w:szCs w:val="20"/>
        </w:rPr>
        <w:t> Incorporating remedies suggested by Badia et al. 2020?</w:t>
      </w:r>
    </w:p>
    <w:p w14:paraId="6D73CE0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6. Format issues</w:t>
      </w:r>
    </w:p>
    <w:p w14:paraId="0EB4441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Table descriptions are too long to be on the same page with the tables after adjusting the margin and from A4 to letterpaper. Can I use a different margin style in the table and appendix section?</w:t>
      </w:r>
    </w:p>
    <w:p w14:paraId="34A4833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64AA78E"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To do list:</w:t>
      </w:r>
    </w:p>
    <w:p w14:paraId="190AAC82"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1. Find a proxy for </w:t>
      </w:r>
      <w:r w:rsidRPr="00D47AA5">
        <w:rPr>
          <w:rFonts w:ascii="Arial" w:eastAsia="Times New Roman" w:hAnsi="Arial" w:cs="Arial"/>
          <w:b/>
          <w:bCs/>
          <w:color w:val="222222"/>
          <w:sz w:val="20"/>
          <w:szCs w:val="20"/>
        </w:rPr>
        <w:t>unconditional conservatism</w:t>
      </w:r>
      <w:r w:rsidRPr="00D47AA5">
        <w:rPr>
          <w:rFonts w:ascii="Arial" w:eastAsia="Times New Roman" w:hAnsi="Arial" w:cs="Arial"/>
          <w:color w:val="222222"/>
          <w:sz w:val="20"/>
          <w:szCs w:val="20"/>
        </w:rPr>
        <w:t> and test the relationship between narrative v.s. unconditional conservatism </w:t>
      </w:r>
    </w:p>
    <w:p w14:paraId="4988BA5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2. Test for </w:t>
      </w:r>
      <w:r w:rsidRPr="00D47AA5">
        <w:rPr>
          <w:rFonts w:ascii="Arial" w:eastAsia="Times New Roman" w:hAnsi="Arial" w:cs="Arial"/>
          <w:b/>
          <w:bCs/>
          <w:color w:val="222222"/>
          <w:sz w:val="20"/>
          <w:szCs w:val="20"/>
        </w:rPr>
        <w:t>bunding of good and bad news</w:t>
      </w:r>
      <w:r w:rsidRPr="00D47AA5">
        <w:rPr>
          <w:rFonts w:ascii="Arial" w:eastAsia="Times New Roman" w:hAnsi="Arial" w:cs="Arial"/>
          <w:color w:val="222222"/>
          <w:sz w:val="20"/>
          <w:szCs w:val="20"/>
        </w:rPr>
        <w:t> (Encarna)</w:t>
      </w:r>
    </w:p>
    <w:p w14:paraId="222DE63E" w14:textId="45C128A5" w:rsidR="00853746"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3. Sample period is quite long, and thus our results may be confounded by time trends even if we control for time fixed effects. Maybe we can use an additional test to see whether and how a specific event (enactment of </w:t>
      </w:r>
      <w:r w:rsidRPr="00D47AA5">
        <w:rPr>
          <w:rFonts w:ascii="Arial" w:eastAsia="Times New Roman" w:hAnsi="Arial" w:cs="Arial"/>
          <w:b/>
          <w:bCs/>
          <w:color w:val="222222"/>
          <w:sz w:val="20"/>
          <w:szCs w:val="20"/>
        </w:rPr>
        <w:t>Reg FD</w:t>
      </w:r>
      <w:r w:rsidRPr="00D47AA5">
        <w:rPr>
          <w:rFonts w:ascii="Arial" w:eastAsia="Times New Roman" w:hAnsi="Arial" w:cs="Arial"/>
          <w:color w:val="222222"/>
          <w:sz w:val="20"/>
          <w:szCs w:val="20"/>
        </w:rPr>
        <w:t>) affects narrative conservatism meaningfully in a relatively short period of time? (Encarna and Bing)</w:t>
      </w:r>
    </w:p>
    <w:p w14:paraId="1E41121E" w14:textId="4160CA03" w:rsidR="00725415" w:rsidRDefault="00725415" w:rsidP="00D47AA5">
      <w:pPr>
        <w:shd w:val="clear" w:color="auto" w:fill="FFFFFF"/>
        <w:spacing w:after="0" w:line="240" w:lineRule="auto"/>
        <w:rPr>
          <w:rFonts w:ascii="Arial" w:eastAsia="Times New Roman" w:hAnsi="Arial" w:cs="Arial"/>
          <w:color w:val="222222"/>
          <w:sz w:val="20"/>
          <w:szCs w:val="20"/>
        </w:rPr>
      </w:pPr>
    </w:p>
    <w:p w14:paraId="678A9C59" w14:textId="57A3D533" w:rsidR="00725415" w:rsidRDefault="00725415" w:rsidP="00725415">
      <w:pPr>
        <w:rPr>
          <w:highlight w:val="cyan"/>
        </w:rPr>
      </w:pPr>
      <w:r>
        <w:rPr>
          <w:highlight w:val="cyan"/>
        </w:rPr>
        <w:t>11</w:t>
      </w:r>
      <w:r w:rsidRPr="007D3267">
        <w:rPr>
          <w:highlight w:val="cyan"/>
        </w:rPr>
        <w:t>/</w:t>
      </w:r>
      <w:r>
        <w:rPr>
          <w:highlight w:val="cyan"/>
        </w:rPr>
        <w:t>2</w:t>
      </w:r>
      <w:r w:rsidRPr="007D3267">
        <w:rPr>
          <w:highlight w:val="cyan"/>
        </w:rPr>
        <w:t>/2020</w:t>
      </w:r>
    </w:p>
    <w:p w14:paraId="4336E6DC" w14:textId="5FA4A916" w:rsidR="00725415" w:rsidRDefault="00725415" w:rsidP="00725415">
      <w:pPr>
        <w:pStyle w:val="ListParagraph"/>
        <w:numPr>
          <w:ilvl w:val="0"/>
          <w:numId w:val="33"/>
        </w:numPr>
      </w:pPr>
      <w:r w:rsidRPr="00725415">
        <w:t>Qu</w:t>
      </w:r>
      <w:r w:rsidR="00E00131">
        <w:rPr>
          <w:rFonts w:hint="eastAsia"/>
        </w:rPr>
        <w:t>i</w:t>
      </w:r>
      <w:r w:rsidRPr="00725415">
        <w:t>ntile analyses interpretation</w:t>
      </w:r>
    </w:p>
    <w:p w14:paraId="3932A903" w14:textId="6CB7F711" w:rsidR="00725415" w:rsidRDefault="00C12A61" w:rsidP="00C12A61">
      <w:pPr>
        <w:pStyle w:val="ListParagraph"/>
        <w:numPr>
          <w:ilvl w:val="0"/>
          <w:numId w:val="33"/>
        </w:numPr>
      </w:pPr>
      <w:r>
        <w:t xml:space="preserve">Reg FD </w:t>
      </w:r>
      <w:r>
        <w:rPr>
          <w:rFonts w:hint="eastAsia"/>
        </w:rPr>
        <w:t>a</w:t>
      </w:r>
      <w:r>
        <w:t>nd time trend</w:t>
      </w:r>
      <w:r w:rsidR="00317209">
        <w:t xml:space="preserve"> (TABLE 10)</w:t>
      </w:r>
      <w:r w:rsidR="009C74B8">
        <w:t>: no pattern…</w:t>
      </w:r>
    </w:p>
    <w:p w14:paraId="43DBFBAC" w14:textId="643E1DBE" w:rsidR="00E00131" w:rsidRDefault="00A07889" w:rsidP="00C12A61">
      <w:pPr>
        <w:pStyle w:val="ListParagraph"/>
        <w:numPr>
          <w:ilvl w:val="0"/>
          <w:numId w:val="33"/>
        </w:numPr>
      </w:pPr>
      <w:r>
        <w:t>A priori negative news events v.s. other events</w:t>
      </w:r>
      <w:r w:rsidR="003017ED">
        <w:t>: the former are less conservative, but may due to limited sample (TABLE 11)</w:t>
      </w:r>
    </w:p>
    <w:p w14:paraId="3E07F5DD" w14:textId="68C72A0D" w:rsidR="00E82CFC" w:rsidRDefault="00E82CFC" w:rsidP="00E82CFC">
      <w:pPr>
        <w:pStyle w:val="ListParagraph"/>
        <w:numPr>
          <w:ilvl w:val="0"/>
          <w:numId w:val="33"/>
        </w:numPr>
      </w:pPr>
      <w:r>
        <w:t>CFO results suggest that 10-Q narratives are not conservative in length or tone but is conservative in reporting time (UT_3)</w:t>
      </w:r>
    </w:p>
    <w:p w14:paraId="4823538D" w14:textId="21CB57C9" w:rsidR="00DE0CDD" w:rsidRDefault="00DE0CDD" w:rsidP="00DE0CDD">
      <w:r>
        <w:t>To do</w:t>
      </w:r>
      <w:r>
        <w:rPr>
          <w:rFonts w:hint="eastAsia"/>
        </w:rPr>
        <w:t>:</w:t>
      </w:r>
    </w:p>
    <w:p w14:paraId="10F386AD" w14:textId="4FE4EFC3" w:rsidR="00DE0CDD" w:rsidRDefault="00DE0CDD" w:rsidP="00DE0CDD">
      <w:pPr>
        <w:pStyle w:val="ListParagraph"/>
        <w:numPr>
          <w:ilvl w:val="0"/>
          <w:numId w:val="35"/>
        </w:numPr>
      </w:pPr>
      <w:r>
        <w:t>Asymmetric persistence?</w:t>
      </w:r>
    </w:p>
    <w:p w14:paraId="1CCEEC5A" w14:textId="24764A02" w:rsidR="00D81895" w:rsidRDefault="00D81895" w:rsidP="00DE0CDD">
      <w:pPr>
        <w:pStyle w:val="ListParagraph"/>
        <w:numPr>
          <w:ilvl w:val="0"/>
          <w:numId w:val="35"/>
        </w:numPr>
      </w:pPr>
      <w:r>
        <w:t>Roles of narratives: intangibles &amp; R&amp;Ds?</w:t>
      </w:r>
    </w:p>
    <w:p w14:paraId="6901E319" w14:textId="22E878F7" w:rsidR="000C765D" w:rsidRDefault="000C765D" w:rsidP="00DE0CDD">
      <w:pPr>
        <w:pStyle w:val="ListParagraph"/>
        <w:numPr>
          <w:ilvl w:val="0"/>
          <w:numId w:val="35"/>
        </w:numPr>
      </w:pPr>
      <w:r>
        <w:t>Redo CFO, check data</w:t>
      </w:r>
    </w:p>
    <w:p w14:paraId="443C4787" w14:textId="0296C41C" w:rsidR="0018618C" w:rsidRDefault="0018618C" w:rsidP="000C765D">
      <w:pPr>
        <w:rPr>
          <w:highlight w:val="cyan"/>
        </w:rPr>
      </w:pPr>
      <w:r w:rsidRPr="0018618C">
        <w:rPr>
          <w:highlight w:val="cyan"/>
        </w:rPr>
        <w:t>11/</w:t>
      </w:r>
      <w:r>
        <w:rPr>
          <w:highlight w:val="cyan"/>
        </w:rPr>
        <w:t>1</w:t>
      </w:r>
      <w:r w:rsidRPr="0018618C">
        <w:rPr>
          <w:highlight w:val="cyan"/>
        </w:rPr>
        <w:t>2/2020</w:t>
      </w:r>
    </w:p>
    <w:p w14:paraId="5C3FA06F" w14:textId="2907A68C" w:rsidR="008C3AC5" w:rsidRPr="00CF17CC" w:rsidRDefault="008C3AC5" w:rsidP="008C3AC5">
      <w:pPr>
        <w:pStyle w:val="ListParagraph"/>
        <w:numPr>
          <w:ilvl w:val="0"/>
          <w:numId w:val="38"/>
        </w:numPr>
        <w:rPr>
          <w:highlight w:val="darkCyan"/>
        </w:rPr>
      </w:pPr>
      <w:r w:rsidRPr="00CF17CC">
        <w:rPr>
          <w:highlight w:val="darkCyan"/>
        </w:rPr>
        <w:t>Juan’s comments on the tables</w:t>
      </w:r>
    </w:p>
    <w:p w14:paraId="328A3DED" w14:textId="2BE39B6E" w:rsidR="002809DF" w:rsidRDefault="002809DF" w:rsidP="002809DF">
      <w:pPr>
        <w:pStyle w:val="ListParagraph"/>
        <w:numPr>
          <w:ilvl w:val="0"/>
          <w:numId w:val="38"/>
        </w:numPr>
        <w:rPr>
          <w:b/>
          <w:bCs/>
        </w:rPr>
      </w:pPr>
      <w:r w:rsidRPr="002A62C9">
        <w:rPr>
          <w:b/>
          <w:bCs/>
          <w:highlight w:val="darkCyan"/>
        </w:rPr>
        <w:t xml:space="preserve">Try quintiles </w:t>
      </w:r>
      <w:r w:rsidRPr="002A62C9">
        <w:rPr>
          <w:rFonts w:hint="eastAsia"/>
          <w:b/>
          <w:bCs/>
          <w:highlight w:val="darkCyan"/>
        </w:rPr>
        <w:t>o</w:t>
      </w:r>
      <w:r w:rsidRPr="002A62C9">
        <w:rPr>
          <w:b/>
          <w:bCs/>
          <w:highlight w:val="darkCyan"/>
        </w:rPr>
        <w:t>f other variables: growth as proxied by MTB??, proprietary costs, litigation</w:t>
      </w:r>
      <w:r w:rsidR="00A10621">
        <w:rPr>
          <w:b/>
          <w:bCs/>
        </w:rPr>
        <w:t xml:space="preserve"> (TABLE</w:t>
      </w:r>
      <w:r w:rsidR="00D71D5D">
        <w:rPr>
          <w:b/>
          <w:bCs/>
        </w:rPr>
        <w:t xml:space="preserve"> </w:t>
      </w:r>
      <w:r w:rsidR="00A10621">
        <w:rPr>
          <w:b/>
          <w:bCs/>
        </w:rPr>
        <w:t>7)</w:t>
      </w:r>
    </w:p>
    <w:p w14:paraId="7A78CE6D" w14:textId="171D2D66" w:rsidR="007E319E" w:rsidRPr="002A62C9" w:rsidRDefault="007E319E" w:rsidP="007E319E">
      <w:pPr>
        <w:pStyle w:val="ListParagraph"/>
        <w:numPr>
          <w:ilvl w:val="1"/>
          <w:numId w:val="38"/>
        </w:numPr>
        <w:rPr>
          <w:highlight w:val="darkCyan"/>
        </w:rPr>
      </w:pPr>
      <w:r w:rsidRPr="002A62C9">
        <w:rPr>
          <w:highlight w:val="darkCyan"/>
        </w:rPr>
        <w:t>Growth: sales growth</w:t>
      </w:r>
      <w:r w:rsidR="00206627" w:rsidRPr="002A62C9">
        <w:rPr>
          <w:rFonts w:hint="eastAsia"/>
          <w:highlight w:val="darkCyan"/>
        </w:rPr>
        <w:t>_</w:t>
      </w:r>
      <w:r w:rsidR="00206627" w:rsidRPr="002A62C9">
        <w:rPr>
          <w:highlight w:val="darkCyan"/>
        </w:rPr>
        <w:t>t-1</w:t>
      </w:r>
    </w:p>
    <w:p w14:paraId="7C766DC2" w14:textId="77777777" w:rsidR="002809DF" w:rsidRPr="002A62C9" w:rsidRDefault="002809DF" w:rsidP="002809DF">
      <w:pPr>
        <w:pStyle w:val="ListParagraph"/>
        <w:numPr>
          <w:ilvl w:val="1"/>
          <w:numId w:val="38"/>
        </w:numPr>
        <w:rPr>
          <w:highlight w:val="darkCyan"/>
        </w:rPr>
      </w:pPr>
      <w:r w:rsidRPr="002A62C9">
        <w:rPr>
          <w:highlight w:val="darkCyan"/>
        </w:rPr>
        <w:t>Litigation: Kim and skinner 2012 Table 7 equation 1, 2, 3, 4: since we do not have raw data on litigation cases, we cannot estimate these models and obtain the beta coefficients, thus we cannot predict the prob(sued).</w:t>
      </w:r>
    </w:p>
    <w:p w14:paraId="665DA250" w14:textId="4D0ECA4D" w:rsidR="002809DF" w:rsidRPr="007A2C35" w:rsidRDefault="002809DF" w:rsidP="002809DF">
      <w:pPr>
        <w:pStyle w:val="ListParagraph"/>
        <w:numPr>
          <w:ilvl w:val="1"/>
          <w:numId w:val="38"/>
        </w:numPr>
        <w:rPr>
          <w:highlight w:val="darkCyan"/>
        </w:rPr>
      </w:pPr>
      <w:r w:rsidRPr="007A2C35">
        <w:rPr>
          <w:highlight w:val="darkCyan"/>
        </w:rPr>
        <w:t>Proprietary costs: herfindahl index</w:t>
      </w:r>
    </w:p>
    <w:p w14:paraId="77198804" w14:textId="60B497E8" w:rsidR="00710A29" w:rsidRPr="00F82D3C" w:rsidRDefault="002809DF" w:rsidP="00622780">
      <w:pPr>
        <w:pStyle w:val="ListParagraph"/>
        <w:numPr>
          <w:ilvl w:val="0"/>
          <w:numId w:val="38"/>
        </w:numPr>
        <w:pBdr>
          <w:bottom w:val="single" w:sz="6" w:space="1" w:color="auto"/>
        </w:pBdr>
        <w:rPr>
          <w:b/>
          <w:bCs/>
          <w:highlight w:val="darkCyan"/>
        </w:rPr>
      </w:pPr>
      <w:r w:rsidRPr="00F82D3C">
        <w:rPr>
          <w:b/>
          <w:bCs/>
          <w:highlight w:val="darkCyan"/>
        </w:rPr>
        <w:t>A replacement for Nelson et al. 2016 paper?</w:t>
      </w:r>
      <w:r w:rsidR="00F82D3C">
        <w:rPr>
          <w:b/>
          <w:bCs/>
          <w:highlight w:val="darkCyan"/>
        </w:rPr>
        <w:t xml:space="preserve"> </w:t>
      </w:r>
      <w:r w:rsidR="00F82D3C">
        <w:rPr>
          <w:rFonts w:hint="eastAsia"/>
          <w:b/>
          <w:bCs/>
          <w:highlight w:val="darkCyan"/>
        </w:rPr>
        <w:t>(</w:t>
      </w:r>
      <w:r w:rsidR="00F82D3C">
        <w:rPr>
          <w:b/>
          <w:bCs/>
          <w:highlight w:val="darkCyan"/>
        </w:rPr>
        <w:t>Segal and Segal 2016</w:t>
      </w:r>
      <w:r w:rsidR="00F82D3C">
        <w:rPr>
          <w:rFonts w:hint="eastAsia"/>
          <w:b/>
          <w:bCs/>
          <w:highlight w:val="darkCyan"/>
        </w:rPr>
        <w:t>)</w:t>
      </w:r>
    </w:p>
    <w:p w14:paraId="03428249" w14:textId="24CFA3DD" w:rsidR="002809DF" w:rsidRPr="007A2C35" w:rsidRDefault="002809DF" w:rsidP="002809DF">
      <w:pPr>
        <w:pStyle w:val="ListParagraph"/>
        <w:numPr>
          <w:ilvl w:val="0"/>
          <w:numId w:val="38"/>
        </w:numPr>
        <w:rPr>
          <w:highlight w:val="darkGray"/>
        </w:rPr>
      </w:pPr>
      <w:r w:rsidRPr="007A2C35">
        <w:rPr>
          <w:highlight w:val="darkGray"/>
        </w:rPr>
        <w:t>Separate accelerated filers v.s. the rest of filers? Why is it a concern?</w:t>
      </w:r>
    </w:p>
    <w:p w14:paraId="44642C6E" w14:textId="0DB0B636" w:rsidR="000033BA" w:rsidRPr="007A2C35" w:rsidRDefault="005A416A" w:rsidP="005A416A">
      <w:pPr>
        <w:pStyle w:val="ListParagraph"/>
        <w:numPr>
          <w:ilvl w:val="0"/>
          <w:numId w:val="38"/>
        </w:numPr>
        <w:rPr>
          <w:highlight w:val="darkCyan"/>
        </w:rPr>
      </w:pPr>
      <w:r w:rsidRPr="007A2C35">
        <w:rPr>
          <w:highlight w:val="darkCyan"/>
        </w:rPr>
        <w:t>S</w:t>
      </w:r>
      <w:r w:rsidRPr="007A2C35">
        <w:rPr>
          <w:rFonts w:hint="eastAsia"/>
          <w:highlight w:val="darkCyan"/>
        </w:rPr>
        <w:t>upp</w:t>
      </w:r>
      <w:r w:rsidRPr="007A2C35">
        <w:rPr>
          <w:highlight w:val="darkCyan"/>
        </w:rPr>
        <w:t>lementary role of narratives: i</w:t>
      </w:r>
      <w:r w:rsidR="008C3AC5" w:rsidRPr="007A2C35">
        <w:rPr>
          <w:highlight w:val="darkCyan"/>
        </w:rPr>
        <w:t>ntangibles &amp; R&amp;D</w:t>
      </w:r>
      <w:r w:rsidR="000815E3" w:rsidRPr="007A2C35">
        <w:rPr>
          <w:highlight w:val="darkCyan"/>
        </w:rPr>
        <w:t xml:space="preserve"> </w:t>
      </w:r>
      <w:r w:rsidR="000815E3" w:rsidRPr="007A2C35">
        <w:rPr>
          <w:rFonts w:hint="eastAsia"/>
          <w:highlight w:val="darkCyan"/>
        </w:rPr>
        <w:t>(</w:t>
      </w:r>
      <w:r w:rsidR="000815E3" w:rsidRPr="007A2C35">
        <w:rPr>
          <w:highlight w:val="darkCyan"/>
        </w:rPr>
        <w:t>Table 9)</w:t>
      </w:r>
    </w:p>
    <w:p w14:paraId="52799C9F" w14:textId="0FE7DDEE" w:rsidR="00481472" w:rsidRPr="007A2C35" w:rsidRDefault="006C5AC0" w:rsidP="005A416A">
      <w:pPr>
        <w:pStyle w:val="ListParagraph"/>
        <w:numPr>
          <w:ilvl w:val="0"/>
          <w:numId w:val="38"/>
        </w:numPr>
        <w:rPr>
          <w:b/>
          <w:bCs/>
          <w:highlight w:val="darkGray"/>
        </w:rPr>
      </w:pPr>
      <w:r w:rsidRPr="007A2C35">
        <w:rPr>
          <w:b/>
          <w:bCs/>
          <w:highlight w:val="darkGray"/>
        </w:rPr>
        <w:t xml:space="preserve">Alternative proxy for news: </w:t>
      </w:r>
      <w:r w:rsidR="00481472" w:rsidRPr="007A2C35">
        <w:rPr>
          <w:b/>
          <w:bCs/>
          <w:highlight w:val="darkGray"/>
        </w:rPr>
        <w:t>Redo CFO, check data</w:t>
      </w:r>
      <w:r w:rsidR="00F34142" w:rsidRPr="007A2C35">
        <w:rPr>
          <w:b/>
          <w:bCs/>
          <w:highlight w:val="darkGray"/>
        </w:rPr>
        <w:t>; not working even regressing on lagged CFOs</w:t>
      </w:r>
    </w:p>
    <w:p w14:paraId="4F4BB9D9" w14:textId="51825BA6" w:rsidR="00315E39" w:rsidRPr="00B234D3" w:rsidRDefault="00315E39" w:rsidP="009E660A">
      <w:pPr>
        <w:pStyle w:val="ListParagraph"/>
        <w:numPr>
          <w:ilvl w:val="0"/>
          <w:numId w:val="38"/>
        </w:numPr>
        <w:rPr>
          <w:b/>
          <w:bCs/>
          <w:highlight w:val="darkCyan"/>
        </w:rPr>
      </w:pPr>
      <w:r w:rsidRPr="00B234D3">
        <w:rPr>
          <w:b/>
          <w:bCs/>
          <w:highlight w:val="darkCyan"/>
        </w:rPr>
        <w:t>8-K TLAG</w:t>
      </w:r>
    </w:p>
    <w:p w14:paraId="57F2F7CC" w14:textId="50C483DC" w:rsidR="002809DF" w:rsidRPr="00B234D3" w:rsidRDefault="00B776ED" w:rsidP="002809DF">
      <w:pPr>
        <w:pStyle w:val="ListParagraph"/>
        <w:numPr>
          <w:ilvl w:val="1"/>
          <w:numId w:val="38"/>
        </w:numPr>
        <w:rPr>
          <w:b/>
          <w:bCs/>
          <w:highlight w:val="darkCyan"/>
        </w:rPr>
      </w:pPr>
      <w:r w:rsidRPr="00B234D3">
        <w:rPr>
          <w:b/>
          <w:bCs/>
          <w:highlight w:val="darkCyan"/>
        </w:rPr>
        <w:t>Why define</w:t>
      </w:r>
      <w:r w:rsidR="002809DF" w:rsidRPr="00B234D3">
        <w:rPr>
          <w:b/>
          <w:bCs/>
          <w:highlight w:val="darkCyan"/>
        </w:rPr>
        <w:t xml:space="preserve"> 8-K TLAG using reporting period end and filing date instead of matching to a news date</w:t>
      </w:r>
      <w:r w:rsidR="00AC2358" w:rsidRPr="00B234D3">
        <w:rPr>
          <w:b/>
          <w:bCs/>
          <w:highlight w:val="darkCyan"/>
        </w:rPr>
        <w:t>; Footnote 17</w:t>
      </w:r>
    </w:p>
    <w:p w14:paraId="1E038097" w14:textId="72FDAAB7" w:rsidR="00A32AE5" w:rsidRPr="00CF17CC" w:rsidRDefault="00A32AE5" w:rsidP="002809DF">
      <w:pPr>
        <w:pStyle w:val="ListParagraph"/>
        <w:numPr>
          <w:ilvl w:val="1"/>
          <w:numId w:val="38"/>
        </w:numPr>
        <w:rPr>
          <w:b/>
          <w:bCs/>
        </w:rPr>
      </w:pPr>
      <w:r w:rsidRPr="00CF17CC">
        <w:rPr>
          <w:b/>
          <w:bCs/>
        </w:rPr>
        <w:t>What happens if we use that? the date in the 8-k? T4PA</w:t>
      </w:r>
      <w:r w:rsidR="005833F4" w:rsidRPr="00CF17CC">
        <w:rPr>
          <w:b/>
          <w:bCs/>
        </w:rPr>
        <w:t xml:space="preserve"> (</w:t>
      </w:r>
      <w:r w:rsidR="00644191" w:rsidRPr="00CF17CC">
        <w:rPr>
          <w:rFonts w:hint="eastAsia"/>
          <w:b/>
          <w:bCs/>
        </w:rPr>
        <w:t>a</w:t>
      </w:r>
      <w:r w:rsidR="00644191" w:rsidRPr="00CF17CC">
        <w:rPr>
          <w:b/>
          <w:bCs/>
        </w:rPr>
        <w:t xml:space="preserve">ll </w:t>
      </w:r>
      <w:r w:rsidR="005833F4" w:rsidRPr="00CF17CC">
        <w:rPr>
          <w:b/>
          <w:bCs/>
        </w:rPr>
        <w:t>results still hold)</w:t>
      </w:r>
    </w:p>
    <w:p w14:paraId="1102C5D0" w14:textId="7A3A092C" w:rsidR="002809DF" w:rsidRPr="00B234D3" w:rsidRDefault="002809DF" w:rsidP="002809DF">
      <w:pPr>
        <w:pStyle w:val="ListParagraph"/>
        <w:numPr>
          <w:ilvl w:val="1"/>
          <w:numId w:val="38"/>
        </w:numPr>
        <w:rPr>
          <w:b/>
          <w:bCs/>
          <w:highlight w:val="darkCyan"/>
        </w:rPr>
      </w:pPr>
      <w:r w:rsidRPr="00B234D3">
        <w:rPr>
          <w:b/>
          <w:bCs/>
          <w:highlight w:val="darkCyan"/>
        </w:rPr>
        <w:t xml:space="preserve"> </w:t>
      </w:r>
      <w:r w:rsidR="0098437F" w:rsidRPr="00B234D3">
        <w:rPr>
          <w:b/>
          <w:bCs/>
          <w:highlight w:val="darkCyan"/>
        </w:rPr>
        <w:t xml:space="preserve">What to do with Match-3? </w:t>
      </w:r>
      <w:r w:rsidR="005E111B" w:rsidRPr="00B234D3">
        <w:rPr>
          <w:b/>
          <w:bCs/>
          <w:highlight w:val="darkCyan"/>
        </w:rPr>
        <w:t>Main text after footnote 17</w:t>
      </w:r>
      <w:r w:rsidR="00E05C5F" w:rsidRPr="00B234D3">
        <w:rPr>
          <w:b/>
          <w:bCs/>
          <w:highlight w:val="darkCyan"/>
        </w:rPr>
        <w:t>.</w:t>
      </w:r>
    </w:p>
    <w:p w14:paraId="375D5366" w14:textId="2EAB94B7" w:rsidR="00322ED3" w:rsidRPr="007A2C35" w:rsidRDefault="00322ED3" w:rsidP="009E660A">
      <w:pPr>
        <w:pStyle w:val="ListParagraph"/>
        <w:numPr>
          <w:ilvl w:val="0"/>
          <w:numId w:val="38"/>
        </w:numPr>
        <w:rPr>
          <w:highlight w:val="yellow"/>
        </w:rPr>
      </w:pPr>
      <w:r w:rsidRPr="007A2C35">
        <w:rPr>
          <w:highlight w:val="yellow"/>
        </w:rPr>
        <w:t>C</w:t>
      </w:r>
      <w:r w:rsidRPr="007A2C35">
        <w:rPr>
          <w:rFonts w:hint="eastAsia"/>
          <w:highlight w:val="yellow"/>
        </w:rPr>
        <w:t>orporate</w:t>
      </w:r>
      <w:r w:rsidRPr="007A2C35">
        <w:rPr>
          <w:highlight w:val="yellow"/>
        </w:rPr>
        <w:t xml:space="preserve"> governance</w:t>
      </w:r>
    </w:p>
    <w:p w14:paraId="077505C1" w14:textId="0AAC9ACE" w:rsidR="00D55B36" w:rsidRPr="00C818DD" w:rsidRDefault="00D55B36" w:rsidP="00D55B36">
      <w:pPr>
        <w:pStyle w:val="ListParagraph"/>
        <w:numPr>
          <w:ilvl w:val="0"/>
          <w:numId w:val="38"/>
        </w:numPr>
      </w:pPr>
      <w:r w:rsidRPr="00C818DD">
        <w:t>Asymmetric persistence</w:t>
      </w:r>
      <w:r w:rsidR="0044480E" w:rsidRPr="00C818DD">
        <w:rPr>
          <w:rFonts w:hint="eastAsia"/>
        </w:rPr>
        <w:t>,</w:t>
      </w:r>
      <w:r w:rsidR="0044480E" w:rsidRPr="00C818DD">
        <w:t xml:space="preserve"> </w:t>
      </w:r>
      <w:r w:rsidR="008A16E8" w:rsidRPr="00C818DD">
        <w:t>if narratives are persistence in the three dimensions?</w:t>
      </w:r>
      <w:r w:rsidR="00142613" w:rsidRPr="00C818DD">
        <w:t xml:space="preserve"> Maybe we can test this by regressing the textual variables on lagged-1, lagged-2, lagged-3 returns</w:t>
      </w:r>
      <w:r w:rsidR="009B5229" w:rsidRPr="00C818DD">
        <w:t xml:space="preserve"> and see if the interaction term coefficient reverses</w:t>
      </w:r>
      <w:r w:rsidR="00142613" w:rsidRPr="00C818DD">
        <w:t>?</w:t>
      </w:r>
      <w:r w:rsidR="008A16E8" w:rsidRPr="00C818DD">
        <w:t xml:space="preserve"> </w:t>
      </w:r>
      <w:r w:rsidR="0044480E" w:rsidRPr="00C818DD">
        <w:t>can you elaborate on this?</w:t>
      </w:r>
      <w:r w:rsidR="00C818DD">
        <w:t xml:space="preserve"> </w:t>
      </w:r>
      <w:r w:rsidR="00C818DD">
        <w:rPr>
          <w:b/>
          <w:bCs/>
        </w:rPr>
        <w:t>(T</w:t>
      </w:r>
      <w:r w:rsidR="00D222CD">
        <w:rPr>
          <w:b/>
          <w:bCs/>
        </w:rPr>
        <w:t>3</w:t>
      </w:r>
      <w:r w:rsidR="00C818DD">
        <w:rPr>
          <w:b/>
          <w:bCs/>
        </w:rPr>
        <w:t>PA)</w:t>
      </w:r>
    </w:p>
    <w:p w14:paraId="527EA799" w14:textId="62895464" w:rsidR="00D6096D" w:rsidRPr="00D6096D" w:rsidRDefault="00D6096D" w:rsidP="00D6096D">
      <w:pPr>
        <w:rPr>
          <w:highlight w:val="cyan"/>
        </w:rPr>
      </w:pPr>
      <w:r w:rsidRPr="00D6096D">
        <w:rPr>
          <w:highlight w:val="cyan"/>
        </w:rPr>
        <w:lastRenderedPageBreak/>
        <w:t>11/</w:t>
      </w:r>
      <w:r>
        <w:rPr>
          <w:highlight w:val="cyan"/>
        </w:rPr>
        <w:t>23</w:t>
      </w:r>
      <w:r w:rsidRPr="00D6096D">
        <w:rPr>
          <w:highlight w:val="cyan"/>
        </w:rPr>
        <w:t>/2020</w:t>
      </w:r>
    </w:p>
    <w:p w14:paraId="7DECF825" w14:textId="235FCF11" w:rsidR="00C649AE" w:rsidRPr="001F37E1" w:rsidRDefault="00C649AE" w:rsidP="00C649AE">
      <w:pPr>
        <w:pStyle w:val="ListParagraph"/>
        <w:numPr>
          <w:ilvl w:val="0"/>
          <w:numId w:val="40"/>
        </w:numPr>
      </w:pPr>
      <w:r w:rsidRPr="001F37E1">
        <w:t xml:space="preserve">Try quintiles </w:t>
      </w:r>
      <w:r w:rsidRPr="001F37E1">
        <w:rPr>
          <w:rFonts w:hint="eastAsia"/>
        </w:rPr>
        <w:t>o</w:t>
      </w:r>
      <w:r w:rsidRPr="001F37E1">
        <w:t xml:space="preserve">f other variables: growth as proxied by sales growth (SG), prob(lit) </w:t>
      </w:r>
      <w:r w:rsidRPr="001F37E1">
        <w:rPr>
          <w:b/>
          <w:bCs/>
        </w:rPr>
        <w:t xml:space="preserve">TABLE </w:t>
      </w:r>
      <w:r w:rsidR="008563C8">
        <w:rPr>
          <w:b/>
          <w:bCs/>
        </w:rPr>
        <w:t>8</w:t>
      </w:r>
    </w:p>
    <w:p w14:paraId="0F73135A" w14:textId="7BB49D68" w:rsidR="00C649AE" w:rsidRPr="001F37E1" w:rsidRDefault="00C649AE" w:rsidP="00C649AE">
      <w:pPr>
        <w:pStyle w:val="ListParagraph"/>
        <w:numPr>
          <w:ilvl w:val="0"/>
          <w:numId w:val="40"/>
        </w:numPr>
      </w:pPr>
      <w:r w:rsidRPr="001F37E1">
        <w:t>Alternative 8-K TLAG:</w:t>
      </w:r>
      <w:r w:rsidR="001F37E1">
        <w:t xml:space="preserve"> </w:t>
      </w:r>
      <w:r w:rsidRPr="001F37E1">
        <w:rPr>
          <w:rFonts w:hint="eastAsia"/>
        </w:rPr>
        <w:t>a</w:t>
      </w:r>
      <w:r w:rsidRPr="001F37E1">
        <w:t>ll results still hold</w:t>
      </w:r>
      <w:r w:rsidR="001F37E1">
        <w:t xml:space="preserve"> </w:t>
      </w:r>
      <w:r w:rsidR="001F37E1" w:rsidRPr="001F37E1">
        <w:rPr>
          <w:b/>
          <w:bCs/>
        </w:rPr>
        <w:t>T4PA</w:t>
      </w:r>
    </w:p>
    <w:p w14:paraId="2B1633D7" w14:textId="229EA819" w:rsidR="00C649AE" w:rsidRPr="001F37E1" w:rsidRDefault="00C649AE" w:rsidP="00C649AE">
      <w:pPr>
        <w:pStyle w:val="ListParagraph"/>
        <w:numPr>
          <w:ilvl w:val="1"/>
          <w:numId w:val="40"/>
        </w:numPr>
      </w:pPr>
      <w:r w:rsidRPr="001F37E1">
        <w:t>Should we add this as a main test, rather than a robustness check?</w:t>
      </w:r>
    </w:p>
    <w:p w14:paraId="672D6629" w14:textId="1C96AEAD" w:rsidR="001F37E1" w:rsidRPr="001011AD" w:rsidRDefault="001F37E1" w:rsidP="001F37E1">
      <w:pPr>
        <w:pStyle w:val="ListParagraph"/>
        <w:numPr>
          <w:ilvl w:val="0"/>
          <w:numId w:val="40"/>
        </w:numPr>
      </w:pPr>
      <w:r w:rsidRPr="001011AD">
        <w:t xml:space="preserve">Asymmetric persistence: interpretation? </w:t>
      </w:r>
      <w:r w:rsidRPr="001011AD">
        <w:rPr>
          <w:b/>
          <w:bCs/>
        </w:rPr>
        <w:t>T3PA</w:t>
      </w:r>
    </w:p>
    <w:p w14:paraId="0EC750CA" w14:textId="358CA571" w:rsidR="00C649AE" w:rsidRDefault="00CC45A5" w:rsidP="00C649AE">
      <w:pPr>
        <w:pStyle w:val="ListParagraph"/>
        <w:numPr>
          <w:ilvl w:val="0"/>
          <w:numId w:val="40"/>
        </w:numPr>
      </w:pPr>
      <w:r w:rsidRPr="00CC45A5">
        <w:t>Corporate Governance</w:t>
      </w:r>
      <w:r>
        <w:t>: G-index 1990-2006</w:t>
      </w:r>
      <w:r w:rsidR="004C5EB9">
        <w:t xml:space="preserve"> </w:t>
      </w:r>
      <w:r w:rsidR="004C5EB9">
        <w:rPr>
          <w:rFonts w:hint="eastAsia"/>
        </w:rPr>
        <w:t>d</w:t>
      </w:r>
      <w:r w:rsidR="004C5EB9">
        <w:t>ata is not great, after merging only thousands of observations left.</w:t>
      </w:r>
    </w:p>
    <w:p w14:paraId="0109D78C" w14:textId="042F6C2E" w:rsidR="00231083" w:rsidRDefault="00231083" w:rsidP="00C649AE">
      <w:pPr>
        <w:pStyle w:val="ListParagraph"/>
        <w:numPr>
          <w:ilvl w:val="0"/>
          <w:numId w:val="40"/>
        </w:numPr>
      </w:pPr>
      <w:r>
        <w:t>Tone consistency or news consistency?</w:t>
      </w:r>
    </w:p>
    <w:p w14:paraId="0F549021" w14:textId="77777777" w:rsidR="00CC45A5" w:rsidRDefault="00CC45A5" w:rsidP="00CC45A5">
      <w:r>
        <w:t>Admin:</w:t>
      </w:r>
    </w:p>
    <w:p w14:paraId="3A29F64A" w14:textId="5957F9D3" w:rsidR="00CC45A5" w:rsidRDefault="00CC45A5" w:rsidP="00CC45A5">
      <w:pPr>
        <w:pStyle w:val="ListParagraph"/>
        <w:numPr>
          <w:ilvl w:val="0"/>
          <w:numId w:val="37"/>
        </w:numPr>
      </w:pPr>
      <w:r>
        <w:t xml:space="preserve">Call for papers </w:t>
      </w:r>
      <w:r w:rsidRPr="00AB1BF7">
        <w:t>European Accounting Review 2021 Annual Conference</w:t>
      </w:r>
      <w:r>
        <w:t xml:space="preserve">? </w:t>
      </w:r>
      <w:r w:rsidR="00393BCC">
        <w:t xml:space="preserve"> NO</w:t>
      </w:r>
    </w:p>
    <w:p w14:paraId="7A45D381" w14:textId="47A61C78" w:rsidR="00822B8C" w:rsidRDefault="00CC45A5" w:rsidP="00CC45A5">
      <w:pPr>
        <w:pStyle w:val="ListParagraph"/>
        <w:numPr>
          <w:ilvl w:val="0"/>
          <w:numId w:val="37"/>
        </w:numPr>
      </w:pPr>
      <w:r w:rsidRPr="0004793C">
        <w:t xml:space="preserve">CAAA 2021 annual </w:t>
      </w:r>
      <w:r>
        <w:t xml:space="preserve">conference: </w:t>
      </w:r>
      <w:hyperlink r:id="rId16" w:history="1">
        <w:r w:rsidR="00E76B83" w:rsidRPr="00456DFB">
          <w:rPr>
            <w:rStyle w:val="Hyperlink"/>
          </w:rPr>
          <w:t>https://arc.eaa-online.org/event/caaa-annual-conference-2021-call-papers</w:t>
        </w:r>
      </w:hyperlink>
    </w:p>
    <w:p w14:paraId="51FDBFD6" w14:textId="24BDF08D" w:rsidR="00E76B83" w:rsidRDefault="00E76B83" w:rsidP="00E76B83">
      <w:pPr>
        <w:rPr>
          <w:highlight w:val="cyan"/>
        </w:rPr>
      </w:pPr>
      <w:r w:rsidRPr="00E76B83">
        <w:rPr>
          <w:highlight w:val="cyan"/>
        </w:rPr>
        <w:t>1</w:t>
      </w:r>
      <w:r>
        <w:rPr>
          <w:highlight w:val="cyan"/>
        </w:rPr>
        <w:t>2/07</w:t>
      </w:r>
      <w:r w:rsidRPr="00E76B83">
        <w:rPr>
          <w:highlight w:val="cyan"/>
        </w:rPr>
        <w:t>/2020</w:t>
      </w:r>
    </w:p>
    <w:p w14:paraId="25C21B2E" w14:textId="5059B406" w:rsidR="00E95698" w:rsidRPr="00886FC9" w:rsidRDefault="00E95698" w:rsidP="00E76B83">
      <w:pPr>
        <w:rPr>
          <w:highlight w:val="green"/>
        </w:rPr>
      </w:pPr>
      <w:r w:rsidRPr="00886FC9">
        <w:rPr>
          <w:highlight w:val="green"/>
        </w:rPr>
        <w:t>New results:</w:t>
      </w:r>
    </w:p>
    <w:p w14:paraId="318B2A1F" w14:textId="02FAD1EE" w:rsidR="00E95698" w:rsidRPr="002C1F9E" w:rsidRDefault="00E95698" w:rsidP="00E95698">
      <w:pPr>
        <w:pStyle w:val="ListParagraph"/>
        <w:numPr>
          <w:ilvl w:val="0"/>
          <w:numId w:val="42"/>
        </w:numPr>
      </w:pPr>
      <w:r w:rsidRPr="002C1F9E">
        <w:t xml:space="preserve">Asymmetric persistence: interpretation? </w:t>
      </w:r>
      <w:r w:rsidR="002659FD">
        <w:rPr>
          <w:b/>
          <w:bCs/>
        </w:rPr>
        <w:t>UT-6</w:t>
      </w:r>
      <w:r w:rsidR="00486242">
        <w:rPr>
          <w:b/>
          <w:bCs/>
        </w:rPr>
        <w:t xml:space="preserve"> LAGN*NEG</w:t>
      </w:r>
    </w:p>
    <w:p w14:paraId="74B06FBF" w14:textId="04F999EA" w:rsidR="00E95698" w:rsidRPr="00172E8A"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172E8A">
        <w:rPr>
          <w:rFonts w:ascii="Calibri" w:hAnsi="Calibri" w:cs="Calibri"/>
          <w:color w:val="222222"/>
          <w:sz w:val="22"/>
          <w:szCs w:val="22"/>
        </w:rPr>
        <w:t>What is the role of corporate governance/directors</w:t>
      </w:r>
      <w:r w:rsidR="00276979">
        <w:rPr>
          <w:rFonts w:ascii="Calibri" w:hAnsi="Calibri" w:cs="Calibri"/>
          <w:color w:val="222222"/>
          <w:sz w:val="22"/>
          <w:szCs w:val="22"/>
        </w:rPr>
        <w:t>/auditors</w:t>
      </w:r>
      <w:r w:rsidRPr="00172E8A">
        <w:rPr>
          <w:rFonts w:ascii="Calibri" w:hAnsi="Calibri" w:cs="Calibri"/>
          <w:color w:val="222222"/>
          <w:sz w:val="22"/>
          <w:szCs w:val="22"/>
        </w:rPr>
        <w:t xml:space="preserve"> in narrative conservatism? </w:t>
      </w:r>
    </w:p>
    <w:p w14:paraId="2FBBD72B" w14:textId="59CA4E8C" w:rsidR="00E95698" w:rsidRPr="00B71965" w:rsidRDefault="00E95698" w:rsidP="00E9569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C77E00">
        <w:rPr>
          <w:rFonts w:ascii="Calibri" w:hAnsi="Calibri" w:cs="Calibri"/>
          <w:color w:val="222222"/>
          <w:sz w:val="22"/>
          <w:szCs w:val="22"/>
        </w:rPr>
        <w:t xml:space="preserve">BroadEx we do not have, </w:t>
      </w:r>
      <w:r w:rsidR="001B40D8" w:rsidRPr="00C77E00">
        <w:rPr>
          <w:rFonts w:ascii="Calibri" w:hAnsi="Calibri" w:cs="Calibri"/>
          <w:color w:val="222222"/>
          <w:sz w:val="22"/>
          <w:szCs w:val="22"/>
        </w:rPr>
        <w:t>and G-index we do not have. B</w:t>
      </w:r>
      <w:r w:rsidRPr="00C77E00">
        <w:rPr>
          <w:rFonts w:ascii="Calibri" w:hAnsi="Calibri" w:cs="Calibri"/>
          <w:color w:val="222222"/>
          <w:sz w:val="22"/>
          <w:szCs w:val="22"/>
        </w:rPr>
        <w:t xml:space="preserve">ut we can do institutional ownership TR13F. Given that high institutional ownership proxy for good governance. </w:t>
      </w:r>
      <w:r w:rsidR="00212FD5" w:rsidRPr="00182F33">
        <w:rPr>
          <w:rFonts w:ascii="Calibri" w:hAnsi="Calibri" w:cs="Calibri"/>
          <w:b/>
          <w:bCs/>
          <w:color w:val="222222"/>
          <w:sz w:val="22"/>
          <w:szCs w:val="22"/>
        </w:rPr>
        <w:t>T8</w:t>
      </w:r>
      <w:r w:rsidR="00571EF0">
        <w:rPr>
          <w:rFonts w:ascii="Calibri" w:hAnsi="Calibri" w:cs="Calibri"/>
          <w:b/>
          <w:bCs/>
          <w:color w:val="222222"/>
          <w:sz w:val="22"/>
          <w:szCs w:val="22"/>
        </w:rPr>
        <w:t xml:space="preserve"> – Corporate Governance</w:t>
      </w:r>
    </w:p>
    <w:p w14:paraId="332533A0" w14:textId="34EFC759" w:rsidR="00B71965" w:rsidRPr="009B5C58" w:rsidRDefault="00B71965" w:rsidP="00E9569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yellow"/>
        </w:rPr>
      </w:pPr>
      <w:r w:rsidRPr="009B5C58">
        <w:rPr>
          <w:rFonts w:ascii="Calibri" w:hAnsi="Calibri" w:cs="Calibri"/>
          <w:color w:val="222222"/>
          <w:sz w:val="22"/>
          <w:szCs w:val="22"/>
          <w:highlight w:val="yellow"/>
        </w:rPr>
        <w:t>Could look at auditor data</w:t>
      </w:r>
    </w:p>
    <w:p w14:paraId="345CB500" w14:textId="5B633951" w:rsidR="00E95698" w:rsidRPr="00D47347"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 xml:space="preserve">What if instead of 3 times average daily return to define NEG in model (2) we use other benchmarks? </w:t>
      </w:r>
    </w:p>
    <w:p w14:paraId="63988E19" w14:textId="76C54A78" w:rsidR="00E95698" w:rsidRPr="00D47347" w:rsidRDefault="00E65667" w:rsidP="00E95698">
      <w:pPr>
        <w:pStyle w:val="m4655334887798750542msolistparagraph"/>
        <w:numPr>
          <w:ilvl w:val="1"/>
          <w:numId w:val="42"/>
        </w:numPr>
        <w:shd w:val="clear" w:color="auto" w:fill="FFFFFF"/>
        <w:spacing w:before="0" w:beforeAutospacing="0" w:after="0" w:afterAutospacing="0"/>
        <w:rPr>
          <w:rFonts w:ascii="Calibri" w:hAnsi="Calibri" w:cs="Calibri"/>
          <w:b/>
          <w:bCs/>
          <w:color w:val="222222"/>
          <w:sz w:val="22"/>
          <w:szCs w:val="22"/>
          <w:highlight w:val="blue"/>
        </w:rPr>
      </w:pPr>
      <w:r w:rsidRPr="00D47347">
        <w:rPr>
          <w:rFonts w:ascii="Calibri" w:hAnsi="Calibri" w:cs="Calibri"/>
          <w:b/>
          <w:bCs/>
          <w:color w:val="222222"/>
          <w:sz w:val="22"/>
          <w:szCs w:val="22"/>
          <w:highlight w:val="blue"/>
        </w:rPr>
        <w:t>T4PA</w:t>
      </w:r>
      <w:r w:rsidR="00C61732" w:rsidRPr="00D47347">
        <w:rPr>
          <w:rFonts w:ascii="Calibri" w:hAnsi="Calibri" w:cs="Calibri"/>
          <w:b/>
          <w:bCs/>
          <w:color w:val="222222"/>
          <w:sz w:val="22"/>
          <w:szCs w:val="22"/>
          <w:highlight w:val="blue"/>
        </w:rPr>
        <w:t>(</w:t>
      </w:r>
      <w:r w:rsidR="00E95698" w:rsidRPr="00D47347">
        <w:rPr>
          <w:rFonts w:ascii="Calibri" w:hAnsi="Calibri" w:cs="Calibri"/>
          <w:b/>
          <w:bCs/>
          <w:color w:val="222222"/>
          <w:sz w:val="22"/>
          <w:szCs w:val="22"/>
          <w:highlight w:val="blue"/>
        </w:rPr>
        <w:t>2</w:t>
      </w:r>
      <w:r w:rsidRPr="00D47347">
        <w:rPr>
          <w:rFonts w:ascii="Calibri" w:hAnsi="Calibri" w:cs="Calibri"/>
          <w:b/>
          <w:bCs/>
          <w:color w:val="222222"/>
          <w:sz w:val="22"/>
          <w:szCs w:val="22"/>
          <w:highlight w:val="blue"/>
        </w:rPr>
        <w:t>)</w:t>
      </w:r>
      <w:r w:rsidR="00E95698" w:rsidRPr="00D47347">
        <w:rPr>
          <w:rFonts w:ascii="Calibri" w:hAnsi="Calibri" w:cs="Calibri"/>
          <w:b/>
          <w:bCs/>
          <w:color w:val="222222"/>
          <w:sz w:val="22"/>
          <w:szCs w:val="22"/>
          <w:highlight w:val="blue"/>
        </w:rPr>
        <w:t xml:space="preserve"> and </w:t>
      </w:r>
      <w:r w:rsidRPr="00D47347">
        <w:rPr>
          <w:rFonts w:ascii="Calibri" w:hAnsi="Calibri" w:cs="Calibri"/>
          <w:b/>
          <w:bCs/>
          <w:color w:val="222222"/>
          <w:sz w:val="22"/>
          <w:szCs w:val="22"/>
          <w:highlight w:val="blue"/>
        </w:rPr>
        <w:t>T4PA(</w:t>
      </w:r>
      <w:r w:rsidR="00E95698" w:rsidRPr="00D47347">
        <w:rPr>
          <w:rFonts w:ascii="Calibri" w:hAnsi="Calibri" w:cs="Calibri"/>
          <w:b/>
          <w:bCs/>
          <w:color w:val="222222"/>
          <w:sz w:val="22"/>
          <w:szCs w:val="22"/>
          <w:highlight w:val="blue"/>
        </w:rPr>
        <w:t>4</w:t>
      </w:r>
      <w:r w:rsidRPr="00D47347">
        <w:rPr>
          <w:rFonts w:ascii="Calibri" w:hAnsi="Calibri" w:cs="Calibri"/>
          <w:b/>
          <w:bCs/>
          <w:color w:val="222222"/>
          <w:sz w:val="22"/>
          <w:szCs w:val="22"/>
          <w:highlight w:val="blue"/>
        </w:rPr>
        <w:t>)</w:t>
      </w:r>
    </w:p>
    <w:p w14:paraId="25BE6D4F" w14:textId="63B8335A" w:rsidR="00E95698" w:rsidRPr="00D47347"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What if we focus on 8-Ks with only 1 item (those with more could be obfuscation)</w:t>
      </w:r>
    </w:p>
    <w:p w14:paraId="2C970014" w14:textId="0A1EB040" w:rsidR="00DE3C8B" w:rsidRPr="00D47347" w:rsidRDefault="00DE3C8B" w:rsidP="00DE3C8B">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First, most 8-Ks contain more than 1 item, because it’s very common to attach exhibits in 8-K filings (and therefore having the “financial statements and exhibits” item within the filing</w:t>
      </w:r>
      <w:r w:rsidRPr="00D47347">
        <w:rPr>
          <w:rFonts w:ascii="宋体" w:eastAsia="宋体" w:hAnsi="宋体" w:cs="宋体"/>
          <w:color w:val="222222"/>
          <w:sz w:val="22"/>
          <w:szCs w:val="22"/>
          <w:highlight w:val="blue"/>
        </w:rPr>
        <w:t xml:space="preserve">) </w:t>
      </w:r>
      <w:r w:rsidRPr="00D47347">
        <w:rPr>
          <w:rFonts w:ascii="Calibri" w:hAnsi="Calibri" w:cs="Calibri"/>
          <w:color w:val="222222"/>
          <w:sz w:val="22"/>
          <w:szCs w:val="22"/>
          <w:highlight w:val="blue"/>
        </w:rPr>
        <w:t xml:space="preserve">that provide detailed information about the economic events, including press release, material agreement contracts etc. So one 8-K filing can have more than one items even if it is actually about only one economic event. </w:t>
      </w:r>
    </w:p>
    <w:p w14:paraId="565C424B" w14:textId="4D38BDBD" w:rsidR="00D833F9" w:rsidRPr="00D47347" w:rsidRDefault="00A138FA" w:rsidP="00DE3C8B">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Even if we only focus on 8-K with only 1 or 2 items</w:t>
      </w:r>
      <w:r w:rsidR="00294B23" w:rsidRPr="00D47347">
        <w:rPr>
          <w:rFonts w:ascii="Calibri" w:hAnsi="Calibri" w:cs="Calibri"/>
          <w:color w:val="222222"/>
          <w:sz w:val="22"/>
          <w:szCs w:val="22"/>
          <w:highlight w:val="blue"/>
        </w:rPr>
        <w:t xml:space="preserve"> (or &lt;= 2 items)</w:t>
      </w:r>
      <w:r w:rsidRPr="00D47347">
        <w:rPr>
          <w:rFonts w:ascii="Calibri" w:hAnsi="Calibri" w:cs="Calibri"/>
          <w:color w:val="222222"/>
          <w:sz w:val="22"/>
          <w:szCs w:val="22"/>
          <w:highlight w:val="blue"/>
        </w:rPr>
        <w:t xml:space="preserve">, the results </w:t>
      </w:r>
      <w:r w:rsidR="008D6BC1" w:rsidRPr="00D47347">
        <w:rPr>
          <w:rFonts w:ascii="Calibri" w:hAnsi="Calibri" w:cs="Calibri"/>
          <w:color w:val="222222"/>
          <w:sz w:val="22"/>
          <w:szCs w:val="22"/>
          <w:highlight w:val="blue"/>
        </w:rPr>
        <w:t xml:space="preserve">regarding tone and time lag </w:t>
      </w:r>
      <w:r w:rsidRPr="00D47347">
        <w:rPr>
          <w:rFonts w:ascii="Calibri" w:hAnsi="Calibri" w:cs="Calibri"/>
          <w:color w:val="222222"/>
          <w:sz w:val="22"/>
          <w:szCs w:val="22"/>
          <w:highlight w:val="blue"/>
        </w:rPr>
        <w:t>are qualitatively the same.</w:t>
      </w:r>
      <w:r w:rsidR="001E3199" w:rsidRPr="00D47347">
        <w:rPr>
          <w:rFonts w:ascii="Calibri" w:hAnsi="Calibri" w:cs="Calibri"/>
          <w:color w:val="222222"/>
          <w:sz w:val="22"/>
          <w:szCs w:val="22"/>
          <w:highlight w:val="blue"/>
        </w:rPr>
        <w:t xml:space="preserve"> </w:t>
      </w:r>
      <w:r w:rsidR="001E3199" w:rsidRPr="00D47347">
        <w:rPr>
          <w:rFonts w:ascii="Calibri" w:hAnsi="Calibri" w:cs="Calibri"/>
          <w:b/>
          <w:bCs/>
          <w:color w:val="222222"/>
          <w:sz w:val="22"/>
          <w:szCs w:val="22"/>
          <w:highlight w:val="blue"/>
        </w:rPr>
        <w:t>T4PA</w:t>
      </w:r>
      <w:r w:rsidR="008960EF" w:rsidRPr="00D47347">
        <w:rPr>
          <w:rFonts w:ascii="Calibri" w:hAnsi="Calibri" w:cs="Calibri"/>
          <w:b/>
          <w:bCs/>
          <w:color w:val="222222"/>
          <w:sz w:val="22"/>
          <w:szCs w:val="22"/>
          <w:highlight w:val="blue"/>
        </w:rPr>
        <w:t>_2items</w:t>
      </w:r>
    </w:p>
    <w:p w14:paraId="2DDEE8F1" w14:textId="77777777" w:rsidR="00843BA8" w:rsidRDefault="001011AD" w:rsidP="00D356D5">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276979">
        <w:rPr>
          <w:rFonts w:ascii="Calibri" w:hAnsi="Calibri" w:cs="Calibri"/>
          <w:color w:val="222222"/>
          <w:sz w:val="22"/>
          <w:szCs w:val="22"/>
        </w:rPr>
        <w:t xml:space="preserve">Why don’t we use 10-K? </w:t>
      </w:r>
      <w:r w:rsidR="00D356D5" w:rsidRPr="00276979">
        <w:rPr>
          <w:rFonts w:ascii="Calibri" w:hAnsi="Calibri" w:cs="Calibri"/>
          <w:color w:val="222222"/>
          <w:sz w:val="22"/>
          <w:szCs w:val="22"/>
        </w:rPr>
        <w:t>What proxy for readability are we using and is this the most advanced/comprehensive one?</w:t>
      </w:r>
      <w:r w:rsidR="00E5596F">
        <w:rPr>
          <w:rFonts w:ascii="Calibri" w:hAnsi="Calibri" w:cs="Calibri"/>
          <w:color w:val="222222"/>
          <w:sz w:val="22"/>
          <w:szCs w:val="22"/>
        </w:rPr>
        <w:t xml:space="preserve"> </w:t>
      </w:r>
      <w:r w:rsidR="00E52571" w:rsidRPr="00E52571">
        <w:rPr>
          <w:rFonts w:ascii="Calibri" w:hAnsi="Calibri" w:cs="Calibri"/>
          <w:color w:val="222222"/>
          <w:sz w:val="22"/>
          <w:szCs w:val="22"/>
        </w:rPr>
        <w:t>Wouldn't these findings be related to the fact that 8-Ks and 10-</w:t>
      </w:r>
      <w:r w:rsidR="00311ADA">
        <w:rPr>
          <w:rFonts w:ascii="Calibri" w:hAnsi="Calibri" w:cs="Calibri"/>
          <w:color w:val="222222"/>
          <w:sz w:val="22"/>
          <w:szCs w:val="22"/>
        </w:rPr>
        <w:t>Q</w:t>
      </w:r>
      <w:r w:rsidR="00E52571" w:rsidRPr="00E52571">
        <w:rPr>
          <w:rFonts w:ascii="Calibri" w:hAnsi="Calibri" w:cs="Calibri"/>
          <w:color w:val="222222"/>
          <w:sz w:val="22"/>
          <w:szCs w:val="22"/>
        </w:rPr>
        <w:t>s are unaudited and then it is the litigation risk forcing producers of narratives to behave more in conservative manner? Perhaps comparing narr. conservatism of 10-Qs/8-Ks with 10-Ks would shed some light, wouldn't it?</w:t>
      </w:r>
      <w:r w:rsidR="00E52571">
        <w:rPr>
          <w:rFonts w:ascii="Calibri" w:hAnsi="Calibri" w:cs="Calibri"/>
          <w:color w:val="222222"/>
          <w:sz w:val="22"/>
          <w:szCs w:val="22"/>
        </w:rPr>
        <w:t xml:space="preserve"> </w:t>
      </w:r>
    </w:p>
    <w:p w14:paraId="02B082AC" w14:textId="28D9AF51" w:rsidR="001011AD" w:rsidRPr="00AE0B17" w:rsidRDefault="00E5596F" w:rsidP="00843BA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5B394C">
        <w:rPr>
          <w:rFonts w:ascii="Calibri" w:hAnsi="Calibri" w:cs="Calibri"/>
          <w:b/>
          <w:bCs/>
          <w:color w:val="222222"/>
          <w:sz w:val="22"/>
          <w:szCs w:val="22"/>
        </w:rPr>
        <w:t>T10</w:t>
      </w:r>
      <w:r w:rsidR="00AE0B17">
        <w:rPr>
          <w:rFonts w:ascii="Calibri" w:hAnsi="Calibri" w:cs="Calibri"/>
          <w:b/>
          <w:bCs/>
          <w:color w:val="222222"/>
          <w:sz w:val="22"/>
          <w:szCs w:val="22"/>
        </w:rPr>
        <w:t>PA main results</w:t>
      </w:r>
    </w:p>
    <w:p w14:paraId="42277F2E" w14:textId="4604B5D1" w:rsidR="00AE0B17" w:rsidRDefault="00AE0B17" w:rsidP="00843BA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Pr>
          <w:rFonts w:ascii="Calibri" w:hAnsi="Calibri" w:cs="Calibri"/>
          <w:b/>
          <w:bCs/>
          <w:color w:val="222222"/>
          <w:sz w:val="22"/>
          <w:szCs w:val="22"/>
        </w:rPr>
        <w:t>T10PB readability using BOG</w:t>
      </w:r>
    </w:p>
    <w:p w14:paraId="09A5847E" w14:textId="688C2B53" w:rsidR="00AA3D3D" w:rsidRPr="009B5C58" w:rsidRDefault="00AA3D3D" w:rsidP="00AA3D3D">
      <w:pPr>
        <w:pStyle w:val="ListParagraph"/>
        <w:numPr>
          <w:ilvl w:val="0"/>
          <w:numId w:val="42"/>
        </w:numPr>
        <w:rPr>
          <w:highlight w:val="yellow"/>
        </w:rPr>
      </w:pPr>
      <w:r w:rsidRPr="009B5C58">
        <w:rPr>
          <w:highlight w:val="yellow"/>
        </w:rPr>
        <w:t>Modify NW definition so that we expect positive coefficient for the interaction term, for ease of interpretation</w:t>
      </w:r>
    </w:p>
    <w:p w14:paraId="29CD919D" w14:textId="26F85597" w:rsidR="00067F0B" w:rsidRDefault="00067F0B" w:rsidP="00067F0B">
      <w:pPr>
        <w:rPr>
          <w:b/>
          <w:bCs/>
        </w:rPr>
      </w:pPr>
      <w:r w:rsidRPr="00886FC9">
        <w:rPr>
          <w:b/>
          <w:bCs/>
          <w:highlight w:val="green"/>
        </w:rPr>
        <w:t>Other issues</w:t>
      </w:r>
      <w:r w:rsidR="00886FC9" w:rsidRPr="00886FC9">
        <w:rPr>
          <w:b/>
          <w:bCs/>
          <w:highlight w:val="green"/>
        </w:rPr>
        <w:t xml:space="preserve"> to be discussed:</w:t>
      </w:r>
    </w:p>
    <w:p w14:paraId="1FF83974" w14:textId="4A3B93DE" w:rsidR="00C66EC2" w:rsidRDefault="00C66EC2" w:rsidP="00C66EC2">
      <w:pPr>
        <w:pStyle w:val="ListParagraph"/>
        <w:rPr>
          <w:b/>
          <w:bCs/>
        </w:rPr>
      </w:pPr>
      <w:r>
        <w:rPr>
          <w:b/>
          <w:bCs/>
          <w:highlight w:val="yellow"/>
        </w:rPr>
        <w:t>QM</w:t>
      </w:r>
      <w:r w:rsidRPr="00276979">
        <w:rPr>
          <w:b/>
          <w:bCs/>
          <w:highlight w:val="yellow"/>
        </w:rPr>
        <w:t xml:space="preserve"> feedbacks</w:t>
      </w:r>
    </w:p>
    <w:p w14:paraId="6A5B01EE" w14:textId="77777777" w:rsidR="003450A3" w:rsidRPr="003450A3" w:rsidRDefault="00784653" w:rsidP="003450A3">
      <w:pPr>
        <w:pStyle w:val="ListParagraph"/>
        <w:numPr>
          <w:ilvl w:val="0"/>
          <w:numId w:val="41"/>
        </w:numPr>
      </w:pPr>
      <w:r w:rsidRPr="003450A3">
        <w:rPr>
          <w:rFonts w:ascii="Calibri" w:hAnsi="Calibri" w:cs="Calibri"/>
          <w:color w:val="222222"/>
        </w:rPr>
        <w:t>To what extent are the 8-K text ‘standardized’ or regulated, and we may simply be picking on bad news 8-K items being more standardized? Having more boiler plate</w:t>
      </w:r>
      <w:r w:rsidR="000B3869" w:rsidRPr="003450A3">
        <w:rPr>
          <w:rFonts w:ascii="Calibri" w:hAnsi="Calibri" w:cs="Calibri"/>
          <w:color w:val="222222"/>
        </w:rPr>
        <w:t xml:space="preserve">? </w:t>
      </w:r>
    </w:p>
    <w:p w14:paraId="390F1EBE" w14:textId="61F76142" w:rsidR="000956D9" w:rsidRPr="003450A3" w:rsidRDefault="000B3869" w:rsidP="003450A3">
      <w:pPr>
        <w:pStyle w:val="ListParagraph"/>
        <w:numPr>
          <w:ilvl w:val="1"/>
          <w:numId w:val="41"/>
        </w:numPr>
      </w:pPr>
      <w:r w:rsidRPr="003450A3">
        <w:rPr>
          <w:rFonts w:ascii="Calibri" w:hAnsi="Calibri" w:cs="Calibri"/>
          <w:color w:val="222222"/>
        </w:rPr>
        <w:t>To the extent that 8-K forms are more standardized, we interpret the length and tone results in 10-Q as the basis for our conclusion regarding narrative completeness and news-consistency.</w:t>
      </w:r>
    </w:p>
    <w:p w14:paraId="523A2CB9" w14:textId="77777777" w:rsidR="00E95698" w:rsidRPr="00443352"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highlight w:val="darkYellow"/>
        </w:rPr>
      </w:pPr>
      <w:r w:rsidRPr="00443352">
        <w:rPr>
          <w:rFonts w:ascii="Calibri" w:hAnsi="Calibri" w:cs="Calibri"/>
          <w:color w:val="222222"/>
          <w:sz w:val="22"/>
          <w:szCs w:val="22"/>
          <w:highlight w:val="darkYellow"/>
        </w:rPr>
        <w:t>How does our definition of narrative conservatism map back to the notion of prudence in conceptual frameworks?</w:t>
      </w:r>
    </w:p>
    <w:p w14:paraId="655F58B2" w14:textId="333C007E" w:rsidR="00E95698" w:rsidRPr="00E251C6"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rPr>
      </w:pPr>
      <w:r w:rsidRPr="00E95698">
        <w:rPr>
          <w:rFonts w:ascii="Calibri" w:hAnsi="Calibri" w:cs="Calibri"/>
          <w:color w:val="222222"/>
          <w:sz w:val="22"/>
          <w:szCs w:val="22"/>
        </w:rPr>
        <w:t xml:space="preserve">What of other channels of disclosure? For example, if the firm uses </w:t>
      </w:r>
      <w:r w:rsidRPr="00E95698">
        <w:rPr>
          <w:rFonts w:ascii="Calibri" w:hAnsi="Calibri" w:cs="Calibri"/>
          <w:b/>
          <w:bCs/>
          <w:color w:val="222222"/>
          <w:sz w:val="22"/>
          <w:szCs w:val="22"/>
        </w:rPr>
        <w:t>twitter or social media</w:t>
      </w:r>
      <w:r w:rsidRPr="00E95698">
        <w:rPr>
          <w:rFonts w:ascii="Calibri" w:hAnsi="Calibri" w:cs="Calibri"/>
          <w:color w:val="222222"/>
          <w:sz w:val="22"/>
          <w:szCs w:val="22"/>
        </w:rPr>
        <w:t xml:space="preserve"> to disclose news early? And how would that impact prices and our measures of NEG?</w:t>
      </w:r>
      <w:r w:rsidR="00E251C6">
        <w:rPr>
          <w:rFonts w:ascii="Calibri" w:hAnsi="Calibri" w:cs="Calibri"/>
          <w:color w:val="222222"/>
          <w:sz w:val="22"/>
          <w:szCs w:val="22"/>
        </w:rPr>
        <w:t xml:space="preserve"> </w:t>
      </w:r>
      <w:r w:rsidR="00E251C6" w:rsidRPr="00E95698">
        <w:rPr>
          <w:rFonts w:ascii="Calibri" w:hAnsi="Calibri" w:cs="Calibri"/>
          <w:b/>
          <w:bCs/>
          <w:color w:val="222222"/>
          <w:sz w:val="22"/>
          <w:szCs w:val="22"/>
        </w:rPr>
        <w:t>Integrated reporting/CSR disclosure</w:t>
      </w:r>
      <w:r w:rsidR="00E251C6">
        <w:rPr>
          <w:rFonts w:ascii="Calibri" w:hAnsi="Calibri" w:cs="Calibri"/>
          <w:color w:val="222222"/>
          <w:sz w:val="22"/>
          <w:szCs w:val="22"/>
        </w:rPr>
        <w:t xml:space="preserve">? </w:t>
      </w:r>
      <w:r w:rsidR="00E251C6" w:rsidRPr="00E251C6">
        <w:rPr>
          <w:rFonts w:ascii="Calibri" w:hAnsi="Calibri" w:cs="Calibri"/>
          <w:b/>
          <w:bCs/>
          <w:color w:val="222222"/>
          <w:sz w:val="22"/>
          <w:szCs w:val="22"/>
        </w:rPr>
        <w:t>Conference calls</w:t>
      </w:r>
      <w:r w:rsidR="00E251C6">
        <w:rPr>
          <w:rFonts w:ascii="Calibri" w:hAnsi="Calibri" w:cs="Calibri"/>
          <w:color w:val="222222"/>
          <w:sz w:val="22"/>
          <w:szCs w:val="22"/>
        </w:rPr>
        <w:t>?</w:t>
      </w:r>
    </w:p>
    <w:p w14:paraId="1FEBACDB" w14:textId="4D791BD5" w:rsidR="00E251C6" w:rsidRDefault="00E251C6" w:rsidP="00E251C6">
      <w:pPr>
        <w:pStyle w:val="m4655334887798750542msolistparagraph"/>
        <w:numPr>
          <w:ilvl w:val="1"/>
          <w:numId w:val="41"/>
        </w:numPr>
        <w:shd w:val="clear" w:color="auto" w:fill="FFFFFF"/>
        <w:spacing w:before="0" w:beforeAutospacing="0" w:after="0" w:afterAutospacing="0"/>
        <w:rPr>
          <w:rFonts w:ascii="宋体" w:eastAsia="宋体" w:hAnsi="宋体" w:cs="宋体"/>
          <w:color w:val="222222"/>
          <w:sz w:val="22"/>
          <w:szCs w:val="22"/>
        </w:rPr>
      </w:pPr>
      <w:r>
        <w:rPr>
          <w:rFonts w:ascii="Calibri" w:hAnsi="Calibri" w:cs="Calibri"/>
          <w:color w:val="222222"/>
          <w:sz w:val="22"/>
          <w:szCs w:val="22"/>
        </w:rPr>
        <w:t>We do not have corpora………………...</w:t>
      </w:r>
    </w:p>
    <w:p w14:paraId="5CC3DF3D" w14:textId="725EA873" w:rsidR="00371EAB" w:rsidRPr="00276979" w:rsidRDefault="00371EAB" w:rsidP="00371EAB">
      <w:pPr>
        <w:pStyle w:val="ListParagraph"/>
        <w:rPr>
          <w:b/>
          <w:bCs/>
        </w:rPr>
      </w:pPr>
      <w:r w:rsidRPr="00276979">
        <w:rPr>
          <w:b/>
          <w:bCs/>
          <w:highlight w:val="yellow"/>
        </w:rPr>
        <w:lastRenderedPageBreak/>
        <w:t>IESEG feedbacks</w:t>
      </w:r>
    </w:p>
    <w:p w14:paraId="31A9135D" w14:textId="6EC4A6EB" w:rsidR="00371EAB" w:rsidRDefault="00371EAB" w:rsidP="00371EAB">
      <w:pPr>
        <w:pStyle w:val="ListParagraph"/>
        <w:numPr>
          <w:ilvl w:val="0"/>
          <w:numId w:val="44"/>
        </w:numPr>
      </w:pPr>
      <w:r>
        <w:t>Should we be looking at abnormal tone / abnormal length instead of at tone / length?</w:t>
      </w:r>
    </w:p>
    <w:p w14:paraId="0944747F" w14:textId="6626EFAF" w:rsidR="005300E8" w:rsidRDefault="005300E8" w:rsidP="005300E8">
      <w:pPr>
        <w:pStyle w:val="ListParagraph"/>
        <w:numPr>
          <w:ilvl w:val="1"/>
          <w:numId w:val="44"/>
        </w:numPr>
      </w:pPr>
      <w:r>
        <w:t>Incorrect Inferences When Using Residuals as Dependent Variables – Chen et al. 2018</w:t>
      </w:r>
    </w:p>
    <w:p w14:paraId="7EC5F41F" w14:textId="57D09992" w:rsidR="005300E8" w:rsidRDefault="005300E8" w:rsidP="005300E8">
      <w:pPr>
        <w:pStyle w:val="ListParagraph"/>
        <w:numPr>
          <w:ilvl w:val="1"/>
          <w:numId w:val="44"/>
        </w:numPr>
      </w:pPr>
      <w:r>
        <w:t>Chen et al. point out that instead of using a 2SLS model, it is econometrically identical to</w:t>
      </w:r>
      <w:r w:rsidRPr="005300E8">
        <w:t xml:space="preserve"> </w:t>
      </w:r>
      <w:r>
        <w:t>simply estimate the coefficients for all the model regressors in a single-, as opposed to two-step regression.</w:t>
      </w:r>
    </w:p>
    <w:p w14:paraId="78A04C81" w14:textId="2B6ADB9D" w:rsidR="00BD0B97" w:rsidRDefault="00BD0B97" w:rsidP="005300E8">
      <w:pPr>
        <w:pStyle w:val="ListParagraph"/>
        <w:numPr>
          <w:ilvl w:val="1"/>
          <w:numId w:val="44"/>
        </w:numPr>
      </w:pPr>
      <w:r>
        <w:t xml:space="preserve">So </w:t>
      </w:r>
      <w:r w:rsidR="003504DA">
        <w:t>actually,</w:t>
      </w:r>
      <w:r>
        <w:t xml:space="preserve"> we </w:t>
      </w:r>
      <w:r w:rsidR="00F72535">
        <w:t>ARE</w:t>
      </w:r>
      <w:r>
        <w:t xml:space="preserve"> analyzing abnormal tone here. </w:t>
      </w:r>
    </w:p>
    <w:p w14:paraId="7E437B5E" w14:textId="5A20B93D" w:rsidR="00371EAB" w:rsidRDefault="00371EAB" w:rsidP="00371EAB">
      <w:pPr>
        <w:pStyle w:val="ListParagraph"/>
        <w:numPr>
          <w:ilvl w:val="0"/>
          <w:numId w:val="44"/>
        </w:numPr>
      </w:pPr>
      <w:r>
        <w:t>What are the links between narrative conservatism and other types of conservatism? (and linked to this, why are all the tests at the back of the paper only with 10-Q and not with the 8-K sample? Re: tables 7 onwards.)</w:t>
      </w:r>
    </w:p>
    <w:p w14:paraId="346F4E20" w14:textId="79C80740" w:rsidR="00FE1A87" w:rsidRDefault="00FE1A87" w:rsidP="00FE1A87">
      <w:pPr>
        <w:pStyle w:val="ListParagraph"/>
        <w:numPr>
          <w:ilvl w:val="1"/>
          <w:numId w:val="44"/>
        </w:numPr>
      </w:pPr>
      <w:r>
        <w:t>T</w:t>
      </w:r>
      <w:r>
        <w:rPr>
          <w:rFonts w:hint="eastAsia"/>
        </w:rPr>
        <w:t>able</w:t>
      </w:r>
      <w:r>
        <w:t xml:space="preserve"> 8 in a current version</w:t>
      </w:r>
      <w:r w:rsidR="00F009AF">
        <w:t xml:space="preserve"> </w:t>
      </w:r>
      <w:r w:rsidR="00F009AF">
        <w:rPr>
          <w:rFonts w:hint="eastAsia"/>
        </w:rPr>
        <w:t>(</w:t>
      </w:r>
      <w:r w:rsidR="00F009AF">
        <w:t>not updated in the paper yet)</w:t>
      </w:r>
      <w:r>
        <w:t xml:space="preserve"> incorporates results from 8-K</w:t>
      </w:r>
    </w:p>
    <w:p w14:paraId="6FDF3908" w14:textId="1C58E0A5" w:rsidR="00FE1A87" w:rsidRDefault="00FE1A87" w:rsidP="00FE1A87">
      <w:pPr>
        <w:pStyle w:val="ListParagraph"/>
        <w:numPr>
          <w:ilvl w:val="1"/>
          <w:numId w:val="44"/>
        </w:numPr>
      </w:pPr>
      <w:r>
        <w:t xml:space="preserve">Table 9 requires controls variables that may limit the 8-K sample, but if </w:t>
      </w:r>
      <w:r w:rsidR="00DA6AFC">
        <w:t>necessary</w:t>
      </w:r>
      <w:r>
        <w:t xml:space="preserve"> I can do TLAG with 8-K sample as well</w:t>
      </w:r>
    </w:p>
    <w:p w14:paraId="120D7C06" w14:textId="77777777" w:rsidR="00371EAB" w:rsidRPr="00443352" w:rsidRDefault="00371EAB" w:rsidP="00371EAB">
      <w:pPr>
        <w:pStyle w:val="ListParagraph"/>
        <w:numPr>
          <w:ilvl w:val="0"/>
          <w:numId w:val="44"/>
        </w:numPr>
        <w:rPr>
          <w:highlight w:val="darkYellow"/>
        </w:rPr>
      </w:pPr>
      <w:r w:rsidRPr="00443352">
        <w:rPr>
          <w:highlight w:val="darkYellow"/>
        </w:rPr>
        <w:t>How would we interpret cases where narrative conservatism is misaligned with accounting conservatism?</w:t>
      </w:r>
    </w:p>
    <w:p w14:paraId="69E902A8" w14:textId="77777777" w:rsidR="00371EAB" w:rsidRPr="00443352" w:rsidRDefault="00371EAB" w:rsidP="00371EAB">
      <w:pPr>
        <w:pStyle w:val="ListParagraph"/>
        <w:numPr>
          <w:ilvl w:val="0"/>
          <w:numId w:val="44"/>
        </w:numPr>
        <w:rPr>
          <w:highlight w:val="darkYellow"/>
        </w:rPr>
      </w:pPr>
      <w:r w:rsidRPr="00443352">
        <w:rPr>
          <w:highlight w:val="darkYellow"/>
        </w:rPr>
        <w:t>Is narrative conservatism ‘signalling’? or part of strategic reporting?</w:t>
      </w:r>
    </w:p>
    <w:p w14:paraId="073C9BA9" w14:textId="7E8A5045" w:rsidR="00371EAB" w:rsidRDefault="00371EAB" w:rsidP="00371EAB">
      <w:pPr>
        <w:pStyle w:val="ListParagraph"/>
        <w:numPr>
          <w:ilvl w:val="0"/>
          <w:numId w:val="44"/>
        </w:numPr>
      </w:pPr>
      <w:r>
        <w:t>Given the importance of litigation risk in explaining conservatism, should we have controls for litigation in the main model and even, interact litigation risk in the model?</w:t>
      </w:r>
    </w:p>
    <w:p w14:paraId="71D31F37" w14:textId="1F424478" w:rsidR="00371EAB" w:rsidRPr="00443352" w:rsidRDefault="00371EAB" w:rsidP="00371EAB">
      <w:pPr>
        <w:pStyle w:val="ListParagraph"/>
        <w:numPr>
          <w:ilvl w:val="0"/>
          <w:numId w:val="44"/>
        </w:numPr>
        <w:rPr>
          <w:highlight w:val="darkYellow"/>
        </w:rPr>
      </w:pPr>
      <w:r w:rsidRPr="00443352">
        <w:rPr>
          <w:highlight w:val="darkYellow"/>
        </w:rPr>
        <w:t>It was pointed that the motivation</w:t>
      </w:r>
      <w:r w:rsidR="00886FC9" w:rsidRPr="00443352">
        <w:rPr>
          <w:highlight w:val="darkYellow"/>
        </w:rPr>
        <w:t>/tension</w:t>
      </w:r>
      <w:r w:rsidRPr="00443352">
        <w:rPr>
          <w:highlight w:val="darkYellow"/>
        </w:rPr>
        <w:t xml:space="preserve"> for the study was clearer in the presentation than in the paper.</w:t>
      </w:r>
      <w:r w:rsidR="00886FC9" w:rsidRPr="00443352">
        <w:rPr>
          <w:highlight w:val="darkYellow"/>
        </w:rPr>
        <w:t xml:space="preserve"> 15:12:50 Cinthia Valle Ruiz</w:t>
      </w:r>
    </w:p>
    <w:p w14:paraId="6451D452" w14:textId="0082D10E" w:rsidR="003621F6" w:rsidRDefault="00042B67" w:rsidP="003621F6">
      <w:pPr>
        <w:pStyle w:val="ListParagraph"/>
        <w:rPr>
          <w:b/>
          <w:bCs/>
        </w:rPr>
      </w:pPr>
      <w:r w:rsidRPr="00276979">
        <w:rPr>
          <w:b/>
          <w:bCs/>
          <w:highlight w:val="yellow"/>
        </w:rPr>
        <w:t>VARS</w:t>
      </w:r>
      <w:r w:rsidR="003621F6" w:rsidRPr="00276979">
        <w:rPr>
          <w:b/>
          <w:bCs/>
          <w:highlight w:val="yellow"/>
        </w:rPr>
        <w:t xml:space="preserve"> feedbacks</w:t>
      </w:r>
    </w:p>
    <w:p w14:paraId="695C4002" w14:textId="305D6DB2" w:rsidR="00084D7F" w:rsidRPr="00886FC9" w:rsidRDefault="00FB6C11" w:rsidP="00886FC9">
      <w:pPr>
        <w:pStyle w:val="ListParagraph"/>
        <w:numPr>
          <w:ilvl w:val="0"/>
          <w:numId w:val="46"/>
        </w:numPr>
      </w:pPr>
      <w:r w:rsidRPr="00886FC9">
        <w:t>Linda Myers: I think that David’s question is a really important one. It seems that the underlying story is that the good vs. bad news drives the characteristics of the disclosure but the sign of the news is measured using returns which should be impacted by the characteristics of the disclosures themselves. Finding another proxy for bad vs. good news would be very helpful.</w:t>
      </w:r>
    </w:p>
    <w:p w14:paraId="465A71A2" w14:textId="52E4BD3A" w:rsidR="00084D7F" w:rsidRDefault="00084D7F" w:rsidP="009508CD">
      <w:pPr>
        <w:pStyle w:val="ListParagraph"/>
        <w:numPr>
          <w:ilvl w:val="1"/>
          <w:numId w:val="46"/>
        </w:numPr>
      </w:pPr>
      <w:r w:rsidRPr="00886FC9">
        <w:t>Should we look at industry-specific cases?</w:t>
      </w:r>
    </w:p>
    <w:p w14:paraId="2C3C2EE4" w14:textId="0B89E8BB" w:rsidR="009508CD" w:rsidRDefault="009508CD" w:rsidP="009508CD">
      <w:pPr>
        <w:pStyle w:val="ListParagraph"/>
        <w:numPr>
          <w:ilvl w:val="1"/>
          <w:numId w:val="46"/>
        </w:numPr>
      </w:pPr>
      <w:r w:rsidRPr="009508CD">
        <w:t xml:space="preserve">Stefano Cascino : (Chat ONLY): A potential idea to mitigate reverse causality - Have a look at </w:t>
      </w:r>
      <w:r w:rsidRPr="009508CD">
        <w:rPr>
          <w:b/>
          <w:bCs/>
        </w:rPr>
        <w:t>management earnings forecast</w:t>
      </w:r>
      <w:r w:rsidRPr="009508CD">
        <w:t>--that is forward-looking disclosure (as opposed to disclosure contained in financial reports).</w:t>
      </w:r>
    </w:p>
    <w:p w14:paraId="44B20634" w14:textId="5340040C" w:rsidR="00B20F63" w:rsidRPr="00886FC9" w:rsidRDefault="00B20F63" w:rsidP="009508CD">
      <w:pPr>
        <w:pStyle w:val="ListParagraph"/>
        <w:numPr>
          <w:ilvl w:val="1"/>
          <w:numId w:val="46"/>
        </w:numPr>
      </w:pPr>
      <w:r>
        <w:t>CFO (Ball and Shivakumar 2005) does not work.</w:t>
      </w:r>
    </w:p>
    <w:p w14:paraId="7613048D" w14:textId="3F4B5C46" w:rsidR="0038320B" w:rsidRPr="00886FC9" w:rsidRDefault="0022656A" w:rsidP="00886FC9">
      <w:pPr>
        <w:pStyle w:val="ListParagraph"/>
        <w:numPr>
          <w:ilvl w:val="0"/>
          <w:numId w:val="46"/>
        </w:numPr>
      </w:pPr>
      <w:r w:rsidRPr="00886FC9">
        <w:t>How to improve c</w:t>
      </w:r>
      <w:r w:rsidR="0038320B" w:rsidRPr="00886FC9">
        <w:t>ompleteness measure?</w:t>
      </w:r>
      <w:r w:rsidRPr="00886FC9">
        <w:t xml:space="preserve"> Incorporate readability into the main hypothesis?</w:t>
      </w:r>
    </w:p>
    <w:p w14:paraId="122AD30B" w14:textId="4D66B3CD" w:rsidR="0022656A" w:rsidRPr="00886FC9" w:rsidRDefault="0022656A" w:rsidP="00886FC9">
      <w:pPr>
        <w:pStyle w:val="ListParagraph"/>
        <w:numPr>
          <w:ilvl w:val="0"/>
          <w:numId w:val="46"/>
        </w:numPr>
      </w:pPr>
      <w:r w:rsidRPr="00443352">
        <w:rPr>
          <w:highlight w:val="darkYellow"/>
        </w:rPr>
        <w:t xml:space="preserve">Why narrative conservatism exists from the </w:t>
      </w:r>
      <w:r w:rsidR="00602FC2">
        <w:rPr>
          <w:highlight w:val="darkYellow"/>
        </w:rPr>
        <w:t xml:space="preserve">perspective of the </w:t>
      </w:r>
      <w:r w:rsidRPr="00443352">
        <w:rPr>
          <w:highlight w:val="darkYellow"/>
        </w:rPr>
        <w:t>demand side?</w:t>
      </w:r>
      <w:r w:rsidR="00FA4894" w:rsidRPr="00443352">
        <w:rPr>
          <w:highlight w:val="darkYellow"/>
        </w:rPr>
        <w:t xml:space="preserve"> Credibility?</w:t>
      </w:r>
    </w:p>
    <w:p w14:paraId="1E710B9E" w14:textId="77777777" w:rsidR="00E1009A" w:rsidRDefault="00E1009A" w:rsidP="00E1009A">
      <w:pPr>
        <w:pStyle w:val="m4655334887798750542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Admin:</w:t>
      </w:r>
    </w:p>
    <w:p w14:paraId="36548A7E" w14:textId="4C2C851D" w:rsidR="003621F6" w:rsidRDefault="00E1009A" w:rsidP="002F3715">
      <w:pPr>
        <w:pStyle w:val="m4655334887798750542msolistparagraph"/>
        <w:numPr>
          <w:ilvl w:val="0"/>
          <w:numId w:val="4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If we come up with an updated version of paper between the submitted date and the conference date (normally there is a 3-4 months’ time lag), do we need to update with the conference committee? Which version should we present in the conference?  </w:t>
      </w:r>
    </w:p>
    <w:p w14:paraId="62FB7942" w14:textId="524EF553" w:rsidR="0065026D" w:rsidRPr="002F3715" w:rsidRDefault="0065026D" w:rsidP="002F3715">
      <w:pPr>
        <w:pStyle w:val="m4655334887798750542msolistparagraph"/>
        <w:numPr>
          <w:ilvl w:val="0"/>
          <w:numId w:val="4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CAAA paper submission deadline postponed to Jan 19</w:t>
      </w:r>
      <w:r w:rsidRPr="0065026D">
        <w:rPr>
          <w:rFonts w:ascii="Calibri" w:hAnsi="Calibri" w:cs="Calibri"/>
          <w:color w:val="222222"/>
          <w:sz w:val="22"/>
          <w:szCs w:val="22"/>
          <w:vertAlign w:val="superscript"/>
        </w:rPr>
        <w:t>th</w:t>
      </w:r>
      <w:r>
        <w:rPr>
          <w:rFonts w:ascii="Calibri" w:hAnsi="Calibri" w:cs="Calibri"/>
          <w:color w:val="222222"/>
          <w:sz w:val="22"/>
          <w:szCs w:val="22"/>
        </w:rPr>
        <w:t xml:space="preserve"> 2021.</w:t>
      </w:r>
    </w:p>
    <w:p w14:paraId="3CB59353" w14:textId="1CE1B0FE" w:rsidR="00424ADE" w:rsidRDefault="00424ADE" w:rsidP="003621F6">
      <w:pPr>
        <w:pStyle w:val="ListParagraph"/>
      </w:pPr>
    </w:p>
    <w:p w14:paraId="4BCBA4DD" w14:textId="5601F685" w:rsidR="00424ADE" w:rsidRDefault="00424ADE" w:rsidP="003621F6">
      <w:pPr>
        <w:pStyle w:val="ListParagraph"/>
      </w:pPr>
      <w:r>
        <w:t xml:space="preserve">In presentation: the 8-K TLAG </w:t>
      </w:r>
      <w:r w:rsidR="002E10C0">
        <w:t xml:space="preserve">enforcement is not strong? Not necessarily, because the TLAG we have is self-constructed by us, but if we consider the TLAG reported by managers (between reporting period and filing date), the enforcement should be good. </w:t>
      </w:r>
    </w:p>
    <w:p w14:paraId="245B2CD3" w14:textId="58D372B1" w:rsidR="00822EF9" w:rsidRDefault="00822EF9" w:rsidP="003621F6">
      <w:pPr>
        <w:pStyle w:val="ListParagraph"/>
      </w:pPr>
    </w:p>
    <w:p w14:paraId="3A441C6E" w14:textId="2C58C70A" w:rsidR="00822EF9" w:rsidRDefault="00822EF9" w:rsidP="00822EF9">
      <w:pPr>
        <w:rPr>
          <w:highlight w:val="cyan"/>
        </w:rPr>
      </w:pPr>
      <w:r w:rsidRPr="00E76B83">
        <w:rPr>
          <w:highlight w:val="cyan"/>
        </w:rPr>
        <w:t>1</w:t>
      </w:r>
      <w:r>
        <w:rPr>
          <w:highlight w:val="cyan"/>
        </w:rPr>
        <w:t>2/22</w:t>
      </w:r>
      <w:r w:rsidRPr="00E76B83">
        <w:rPr>
          <w:highlight w:val="cyan"/>
        </w:rPr>
        <w:t>/2020</w:t>
      </w:r>
    </w:p>
    <w:p w14:paraId="62036D31" w14:textId="77777777" w:rsidR="00822EF9" w:rsidRPr="00886FC9" w:rsidRDefault="00822EF9" w:rsidP="00822EF9">
      <w:pPr>
        <w:rPr>
          <w:highlight w:val="green"/>
        </w:rPr>
      </w:pPr>
      <w:r w:rsidRPr="00886FC9">
        <w:rPr>
          <w:highlight w:val="green"/>
        </w:rPr>
        <w:t>New results:</w:t>
      </w:r>
    </w:p>
    <w:p w14:paraId="3880EAB6" w14:textId="65DC774B" w:rsidR="00822EF9" w:rsidRPr="00686AC9" w:rsidRDefault="00822EF9" w:rsidP="00822EF9">
      <w:pPr>
        <w:pStyle w:val="ListParagraph"/>
        <w:numPr>
          <w:ilvl w:val="0"/>
          <w:numId w:val="47"/>
        </w:numPr>
      </w:pPr>
      <w:r w:rsidRPr="002C1F9E">
        <w:t xml:space="preserve">Asymmetric persistence: interpretation? </w:t>
      </w:r>
      <w:r>
        <w:rPr>
          <w:b/>
          <w:bCs/>
        </w:rPr>
        <w:t>UT-6 LAGN*NEG</w:t>
      </w:r>
    </w:p>
    <w:p w14:paraId="55D9742D" w14:textId="321CD394" w:rsidR="00686AC9" w:rsidRPr="00822EF9" w:rsidRDefault="00686AC9" w:rsidP="00822EF9">
      <w:pPr>
        <w:pStyle w:val="ListParagraph"/>
        <w:numPr>
          <w:ilvl w:val="0"/>
          <w:numId w:val="47"/>
        </w:numPr>
      </w:pPr>
      <w:r>
        <w:rPr>
          <w:b/>
          <w:bCs/>
        </w:rPr>
        <w:t>Theory</w:t>
      </w:r>
      <w:r w:rsidR="00C751C0">
        <w:rPr>
          <w:b/>
          <w:bCs/>
        </w:rPr>
        <w:t xml:space="preserve"> (NC_20201220)</w:t>
      </w:r>
    </w:p>
    <w:p w14:paraId="6108E2BB" w14:textId="64D6D03B" w:rsidR="00822EF9" w:rsidRPr="00686AC9" w:rsidRDefault="00686AC9" w:rsidP="00822EF9">
      <w:pPr>
        <w:pStyle w:val="ListParagraph"/>
        <w:numPr>
          <w:ilvl w:val="0"/>
          <w:numId w:val="47"/>
        </w:numPr>
      </w:pPr>
      <w:r>
        <w:rPr>
          <w:b/>
          <w:bCs/>
        </w:rPr>
        <w:t>Narrative conservatism and conditional conservatism</w:t>
      </w:r>
      <w:r w:rsidR="00B44D1D">
        <w:rPr>
          <w:b/>
          <w:bCs/>
        </w:rPr>
        <w:t>: supplementary</w:t>
      </w:r>
      <w:r w:rsidR="00733A57">
        <w:rPr>
          <w:b/>
          <w:bCs/>
        </w:rPr>
        <w:t xml:space="preserve"> (T11)</w:t>
      </w:r>
    </w:p>
    <w:p w14:paraId="4DF86AD7" w14:textId="73A3EB36" w:rsidR="00686AC9" w:rsidRPr="002C1F9E" w:rsidRDefault="00686AC9" w:rsidP="00686AC9">
      <w:pPr>
        <w:pStyle w:val="ListParagraph"/>
        <w:numPr>
          <w:ilvl w:val="0"/>
          <w:numId w:val="47"/>
        </w:numPr>
      </w:pPr>
      <w:r>
        <w:rPr>
          <w:b/>
          <w:bCs/>
        </w:rPr>
        <w:t>Narrative conservatism and unconditional conservatism</w:t>
      </w:r>
    </w:p>
    <w:p w14:paraId="42E3DA8D" w14:textId="7BAB0000" w:rsidR="00822EF9" w:rsidRDefault="00A24668" w:rsidP="003621F6">
      <w:pPr>
        <w:pStyle w:val="ListParagraph"/>
      </w:pPr>
      <w:r w:rsidRPr="00915860">
        <w:rPr>
          <w:noProof/>
        </w:rPr>
        <w:lastRenderedPageBreak/>
        <w:drawing>
          <wp:inline distT="0" distB="0" distL="0" distR="0" wp14:anchorId="2B61E0F6" wp14:editId="65000380">
            <wp:extent cx="5274310" cy="612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12140"/>
                    </a:xfrm>
                    <a:prstGeom prst="rect">
                      <a:avLst/>
                    </a:prstGeom>
                  </pic:spPr>
                </pic:pic>
              </a:graphicData>
            </a:graphic>
          </wp:inline>
        </w:drawing>
      </w:r>
    </w:p>
    <w:p w14:paraId="04CE28F3" w14:textId="03C9C36B" w:rsidR="007365E6" w:rsidRDefault="00A24668" w:rsidP="007365E6">
      <w:pPr>
        <w:pStyle w:val="ListParagraph"/>
      </w:pPr>
      <w:r w:rsidRPr="00915860">
        <w:rPr>
          <w:noProof/>
        </w:rPr>
        <w:drawing>
          <wp:inline distT="0" distB="0" distL="0" distR="0" wp14:anchorId="7549D2C5" wp14:editId="3ECA3F53">
            <wp:extent cx="6167116" cy="10439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1444" cy="1046365"/>
                    </a:xfrm>
                    <a:prstGeom prst="rect">
                      <a:avLst/>
                    </a:prstGeom>
                  </pic:spPr>
                </pic:pic>
              </a:graphicData>
            </a:graphic>
          </wp:inline>
        </w:drawing>
      </w:r>
    </w:p>
    <w:p w14:paraId="42E47162" w14:textId="2AE152A7" w:rsidR="00911FBA" w:rsidRPr="007C31B3" w:rsidRDefault="0092291B" w:rsidP="003621F6">
      <w:pPr>
        <w:pStyle w:val="ListParagraph"/>
      </w:pPr>
      <w:r w:rsidRPr="007C31B3">
        <w:t xml:space="preserve">LT </w:t>
      </w:r>
      <w:r w:rsidRPr="007C31B3">
        <w:rPr>
          <w:rFonts w:hint="eastAsia"/>
        </w:rPr>
        <w:t>gr</w:t>
      </w:r>
      <w:r w:rsidRPr="007C31B3">
        <w:t>owth forecast</w:t>
      </w:r>
      <w:r w:rsidR="00911FBA" w:rsidRPr="007C31B3">
        <w:t xml:space="preserve"> (</w:t>
      </w:r>
      <w:r w:rsidR="007F787F" w:rsidRPr="007C31B3">
        <w:t>IBE</w:t>
      </w:r>
      <w:r w:rsidR="001F3F08" w:rsidRPr="007C31B3">
        <w:t>S</w:t>
      </w:r>
      <w:r w:rsidR="00911FBA" w:rsidRPr="007C31B3">
        <w:t>)</w:t>
      </w:r>
      <w:r w:rsidR="001F3F08" w:rsidRPr="007C31B3">
        <w:t xml:space="preserve"> </w:t>
      </w:r>
    </w:p>
    <w:p w14:paraId="25C1F8C3" w14:textId="6FD5F33C" w:rsidR="007365E6" w:rsidRPr="007C31B3" w:rsidRDefault="007365E6" w:rsidP="003621F6">
      <w:pPr>
        <w:pStyle w:val="ListParagraph"/>
      </w:pPr>
      <w:r w:rsidRPr="007C31B3">
        <w:t>SalesGrowth: sales/lag_sales</w:t>
      </w:r>
    </w:p>
    <w:p w14:paraId="7DE1303E" w14:textId="7B4052AC" w:rsidR="007365E6" w:rsidRPr="007C31B3" w:rsidRDefault="002D0AB6" w:rsidP="003621F6">
      <w:pPr>
        <w:pStyle w:val="ListParagraph"/>
      </w:pPr>
      <w:r w:rsidRPr="007C31B3">
        <w:t>I</w:t>
      </w:r>
      <w:r w:rsidR="00074DD9" w:rsidRPr="007C31B3">
        <w:t xml:space="preserve">ndConcentration (TNIC3HHI: </w:t>
      </w:r>
      <w:hyperlink r:id="rId19" w:history="1">
        <w:r w:rsidR="00074DD9" w:rsidRPr="007C31B3">
          <w:rPr>
            <w:rStyle w:val="Hyperlink"/>
          </w:rPr>
          <w:t>https://hobergphillips.tuck.dartmouth.edu/industryconcen.htm</w:t>
        </w:r>
      </w:hyperlink>
      <w:r w:rsidR="00074DD9" w:rsidRPr="007C31B3">
        <w:t>, yearly)</w:t>
      </w:r>
    </w:p>
    <w:p w14:paraId="52A097C5" w14:textId="40EECE9E" w:rsidR="00FE4D7C" w:rsidRPr="007C31B3" w:rsidRDefault="0092291B" w:rsidP="00FE4D7C">
      <w:pPr>
        <w:pStyle w:val="ListParagraph"/>
      </w:pPr>
      <w:r w:rsidRPr="007C31B3">
        <w:t>CSI</w:t>
      </w:r>
      <w:r w:rsidR="00FE4D7C" w:rsidRPr="007C31B3">
        <w:t xml:space="preserve"> (</w:t>
      </w:r>
      <w:hyperlink r:id="rId20" w:history="1">
        <w:r w:rsidR="00AB1424" w:rsidRPr="007C31B3">
          <w:rPr>
            <w:rStyle w:val="Hyperlink"/>
          </w:rPr>
          <w:t>http://www.sca.isr.umich.edu/tables.html</w:t>
        </w:r>
      </w:hyperlink>
      <w:r w:rsidR="00AB1424" w:rsidRPr="007C31B3">
        <w:t>: monthly</w:t>
      </w:r>
      <w:r w:rsidR="00FE4D7C" w:rsidRPr="007C31B3">
        <w:t>)</w:t>
      </w:r>
    </w:p>
    <w:p w14:paraId="32EEEDB3" w14:textId="417AA218" w:rsidR="00154D2E" w:rsidRPr="007C31B3" w:rsidRDefault="0092291B" w:rsidP="003621F6">
      <w:pPr>
        <w:pStyle w:val="ListParagraph"/>
      </w:pPr>
      <w:r w:rsidRPr="007C31B3">
        <w:t>S&amp;P index</w:t>
      </w:r>
      <w:r w:rsidR="00032C88" w:rsidRPr="007C31B3">
        <w:t xml:space="preserve"> (CRSP</w:t>
      </w:r>
      <w:r w:rsidR="00777987" w:rsidRPr="007C31B3">
        <w:t xml:space="preserve">: spidx.csv; </w:t>
      </w:r>
      <w:r w:rsidR="00F15D5B" w:rsidRPr="007C31B3">
        <w:t>monthly</w:t>
      </w:r>
      <w:r w:rsidR="00032C88" w:rsidRPr="007C31B3">
        <w:t>)</w:t>
      </w:r>
    </w:p>
    <w:p w14:paraId="18A93C87" w14:textId="33964E09" w:rsidR="00CD34DD" w:rsidRPr="007C31B3" w:rsidRDefault="00CD34DD" w:rsidP="003621F6">
      <w:pPr>
        <w:pStyle w:val="ListParagraph"/>
      </w:pPr>
      <w:r w:rsidRPr="007C31B3">
        <w:t>Profitability: CFO</w:t>
      </w:r>
    </w:p>
    <w:p w14:paraId="4F511D7C" w14:textId="08BFD687" w:rsidR="005B1CCE" w:rsidRPr="007C31B3" w:rsidRDefault="001C1D68" w:rsidP="003621F6">
      <w:pPr>
        <w:pStyle w:val="ListParagraph"/>
      </w:pPr>
      <w:r w:rsidRPr="007C31B3">
        <w:t>C</w:t>
      </w:r>
      <w:r w:rsidR="0092291B" w:rsidRPr="007C31B3">
        <w:t>redit rating</w:t>
      </w:r>
      <w:r w:rsidR="005B1CCE" w:rsidRPr="007C31B3">
        <w:t xml:space="preserve"> (COMPUSTAT</w:t>
      </w:r>
      <w:r w:rsidR="00032BC9" w:rsidRPr="007C31B3">
        <w:t>: splticrm.csv</w:t>
      </w:r>
      <w:r w:rsidR="00D56605" w:rsidRPr="007C31B3">
        <w:t>; quarterly</w:t>
      </w:r>
      <w:r w:rsidR="005B1CCE" w:rsidRPr="007C31B3">
        <w:t>)</w:t>
      </w:r>
    </w:p>
    <w:p w14:paraId="357EA7AE" w14:textId="57603B3B" w:rsidR="00CD34DD" w:rsidRPr="007C31B3" w:rsidRDefault="001C1D68" w:rsidP="003621F6">
      <w:pPr>
        <w:pStyle w:val="ListParagraph"/>
      </w:pPr>
      <w:r w:rsidRPr="007C31B3">
        <w:t>R</w:t>
      </w:r>
      <w:r w:rsidR="00CD34DD" w:rsidRPr="007C31B3">
        <w:t xml:space="preserve">eturn volatility: </w:t>
      </w:r>
      <w:r w:rsidR="00C45634" w:rsidRPr="007C31B3">
        <w:t>STD_RET</w:t>
      </w:r>
    </w:p>
    <w:p w14:paraId="3E0A8E8E" w14:textId="22483085" w:rsidR="00C53E04" w:rsidRPr="007C31B3" w:rsidRDefault="001C1D68" w:rsidP="00E119AB">
      <w:pPr>
        <w:pStyle w:val="ListParagraph"/>
      </w:pPr>
      <w:r w:rsidRPr="007C31B3">
        <w:t>H</w:t>
      </w:r>
      <w:r w:rsidR="0092291B" w:rsidRPr="007C31B3">
        <w:t>igh Inflation</w:t>
      </w:r>
      <w:r w:rsidR="00673FDD" w:rsidRPr="007C31B3">
        <w:t xml:space="preserve"> (Bureau of Labor Statistics</w:t>
      </w:r>
      <w:r w:rsidR="00E119AB" w:rsidRPr="007C31B3">
        <w:t>: cpi.csv; monthly</w:t>
      </w:r>
      <w:r w:rsidR="00673FDD" w:rsidRPr="007C31B3">
        <w:t>)</w:t>
      </w:r>
    </w:p>
    <w:p w14:paraId="69C5EA8F" w14:textId="7CB412C1" w:rsidR="0092291B" w:rsidRDefault="0092291B" w:rsidP="003621F6">
      <w:pPr>
        <w:pStyle w:val="ListParagraph"/>
      </w:pPr>
      <w:r w:rsidRPr="007C31B3">
        <w:t>AOCI</w:t>
      </w:r>
      <w:r w:rsidR="00C53E04" w:rsidRPr="007C31B3">
        <w:t xml:space="preserve"> (COMPUSTAT)</w:t>
      </w:r>
    </w:p>
    <w:p w14:paraId="31D42555" w14:textId="32A8FE5A" w:rsidR="00033EC1" w:rsidRDefault="00033EC1" w:rsidP="003621F6">
      <w:pPr>
        <w:pStyle w:val="ListParagraph"/>
      </w:pPr>
    </w:p>
    <w:p w14:paraId="6924C002" w14:textId="4DE9A3F8" w:rsidR="00033EC1" w:rsidRDefault="00033EC1" w:rsidP="00033EC1">
      <w:pPr>
        <w:rPr>
          <w:highlight w:val="cyan"/>
        </w:rPr>
      </w:pPr>
      <w:r>
        <w:rPr>
          <w:highlight w:val="cyan"/>
        </w:rPr>
        <w:t>01/12</w:t>
      </w:r>
      <w:r w:rsidRPr="00E76B83">
        <w:rPr>
          <w:highlight w:val="cyan"/>
        </w:rPr>
        <w:t>/202</w:t>
      </w:r>
      <w:r>
        <w:rPr>
          <w:highlight w:val="cyan"/>
        </w:rPr>
        <w:t>1</w:t>
      </w:r>
    </w:p>
    <w:p w14:paraId="32F26523" w14:textId="77777777" w:rsidR="00F64C42" w:rsidRPr="00F64C42" w:rsidRDefault="00AE2617" w:rsidP="00F64C42">
      <w:pPr>
        <w:pStyle w:val="ListParagraph"/>
        <w:numPr>
          <w:ilvl w:val="0"/>
          <w:numId w:val="48"/>
        </w:numPr>
      </w:pPr>
      <w:r w:rsidRPr="002C1F9E">
        <w:t xml:space="preserve">Asymmetric persistence: interpretation? </w:t>
      </w:r>
      <w:r>
        <w:rPr>
          <w:b/>
          <w:bCs/>
        </w:rPr>
        <w:t>UT-6</w:t>
      </w:r>
    </w:p>
    <w:p w14:paraId="18329FAF" w14:textId="43543DA6" w:rsidR="00033EC1" w:rsidRDefault="00AE2617" w:rsidP="00E87859">
      <w:pPr>
        <w:pStyle w:val="ListParagraph"/>
        <w:numPr>
          <w:ilvl w:val="0"/>
          <w:numId w:val="48"/>
        </w:numPr>
      </w:pPr>
      <w:r w:rsidRPr="00F64C42">
        <w:rPr>
          <w:b/>
          <w:bCs/>
        </w:rPr>
        <w:t>Narrative conservatism and unconditional conservatism</w:t>
      </w:r>
    </w:p>
    <w:p w14:paraId="0B138D81" w14:textId="77777777" w:rsidR="0020412E" w:rsidRPr="0020412E" w:rsidRDefault="0020412E" w:rsidP="00F64C42">
      <w:pPr>
        <w:pStyle w:val="ListParagraph"/>
        <w:numPr>
          <w:ilvl w:val="0"/>
          <w:numId w:val="48"/>
        </w:numPr>
      </w:pPr>
      <w:r>
        <w:rPr>
          <w:b/>
          <w:bCs/>
        </w:rPr>
        <w:t>Restructuring of the paper:</w:t>
      </w:r>
    </w:p>
    <w:p w14:paraId="08283B20" w14:textId="77777777" w:rsidR="0020412E" w:rsidRPr="0020412E" w:rsidRDefault="0020412E" w:rsidP="0020412E">
      <w:pPr>
        <w:pStyle w:val="ListParagraph"/>
        <w:rPr>
          <w:b/>
          <w:bCs/>
        </w:rPr>
      </w:pPr>
    </w:p>
    <w:p w14:paraId="068A99F6" w14:textId="6AFFF1B4" w:rsidR="00F64C42" w:rsidRDefault="0020412E" w:rsidP="0020412E">
      <w:pPr>
        <w:pStyle w:val="ListParagraph"/>
        <w:numPr>
          <w:ilvl w:val="1"/>
          <w:numId w:val="48"/>
        </w:numPr>
      </w:pPr>
      <w:r>
        <w:t>Should we use a section to develop the hypotheses regarding the relationship between NC and CCONS/UCONS? As in t</w:t>
      </w:r>
      <w:r w:rsidR="00F64C42" w:rsidRPr="0020412E">
        <w:t>heory (NC_20201220)</w:t>
      </w:r>
    </w:p>
    <w:p w14:paraId="48C25C6C" w14:textId="71B668B7" w:rsidR="004B5705" w:rsidRDefault="0020412E" w:rsidP="00F64C42">
      <w:pPr>
        <w:pStyle w:val="ListParagraph"/>
        <w:numPr>
          <w:ilvl w:val="1"/>
          <w:numId w:val="48"/>
        </w:numPr>
      </w:pPr>
      <w:r>
        <w:t>I will r</w:t>
      </w:r>
      <w:r w:rsidR="00F64C42">
        <w:t>eorganize the hypothes</w:t>
      </w:r>
      <w:r>
        <w:t>e</w:t>
      </w:r>
      <w:r w:rsidR="00F64C42">
        <w:t>s</w:t>
      </w:r>
      <w:r>
        <w:t xml:space="preserve"> and results</w:t>
      </w:r>
      <w:r w:rsidR="00F64C42">
        <w:t xml:space="preserve"> in timeliness-news consistency-completeness order</w:t>
      </w:r>
    </w:p>
    <w:p w14:paraId="6D3ADF04" w14:textId="0106B01F" w:rsidR="00F64C42" w:rsidRDefault="0020412E" w:rsidP="00F64C42">
      <w:pPr>
        <w:pStyle w:val="ListParagraph"/>
        <w:numPr>
          <w:ilvl w:val="1"/>
          <w:numId w:val="48"/>
        </w:numPr>
      </w:pPr>
      <w:r>
        <w:t xml:space="preserve">I will </w:t>
      </w:r>
      <w:r>
        <w:t>r</w:t>
      </w:r>
      <w:r w:rsidR="00F64C42">
        <w:t>eorganize the main results table</w:t>
      </w:r>
      <w:r>
        <w:t>s</w:t>
      </w:r>
      <w:r w:rsidR="00F64C42">
        <w:t xml:space="preserve"> by hypothes</w:t>
      </w:r>
      <w:r>
        <w:t>e</w:t>
      </w:r>
      <w:r w:rsidR="00F64C42">
        <w:t>s instead of by corpora</w:t>
      </w:r>
      <w:r w:rsidR="004B5705">
        <w:t>, while keeping the results for both 10-Q and 8-K</w:t>
      </w:r>
      <w:r w:rsidR="00F64C42">
        <w:t xml:space="preserve"> </w:t>
      </w:r>
    </w:p>
    <w:p w14:paraId="14FB8FD4" w14:textId="6E86BED7" w:rsidR="004B5705" w:rsidRDefault="0020412E" w:rsidP="00F64C42">
      <w:pPr>
        <w:pStyle w:val="ListParagraph"/>
        <w:numPr>
          <w:ilvl w:val="1"/>
          <w:numId w:val="48"/>
        </w:numPr>
      </w:pPr>
      <w:r>
        <w:t>Should I a</w:t>
      </w:r>
      <w:r w:rsidR="004B5705">
        <w:t>dd 10-K results to the paper?</w:t>
      </w:r>
    </w:p>
    <w:p w14:paraId="51A208E0" w14:textId="294EBA54" w:rsidR="00F64C42" w:rsidRPr="00C12A61" w:rsidRDefault="00F64C42" w:rsidP="00F64C42">
      <w:pPr>
        <w:pStyle w:val="ListParagraph"/>
        <w:numPr>
          <w:ilvl w:val="1"/>
          <w:numId w:val="48"/>
        </w:numPr>
      </w:pPr>
      <w:r>
        <w:t xml:space="preserve">Should we submit to CAAA the same version as the one submitted to EAA? Cuz we </w:t>
      </w:r>
      <w:r w:rsidR="004B5705">
        <w:t>may not have time to polish the draft after reorganization (before Jan 19th)</w:t>
      </w:r>
      <w:r>
        <w:t xml:space="preserve"> </w:t>
      </w:r>
    </w:p>
    <w:sectPr w:rsidR="00F64C42" w:rsidRPr="00C12A61"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901FE" w14:textId="77777777" w:rsidR="008F209E" w:rsidRDefault="008F209E" w:rsidP="00012262">
      <w:pPr>
        <w:spacing w:after="0" w:line="240" w:lineRule="auto"/>
      </w:pPr>
      <w:r>
        <w:separator/>
      </w:r>
    </w:p>
  </w:endnote>
  <w:endnote w:type="continuationSeparator" w:id="0">
    <w:p w14:paraId="5B26D1DC" w14:textId="77777777" w:rsidR="008F209E" w:rsidRDefault="008F209E"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84462" w14:textId="77777777" w:rsidR="008F209E" w:rsidRDefault="008F209E" w:rsidP="00012262">
      <w:pPr>
        <w:spacing w:after="0" w:line="240" w:lineRule="auto"/>
      </w:pPr>
      <w:r>
        <w:separator/>
      </w:r>
    </w:p>
  </w:footnote>
  <w:footnote w:type="continuationSeparator" w:id="0">
    <w:p w14:paraId="14038028" w14:textId="77777777" w:rsidR="008F209E" w:rsidRDefault="008F209E"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EC6"/>
    <w:multiLevelType w:val="hybridMultilevel"/>
    <w:tmpl w:val="5F8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A564B"/>
    <w:multiLevelType w:val="hybridMultilevel"/>
    <w:tmpl w:val="BD10B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51A9B"/>
    <w:multiLevelType w:val="hybridMultilevel"/>
    <w:tmpl w:val="4D529C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C60F0"/>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60186D"/>
    <w:multiLevelType w:val="hybridMultilevel"/>
    <w:tmpl w:val="FBC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9C2934"/>
    <w:multiLevelType w:val="hybridMultilevel"/>
    <w:tmpl w:val="F59883EA"/>
    <w:lvl w:ilvl="0" w:tplc="271E0188">
      <w:start w:val="1"/>
      <w:numFmt w:val="decimal"/>
      <w:lvlText w:val="%1."/>
      <w:lvlJc w:val="left"/>
      <w:pPr>
        <w:ind w:left="720" w:hanging="360"/>
      </w:pPr>
      <w:rPr>
        <w:rFonts w:ascii="Segoe UI" w:hAnsi="Segoe UI" w:cs="Segoe UI" w:hint="default"/>
        <w:b w:val="0"/>
        <w:color w:val="24292E"/>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1090B"/>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122473"/>
    <w:multiLevelType w:val="hybridMultilevel"/>
    <w:tmpl w:val="98EC0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327001"/>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EE7EFC"/>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C22E69"/>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C55494"/>
    <w:multiLevelType w:val="hybridMultilevel"/>
    <w:tmpl w:val="D706B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D13A32"/>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3E4D31"/>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07599B"/>
    <w:multiLevelType w:val="hybridMultilevel"/>
    <w:tmpl w:val="47DC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F4589E"/>
    <w:multiLevelType w:val="hybridMultilevel"/>
    <w:tmpl w:val="431C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D77EBB"/>
    <w:multiLevelType w:val="hybridMultilevel"/>
    <w:tmpl w:val="BFA222C0"/>
    <w:lvl w:ilvl="0" w:tplc="8FE48780">
      <w:start w:val="1"/>
      <w:numFmt w:val="decimal"/>
      <w:lvlText w:val="%1."/>
      <w:lvlJc w:val="left"/>
      <w:pPr>
        <w:ind w:left="1128" w:hanging="408"/>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391EEC"/>
    <w:multiLevelType w:val="hybridMultilevel"/>
    <w:tmpl w:val="6F90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2"/>
  </w:num>
  <w:num w:numId="3">
    <w:abstractNumId w:val="15"/>
  </w:num>
  <w:num w:numId="4">
    <w:abstractNumId w:val="25"/>
  </w:num>
  <w:num w:numId="5">
    <w:abstractNumId w:val="27"/>
  </w:num>
  <w:num w:numId="6">
    <w:abstractNumId w:val="23"/>
  </w:num>
  <w:num w:numId="7">
    <w:abstractNumId w:val="44"/>
  </w:num>
  <w:num w:numId="8">
    <w:abstractNumId w:val="3"/>
  </w:num>
  <w:num w:numId="9">
    <w:abstractNumId w:val="24"/>
  </w:num>
  <w:num w:numId="10">
    <w:abstractNumId w:val="38"/>
  </w:num>
  <w:num w:numId="11">
    <w:abstractNumId w:val="43"/>
  </w:num>
  <w:num w:numId="12">
    <w:abstractNumId w:val="13"/>
  </w:num>
  <w:num w:numId="13">
    <w:abstractNumId w:val="2"/>
  </w:num>
  <w:num w:numId="14">
    <w:abstractNumId w:val="37"/>
  </w:num>
  <w:num w:numId="15">
    <w:abstractNumId w:val="18"/>
  </w:num>
  <w:num w:numId="16">
    <w:abstractNumId w:val="31"/>
  </w:num>
  <w:num w:numId="17">
    <w:abstractNumId w:val="0"/>
  </w:num>
  <w:num w:numId="18">
    <w:abstractNumId w:val="19"/>
  </w:num>
  <w:num w:numId="19">
    <w:abstractNumId w:val="8"/>
  </w:num>
  <w:num w:numId="20">
    <w:abstractNumId w:val="29"/>
  </w:num>
  <w:num w:numId="21">
    <w:abstractNumId w:val="10"/>
  </w:num>
  <w:num w:numId="22">
    <w:abstractNumId w:val="9"/>
  </w:num>
  <w:num w:numId="23">
    <w:abstractNumId w:val="47"/>
  </w:num>
  <w:num w:numId="24">
    <w:abstractNumId w:val="11"/>
  </w:num>
  <w:num w:numId="25">
    <w:abstractNumId w:val="34"/>
  </w:num>
  <w:num w:numId="26">
    <w:abstractNumId w:val="16"/>
  </w:num>
  <w:num w:numId="27">
    <w:abstractNumId w:val="45"/>
  </w:num>
  <w:num w:numId="28">
    <w:abstractNumId w:val="7"/>
  </w:num>
  <w:num w:numId="29">
    <w:abstractNumId w:val="30"/>
  </w:num>
  <w:num w:numId="30">
    <w:abstractNumId w:val="36"/>
  </w:num>
  <w:num w:numId="31">
    <w:abstractNumId w:val="17"/>
  </w:num>
  <w:num w:numId="32">
    <w:abstractNumId w:val="32"/>
  </w:num>
  <w:num w:numId="33">
    <w:abstractNumId w:val="39"/>
  </w:num>
  <w:num w:numId="34">
    <w:abstractNumId w:val="12"/>
  </w:num>
  <w:num w:numId="35">
    <w:abstractNumId w:val="1"/>
  </w:num>
  <w:num w:numId="36">
    <w:abstractNumId w:val="20"/>
  </w:num>
  <w:num w:numId="37">
    <w:abstractNumId w:val="46"/>
  </w:num>
  <w:num w:numId="38">
    <w:abstractNumId w:val="33"/>
  </w:num>
  <w:num w:numId="39">
    <w:abstractNumId w:val="35"/>
  </w:num>
  <w:num w:numId="40">
    <w:abstractNumId w:val="6"/>
  </w:num>
  <w:num w:numId="41">
    <w:abstractNumId w:val="41"/>
  </w:num>
  <w:num w:numId="42">
    <w:abstractNumId w:val="26"/>
  </w:num>
  <w:num w:numId="43">
    <w:abstractNumId w:val="40"/>
  </w:num>
  <w:num w:numId="44">
    <w:abstractNumId w:val="4"/>
  </w:num>
  <w:num w:numId="45">
    <w:abstractNumId w:val="14"/>
  </w:num>
  <w:num w:numId="46">
    <w:abstractNumId w:val="5"/>
  </w:num>
  <w:num w:numId="47">
    <w:abstractNumId w:val="28"/>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33BA"/>
    <w:rsid w:val="00004599"/>
    <w:rsid w:val="0000464C"/>
    <w:rsid w:val="00007D10"/>
    <w:rsid w:val="00010543"/>
    <w:rsid w:val="000109F0"/>
    <w:rsid w:val="00012262"/>
    <w:rsid w:val="0001378E"/>
    <w:rsid w:val="0001686B"/>
    <w:rsid w:val="00016D1D"/>
    <w:rsid w:val="000229DC"/>
    <w:rsid w:val="00025E60"/>
    <w:rsid w:val="000313EC"/>
    <w:rsid w:val="00032BC9"/>
    <w:rsid w:val="00032C88"/>
    <w:rsid w:val="00033EC1"/>
    <w:rsid w:val="0003724C"/>
    <w:rsid w:val="000374C7"/>
    <w:rsid w:val="00040F21"/>
    <w:rsid w:val="00041A54"/>
    <w:rsid w:val="00042B67"/>
    <w:rsid w:val="00047548"/>
    <w:rsid w:val="0004793C"/>
    <w:rsid w:val="00050A07"/>
    <w:rsid w:val="0005440D"/>
    <w:rsid w:val="00065613"/>
    <w:rsid w:val="00067F0B"/>
    <w:rsid w:val="0007251D"/>
    <w:rsid w:val="000726BF"/>
    <w:rsid w:val="00074DD9"/>
    <w:rsid w:val="0007633F"/>
    <w:rsid w:val="00076EC8"/>
    <w:rsid w:val="000815E3"/>
    <w:rsid w:val="00081F2B"/>
    <w:rsid w:val="00084D7F"/>
    <w:rsid w:val="00084E53"/>
    <w:rsid w:val="0008576F"/>
    <w:rsid w:val="00086138"/>
    <w:rsid w:val="00093483"/>
    <w:rsid w:val="00093E65"/>
    <w:rsid w:val="000946D1"/>
    <w:rsid w:val="000956D9"/>
    <w:rsid w:val="0009795B"/>
    <w:rsid w:val="000A5150"/>
    <w:rsid w:val="000A7C18"/>
    <w:rsid w:val="000B3869"/>
    <w:rsid w:val="000B4918"/>
    <w:rsid w:val="000C395D"/>
    <w:rsid w:val="000C45B2"/>
    <w:rsid w:val="000C6D4F"/>
    <w:rsid w:val="000C765D"/>
    <w:rsid w:val="000D043F"/>
    <w:rsid w:val="000D3237"/>
    <w:rsid w:val="000D495B"/>
    <w:rsid w:val="000D5E5D"/>
    <w:rsid w:val="000E00BE"/>
    <w:rsid w:val="000F5DB5"/>
    <w:rsid w:val="00100E3D"/>
    <w:rsid w:val="001011AD"/>
    <w:rsid w:val="00114ED7"/>
    <w:rsid w:val="001151BA"/>
    <w:rsid w:val="00122CB0"/>
    <w:rsid w:val="00123A13"/>
    <w:rsid w:val="0012469D"/>
    <w:rsid w:val="00127075"/>
    <w:rsid w:val="0013164D"/>
    <w:rsid w:val="00131DD5"/>
    <w:rsid w:val="00132107"/>
    <w:rsid w:val="00133C39"/>
    <w:rsid w:val="0013591A"/>
    <w:rsid w:val="001407C2"/>
    <w:rsid w:val="001411F9"/>
    <w:rsid w:val="00141E81"/>
    <w:rsid w:val="00141FD9"/>
    <w:rsid w:val="00142613"/>
    <w:rsid w:val="001537B2"/>
    <w:rsid w:val="00153C35"/>
    <w:rsid w:val="00154D2E"/>
    <w:rsid w:val="0015742F"/>
    <w:rsid w:val="001616B7"/>
    <w:rsid w:val="001616BB"/>
    <w:rsid w:val="001635AC"/>
    <w:rsid w:val="0016775B"/>
    <w:rsid w:val="00167D73"/>
    <w:rsid w:val="00171A75"/>
    <w:rsid w:val="00172E8A"/>
    <w:rsid w:val="00182F33"/>
    <w:rsid w:val="0018402A"/>
    <w:rsid w:val="001853A1"/>
    <w:rsid w:val="00186157"/>
    <w:rsid w:val="0018618C"/>
    <w:rsid w:val="001868DE"/>
    <w:rsid w:val="00186932"/>
    <w:rsid w:val="0019106A"/>
    <w:rsid w:val="001913CF"/>
    <w:rsid w:val="00194D91"/>
    <w:rsid w:val="001952C2"/>
    <w:rsid w:val="0019648A"/>
    <w:rsid w:val="001A1A09"/>
    <w:rsid w:val="001A1BDC"/>
    <w:rsid w:val="001A309F"/>
    <w:rsid w:val="001A6ADC"/>
    <w:rsid w:val="001B3319"/>
    <w:rsid w:val="001B40D8"/>
    <w:rsid w:val="001B5C67"/>
    <w:rsid w:val="001B5DAA"/>
    <w:rsid w:val="001C0246"/>
    <w:rsid w:val="001C1D68"/>
    <w:rsid w:val="001E1E93"/>
    <w:rsid w:val="001E3199"/>
    <w:rsid w:val="001E4785"/>
    <w:rsid w:val="001F20D7"/>
    <w:rsid w:val="001F37E1"/>
    <w:rsid w:val="001F3F08"/>
    <w:rsid w:val="001F4F59"/>
    <w:rsid w:val="001F7FFB"/>
    <w:rsid w:val="0020412E"/>
    <w:rsid w:val="002048E1"/>
    <w:rsid w:val="00206627"/>
    <w:rsid w:val="00212FD5"/>
    <w:rsid w:val="00226308"/>
    <w:rsid w:val="0022656A"/>
    <w:rsid w:val="00231083"/>
    <w:rsid w:val="00240179"/>
    <w:rsid w:val="002424BE"/>
    <w:rsid w:val="00242937"/>
    <w:rsid w:val="002429B0"/>
    <w:rsid w:val="00242B91"/>
    <w:rsid w:val="00244226"/>
    <w:rsid w:val="0024583D"/>
    <w:rsid w:val="00246F4F"/>
    <w:rsid w:val="00247E70"/>
    <w:rsid w:val="00255765"/>
    <w:rsid w:val="00256CB6"/>
    <w:rsid w:val="0025746E"/>
    <w:rsid w:val="00257CCD"/>
    <w:rsid w:val="00261D00"/>
    <w:rsid w:val="002659FD"/>
    <w:rsid w:val="002728AA"/>
    <w:rsid w:val="00274085"/>
    <w:rsid w:val="00276979"/>
    <w:rsid w:val="002809DF"/>
    <w:rsid w:val="00283908"/>
    <w:rsid w:val="002860B0"/>
    <w:rsid w:val="00290922"/>
    <w:rsid w:val="00292631"/>
    <w:rsid w:val="00294B23"/>
    <w:rsid w:val="002A1069"/>
    <w:rsid w:val="002A2E1D"/>
    <w:rsid w:val="002A3F45"/>
    <w:rsid w:val="002A62C9"/>
    <w:rsid w:val="002A7A94"/>
    <w:rsid w:val="002A7DD6"/>
    <w:rsid w:val="002B15A7"/>
    <w:rsid w:val="002B69A2"/>
    <w:rsid w:val="002C1F9E"/>
    <w:rsid w:val="002C3E98"/>
    <w:rsid w:val="002C5FF1"/>
    <w:rsid w:val="002C67BB"/>
    <w:rsid w:val="002C751A"/>
    <w:rsid w:val="002D0AB6"/>
    <w:rsid w:val="002E10C0"/>
    <w:rsid w:val="002E155E"/>
    <w:rsid w:val="002E4EB7"/>
    <w:rsid w:val="002E5594"/>
    <w:rsid w:val="002E6824"/>
    <w:rsid w:val="002F3715"/>
    <w:rsid w:val="002F3A66"/>
    <w:rsid w:val="002F4056"/>
    <w:rsid w:val="002F5050"/>
    <w:rsid w:val="002F517A"/>
    <w:rsid w:val="003017ED"/>
    <w:rsid w:val="003025C8"/>
    <w:rsid w:val="00303E14"/>
    <w:rsid w:val="00304792"/>
    <w:rsid w:val="003073A6"/>
    <w:rsid w:val="003079AC"/>
    <w:rsid w:val="00311ADA"/>
    <w:rsid w:val="00314C3E"/>
    <w:rsid w:val="00315AB8"/>
    <w:rsid w:val="00315E39"/>
    <w:rsid w:val="00316826"/>
    <w:rsid w:val="00317209"/>
    <w:rsid w:val="00317A91"/>
    <w:rsid w:val="00317E9C"/>
    <w:rsid w:val="003213D9"/>
    <w:rsid w:val="00322DB4"/>
    <w:rsid w:val="00322ED3"/>
    <w:rsid w:val="00324161"/>
    <w:rsid w:val="00326F08"/>
    <w:rsid w:val="00327CF3"/>
    <w:rsid w:val="00331F6E"/>
    <w:rsid w:val="0033341E"/>
    <w:rsid w:val="00334F17"/>
    <w:rsid w:val="00335BD6"/>
    <w:rsid w:val="00337D2B"/>
    <w:rsid w:val="00341EB8"/>
    <w:rsid w:val="00344B8C"/>
    <w:rsid w:val="003450A3"/>
    <w:rsid w:val="00345240"/>
    <w:rsid w:val="00346EFE"/>
    <w:rsid w:val="00347AFD"/>
    <w:rsid w:val="003504DA"/>
    <w:rsid w:val="00350D19"/>
    <w:rsid w:val="00353574"/>
    <w:rsid w:val="00357111"/>
    <w:rsid w:val="00362024"/>
    <w:rsid w:val="003621F6"/>
    <w:rsid w:val="00366641"/>
    <w:rsid w:val="00371EAB"/>
    <w:rsid w:val="00375919"/>
    <w:rsid w:val="0038320B"/>
    <w:rsid w:val="003837E0"/>
    <w:rsid w:val="00383D45"/>
    <w:rsid w:val="0039099B"/>
    <w:rsid w:val="00393762"/>
    <w:rsid w:val="00393BCC"/>
    <w:rsid w:val="003A63DB"/>
    <w:rsid w:val="003B2709"/>
    <w:rsid w:val="003B2E0E"/>
    <w:rsid w:val="003B3CEF"/>
    <w:rsid w:val="003B3ECB"/>
    <w:rsid w:val="003B51AD"/>
    <w:rsid w:val="003C1246"/>
    <w:rsid w:val="003C1DB0"/>
    <w:rsid w:val="003C6400"/>
    <w:rsid w:val="003C6A8A"/>
    <w:rsid w:val="003C7607"/>
    <w:rsid w:val="003D2F40"/>
    <w:rsid w:val="003E0240"/>
    <w:rsid w:val="003E2E8A"/>
    <w:rsid w:val="003E3173"/>
    <w:rsid w:val="003F10EF"/>
    <w:rsid w:val="003F2CAC"/>
    <w:rsid w:val="003F2F09"/>
    <w:rsid w:val="003F374B"/>
    <w:rsid w:val="003F7012"/>
    <w:rsid w:val="004022EE"/>
    <w:rsid w:val="00407024"/>
    <w:rsid w:val="0041657D"/>
    <w:rsid w:val="00424ADE"/>
    <w:rsid w:val="00425C12"/>
    <w:rsid w:val="00425F7A"/>
    <w:rsid w:val="00427AAE"/>
    <w:rsid w:val="00430261"/>
    <w:rsid w:val="00430666"/>
    <w:rsid w:val="004308B8"/>
    <w:rsid w:val="004327DC"/>
    <w:rsid w:val="0043625A"/>
    <w:rsid w:val="0043658F"/>
    <w:rsid w:val="00443352"/>
    <w:rsid w:val="0044480E"/>
    <w:rsid w:val="00446C86"/>
    <w:rsid w:val="00454A0E"/>
    <w:rsid w:val="0045644E"/>
    <w:rsid w:val="004627F5"/>
    <w:rsid w:val="00463004"/>
    <w:rsid w:val="00464AFA"/>
    <w:rsid w:val="0047148E"/>
    <w:rsid w:val="004724E5"/>
    <w:rsid w:val="0047391B"/>
    <w:rsid w:val="00473991"/>
    <w:rsid w:val="00481472"/>
    <w:rsid w:val="00482DD4"/>
    <w:rsid w:val="00486242"/>
    <w:rsid w:val="0048795E"/>
    <w:rsid w:val="004908EA"/>
    <w:rsid w:val="00490F07"/>
    <w:rsid w:val="0049410C"/>
    <w:rsid w:val="00494F00"/>
    <w:rsid w:val="004A05A8"/>
    <w:rsid w:val="004A3ADF"/>
    <w:rsid w:val="004A517F"/>
    <w:rsid w:val="004A78E1"/>
    <w:rsid w:val="004B41AB"/>
    <w:rsid w:val="004B5705"/>
    <w:rsid w:val="004B7A8D"/>
    <w:rsid w:val="004C5EB9"/>
    <w:rsid w:val="004D0257"/>
    <w:rsid w:val="004D0451"/>
    <w:rsid w:val="004D0568"/>
    <w:rsid w:val="004D13E6"/>
    <w:rsid w:val="004D6FC4"/>
    <w:rsid w:val="004E0EF6"/>
    <w:rsid w:val="004E16C0"/>
    <w:rsid w:val="004E3430"/>
    <w:rsid w:val="004E41C2"/>
    <w:rsid w:val="004F01B5"/>
    <w:rsid w:val="004F0C67"/>
    <w:rsid w:val="004F2C6C"/>
    <w:rsid w:val="004F3F9E"/>
    <w:rsid w:val="004F7698"/>
    <w:rsid w:val="00501A07"/>
    <w:rsid w:val="00504476"/>
    <w:rsid w:val="00505FB4"/>
    <w:rsid w:val="00510BAE"/>
    <w:rsid w:val="00515BE9"/>
    <w:rsid w:val="00520AC5"/>
    <w:rsid w:val="005300E8"/>
    <w:rsid w:val="00533F4F"/>
    <w:rsid w:val="00543348"/>
    <w:rsid w:val="005501E3"/>
    <w:rsid w:val="00550C1F"/>
    <w:rsid w:val="00553955"/>
    <w:rsid w:val="005545C2"/>
    <w:rsid w:val="00556739"/>
    <w:rsid w:val="00564288"/>
    <w:rsid w:val="00571EF0"/>
    <w:rsid w:val="00572643"/>
    <w:rsid w:val="00574326"/>
    <w:rsid w:val="00574BA0"/>
    <w:rsid w:val="005756F6"/>
    <w:rsid w:val="00582D51"/>
    <w:rsid w:val="005833F4"/>
    <w:rsid w:val="00585E15"/>
    <w:rsid w:val="00586A86"/>
    <w:rsid w:val="00591A25"/>
    <w:rsid w:val="005945F5"/>
    <w:rsid w:val="0059731C"/>
    <w:rsid w:val="005A416A"/>
    <w:rsid w:val="005A6969"/>
    <w:rsid w:val="005B1CCE"/>
    <w:rsid w:val="005B1EE7"/>
    <w:rsid w:val="005B2BFF"/>
    <w:rsid w:val="005B394C"/>
    <w:rsid w:val="005B4279"/>
    <w:rsid w:val="005C3745"/>
    <w:rsid w:val="005C7093"/>
    <w:rsid w:val="005C7AAB"/>
    <w:rsid w:val="005D37EC"/>
    <w:rsid w:val="005D51BB"/>
    <w:rsid w:val="005D772C"/>
    <w:rsid w:val="005E111B"/>
    <w:rsid w:val="005E3101"/>
    <w:rsid w:val="005E3B28"/>
    <w:rsid w:val="005E6037"/>
    <w:rsid w:val="00602FC2"/>
    <w:rsid w:val="006068AB"/>
    <w:rsid w:val="006074C6"/>
    <w:rsid w:val="00613174"/>
    <w:rsid w:val="00613BFD"/>
    <w:rsid w:val="00614ECD"/>
    <w:rsid w:val="00622780"/>
    <w:rsid w:val="006235F5"/>
    <w:rsid w:val="006254F0"/>
    <w:rsid w:val="0062676D"/>
    <w:rsid w:val="00626DB0"/>
    <w:rsid w:val="00627BA6"/>
    <w:rsid w:val="0063171E"/>
    <w:rsid w:val="00632400"/>
    <w:rsid w:val="00636FFD"/>
    <w:rsid w:val="00637669"/>
    <w:rsid w:val="00640A6F"/>
    <w:rsid w:val="00640F35"/>
    <w:rsid w:val="00644191"/>
    <w:rsid w:val="00644E22"/>
    <w:rsid w:val="00646609"/>
    <w:rsid w:val="00647CFC"/>
    <w:rsid w:val="0065026D"/>
    <w:rsid w:val="0065418C"/>
    <w:rsid w:val="00654FDC"/>
    <w:rsid w:val="00657478"/>
    <w:rsid w:val="00662276"/>
    <w:rsid w:val="006625BA"/>
    <w:rsid w:val="00663535"/>
    <w:rsid w:val="006679CC"/>
    <w:rsid w:val="00673FDD"/>
    <w:rsid w:val="00674748"/>
    <w:rsid w:val="00683AAF"/>
    <w:rsid w:val="00686AC9"/>
    <w:rsid w:val="00686D9F"/>
    <w:rsid w:val="006875C4"/>
    <w:rsid w:val="00690B69"/>
    <w:rsid w:val="00691867"/>
    <w:rsid w:val="00693E6A"/>
    <w:rsid w:val="006A39FB"/>
    <w:rsid w:val="006A4B46"/>
    <w:rsid w:val="006C20F3"/>
    <w:rsid w:val="006C328D"/>
    <w:rsid w:val="006C5AC0"/>
    <w:rsid w:val="006C7A03"/>
    <w:rsid w:val="006D1D3C"/>
    <w:rsid w:val="006D250B"/>
    <w:rsid w:val="006D4B09"/>
    <w:rsid w:val="006E0D5D"/>
    <w:rsid w:val="006E1665"/>
    <w:rsid w:val="006E3580"/>
    <w:rsid w:val="006E6439"/>
    <w:rsid w:val="006E7C67"/>
    <w:rsid w:val="006F42F9"/>
    <w:rsid w:val="006F7398"/>
    <w:rsid w:val="00706695"/>
    <w:rsid w:val="00706CCF"/>
    <w:rsid w:val="00710A29"/>
    <w:rsid w:val="00715008"/>
    <w:rsid w:val="0071523C"/>
    <w:rsid w:val="00715681"/>
    <w:rsid w:val="007220A7"/>
    <w:rsid w:val="007243A9"/>
    <w:rsid w:val="007247AB"/>
    <w:rsid w:val="00725415"/>
    <w:rsid w:val="007328B2"/>
    <w:rsid w:val="00733A57"/>
    <w:rsid w:val="007343DE"/>
    <w:rsid w:val="007365E6"/>
    <w:rsid w:val="007377BC"/>
    <w:rsid w:val="007377FD"/>
    <w:rsid w:val="007449C2"/>
    <w:rsid w:val="00745C7D"/>
    <w:rsid w:val="00745E44"/>
    <w:rsid w:val="0075360C"/>
    <w:rsid w:val="00754777"/>
    <w:rsid w:val="00756692"/>
    <w:rsid w:val="007571D0"/>
    <w:rsid w:val="00761860"/>
    <w:rsid w:val="00762190"/>
    <w:rsid w:val="00771D3D"/>
    <w:rsid w:val="00772532"/>
    <w:rsid w:val="00776C71"/>
    <w:rsid w:val="00777987"/>
    <w:rsid w:val="00780448"/>
    <w:rsid w:val="00780AEE"/>
    <w:rsid w:val="007816BA"/>
    <w:rsid w:val="00781D1E"/>
    <w:rsid w:val="0078327D"/>
    <w:rsid w:val="00784653"/>
    <w:rsid w:val="00786F8A"/>
    <w:rsid w:val="00793A66"/>
    <w:rsid w:val="00796AE4"/>
    <w:rsid w:val="007978B8"/>
    <w:rsid w:val="007A0C3E"/>
    <w:rsid w:val="007A2C35"/>
    <w:rsid w:val="007A786C"/>
    <w:rsid w:val="007A7AB8"/>
    <w:rsid w:val="007C224A"/>
    <w:rsid w:val="007C29AD"/>
    <w:rsid w:val="007C31B3"/>
    <w:rsid w:val="007C6DAD"/>
    <w:rsid w:val="007D01D4"/>
    <w:rsid w:val="007D12AD"/>
    <w:rsid w:val="007D3267"/>
    <w:rsid w:val="007D366E"/>
    <w:rsid w:val="007D410D"/>
    <w:rsid w:val="007D6AB8"/>
    <w:rsid w:val="007E045D"/>
    <w:rsid w:val="007E221A"/>
    <w:rsid w:val="007E2FEE"/>
    <w:rsid w:val="007E319E"/>
    <w:rsid w:val="007E611D"/>
    <w:rsid w:val="007F31D3"/>
    <w:rsid w:val="007F41FE"/>
    <w:rsid w:val="007F4F86"/>
    <w:rsid w:val="007F787F"/>
    <w:rsid w:val="007F78C0"/>
    <w:rsid w:val="0080134D"/>
    <w:rsid w:val="00806FE8"/>
    <w:rsid w:val="00810B31"/>
    <w:rsid w:val="008212A6"/>
    <w:rsid w:val="00822B8C"/>
    <w:rsid w:val="00822D2D"/>
    <w:rsid w:val="00822EF9"/>
    <w:rsid w:val="00824759"/>
    <w:rsid w:val="0082496D"/>
    <w:rsid w:val="008250BA"/>
    <w:rsid w:val="008251F9"/>
    <w:rsid w:val="00826381"/>
    <w:rsid w:val="0082786F"/>
    <w:rsid w:val="00832999"/>
    <w:rsid w:val="00833668"/>
    <w:rsid w:val="00833A2D"/>
    <w:rsid w:val="00834E6C"/>
    <w:rsid w:val="00841718"/>
    <w:rsid w:val="0084253C"/>
    <w:rsid w:val="008439C8"/>
    <w:rsid w:val="00843BA8"/>
    <w:rsid w:val="008448F0"/>
    <w:rsid w:val="00846FBC"/>
    <w:rsid w:val="00852E72"/>
    <w:rsid w:val="00853746"/>
    <w:rsid w:val="008563C8"/>
    <w:rsid w:val="00860B14"/>
    <w:rsid w:val="00864945"/>
    <w:rsid w:val="008732D8"/>
    <w:rsid w:val="00874E98"/>
    <w:rsid w:val="00880EE5"/>
    <w:rsid w:val="00881651"/>
    <w:rsid w:val="00884477"/>
    <w:rsid w:val="00884776"/>
    <w:rsid w:val="00886FC9"/>
    <w:rsid w:val="0088749C"/>
    <w:rsid w:val="00890CCD"/>
    <w:rsid w:val="008960EF"/>
    <w:rsid w:val="008A16E8"/>
    <w:rsid w:val="008A5442"/>
    <w:rsid w:val="008A64DA"/>
    <w:rsid w:val="008B3BE3"/>
    <w:rsid w:val="008C05EA"/>
    <w:rsid w:val="008C3AC5"/>
    <w:rsid w:val="008C4412"/>
    <w:rsid w:val="008C4502"/>
    <w:rsid w:val="008D5C82"/>
    <w:rsid w:val="008D6BC1"/>
    <w:rsid w:val="008E0C05"/>
    <w:rsid w:val="008E434B"/>
    <w:rsid w:val="008E7D2C"/>
    <w:rsid w:val="008F209E"/>
    <w:rsid w:val="008F7C3B"/>
    <w:rsid w:val="00911D0F"/>
    <w:rsid w:val="00911FBA"/>
    <w:rsid w:val="009214B3"/>
    <w:rsid w:val="0092291B"/>
    <w:rsid w:val="00931356"/>
    <w:rsid w:val="00931452"/>
    <w:rsid w:val="009425D7"/>
    <w:rsid w:val="00942655"/>
    <w:rsid w:val="009508CD"/>
    <w:rsid w:val="00955EDE"/>
    <w:rsid w:val="00956EAB"/>
    <w:rsid w:val="009633D0"/>
    <w:rsid w:val="00964675"/>
    <w:rsid w:val="00972FCB"/>
    <w:rsid w:val="0098437F"/>
    <w:rsid w:val="009867B0"/>
    <w:rsid w:val="00993EB5"/>
    <w:rsid w:val="00994C61"/>
    <w:rsid w:val="00995BA5"/>
    <w:rsid w:val="009A34D4"/>
    <w:rsid w:val="009A4004"/>
    <w:rsid w:val="009A4414"/>
    <w:rsid w:val="009B391F"/>
    <w:rsid w:val="009B5229"/>
    <w:rsid w:val="009B5C58"/>
    <w:rsid w:val="009B5F56"/>
    <w:rsid w:val="009C07CE"/>
    <w:rsid w:val="009C15AB"/>
    <w:rsid w:val="009C1726"/>
    <w:rsid w:val="009C18F7"/>
    <w:rsid w:val="009C3164"/>
    <w:rsid w:val="009C57C4"/>
    <w:rsid w:val="009C697C"/>
    <w:rsid w:val="009C74B8"/>
    <w:rsid w:val="009D0FC1"/>
    <w:rsid w:val="009D632A"/>
    <w:rsid w:val="009E48B6"/>
    <w:rsid w:val="009E5CC2"/>
    <w:rsid w:val="009E660A"/>
    <w:rsid w:val="009F27EA"/>
    <w:rsid w:val="009F2DE5"/>
    <w:rsid w:val="009F5827"/>
    <w:rsid w:val="009F74FA"/>
    <w:rsid w:val="00A0335F"/>
    <w:rsid w:val="00A03F56"/>
    <w:rsid w:val="00A05A39"/>
    <w:rsid w:val="00A07889"/>
    <w:rsid w:val="00A10621"/>
    <w:rsid w:val="00A12D97"/>
    <w:rsid w:val="00A135CC"/>
    <w:rsid w:val="00A138FA"/>
    <w:rsid w:val="00A16019"/>
    <w:rsid w:val="00A1682A"/>
    <w:rsid w:val="00A20ACF"/>
    <w:rsid w:val="00A21855"/>
    <w:rsid w:val="00A2262D"/>
    <w:rsid w:val="00A243EF"/>
    <w:rsid w:val="00A24668"/>
    <w:rsid w:val="00A2545D"/>
    <w:rsid w:val="00A25584"/>
    <w:rsid w:val="00A273FD"/>
    <w:rsid w:val="00A27F86"/>
    <w:rsid w:val="00A32AE5"/>
    <w:rsid w:val="00A3337E"/>
    <w:rsid w:val="00A33B6D"/>
    <w:rsid w:val="00A3571A"/>
    <w:rsid w:val="00A428CA"/>
    <w:rsid w:val="00A47E1A"/>
    <w:rsid w:val="00A50075"/>
    <w:rsid w:val="00A56127"/>
    <w:rsid w:val="00A56E53"/>
    <w:rsid w:val="00A65048"/>
    <w:rsid w:val="00A67AF3"/>
    <w:rsid w:val="00A67C5D"/>
    <w:rsid w:val="00A70777"/>
    <w:rsid w:val="00A734E5"/>
    <w:rsid w:val="00A73FD0"/>
    <w:rsid w:val="00A77046"/>
    <w:rsid w:val="00A8054F"/>
    <w:rsid w:val="00A826BD"/>
    <w:rsid w:val="00A87EB3"/>
    <w:rsid w:val="00A91440"/>
    <w:rsid w:val="00A96D68"/>
    <w:rsid w:val="00AA3623"/>
    <w:rsid w:val="00AA3D3D"/>
    <w:rsid w:val="00AB1424"/>
    <w:rsid w:val="00AB1BF7"/>
    <w:rsid w:val="00AB3B2F"/>
    <w:rsid w:val="00AC1C6E"/>
    <w:rsid w:val="00AC2358"/>
    <w:rsid w:val="00AC6F04"/>
    <w:rsid w:val="00AD593A"/>
    <w:rsid w:val="00AD7DE4"/>
    <w:rsid w:val="00AE0B17"/>
    <w:rsid w:val="00AE2617"/>
    <w:rsid w:val="00AE3CC4"/>
    <w:rsid w:val="00AF46D9"/>
    <w:rsid w:val="00AF5615"/>
    <w:rsid w:val="00AF6814"/>
    <w:rsid w:val="00AF6CCE"/>
    <w:rsid w:val="00B003D8"/>
    <w:rsid w:val="00B022DF"/>
    <w:rsid w:val="00B034F4"/>
    <w:rsid w:val="00B03F2C"/>
    <w:rsid w:val="00B053F8"/>
    <w:rsid w:val="00B05444"/>
    <w:rsid w:val="00B0558D"/>
    <w:rsid w:val="00B0594D"/>
    <w:rsid w:val="00B06DB5"/>
    <w:rsid w:val="00B1061F"/>
    <w:rsid w:val="00B108AC"/>
    <w:rsid w:val="00B1421E"/>
    <w:rsid w:val="00B16586"/>
    <w:rsid w:val="00B20719"/>
    <w:rsid w:val="00B20771"/>
    <w:rsid w:val="00B20B35"/>
    <w:rsid w:val="00B20F63"/>
    <w:rsid w:val="00B23129"/>
    <w:rsid w:val="00B234D3"/>
    <w:rsid w:val="00B24BA3"/>
    <w:rsid w:val="00B34998"/>
    <w:rsid w:val="00B34B27"/>
    <w:rsid w:val="00B34DA6"/>
    <w:rsid w:val="00B36AC3"/>
    <w:rsid w:val="00B43B53"/>
    <w:rsid w:val="00B4429D"/>
    <w:rsid w:val="00B44D1D"/>
    <w:rsid w:val="00B454E5"/>
    <w:rsid w:val="00B4782F"/>
    <w:rsid w:val="00B50B0F"/>
    <w:rsid w:val="00B55575"/>
    <w:rsid w:val="00B56B3D"/>
    <w:rsid w:val="00B618F7"/>
    <w:rsid w:val="00B61CF4"/>
    <w:rsid w:val="00B645D7"/>
    <w:rsid w:val="00B666EC"/>
    <w:rsid w:val="00B67528"/>
    <w:rsid w:val="00B67D56"/>
    <w:rsid w:val="00B71252"/>
    <w:rsid w:val="00B71965"/>
    <w:rsid w:val="00B74A19"/>
    <w:rsid w:val="00B776ED"/>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0B97"/>
    <w:rsid w:val="00BD1EEE"/>
    <w:rsid w:val="00BD209A"/>
    <w:rsid w:val="00BD2C3C"/>
    <w:rsid w:val="00BD50A8"/>
    <w:rsid w:val="00BE0E30"/>
    <w:rsid w:val="00BE41BB"/>
    <w:rsid w:val="00BE42BC"/>
    <w:rsid w:val="00BE443E"/>
    <w:rsid w:val="00BF179E"/>
    <w:rsid w:val="00BF313E"/>
    <w:rsid w:val="00C10BAD"/>
    <w:rsid w:val="00C12A61"/>
    <w:rsid w:val="00C14209"/>
    <w:rsid w:val="00C14E24"/>
    <w:rsid w:val="00C16146"/>
    <w:rsid w:val="00C24233"/>
    <w:rsid w:val="00C31C2C"/>
    <w:rsid w:val="00C321EB"/>
    <w:rsid w:val="00C364DA"/>
    <w:rsid w:val="00C4032E"/>
    <w:rsid w:val="00C44EA4"/>
    <w:rsid w:val="00C45634"/>
    <w:rsid w:val="00C45663"/>
    <w:rsid w:val="00C463CD"/>
    <w:rsid w:val="00C513EB"/>
    <w:rsid w:val="00C53E04"/>
    <w:rsid w:val="00C549D8"/>
    <w:rsid w:val="00C60EF6"/>
    <w:rsid w:val="00C61732"/>
    <w:rsid w:val="00C64241"/>
    <w:rsid w:val="00C649AE"/>
    <w:rsid w:val="00C66401"/>
    <w:rsid w:val="00C66EC2"/>
    <w:rsid w:val="00C671EB"/>
    <w:rsid w:val="00C6784D"/>
    <w:rsid w:val="00C70968"/>
    <w:rsid w:val="00C7118B"/>
    <w:rsid w:val="00C7126E"/>
    <w:rsid w:val="00C72400"/>
    <w:rsid w:val="00C72442"/>
    <w:rsid w:val="00C736F6"/>
    <w:rsid w:val="00C73907"/>
    <w:rsid w:val="00C73DDB"/>
    <w:rsid w:val="00C74D27"/>
    <w:rsid w:val="00C751C0"/>
    <w:rsid w:val="00C77E00"/>
    <w:rsid w:val="00C818DD"/>
    <w:rsid w:val="00C86FBD"/>
    <w:rsid w:val="00C94EB2"/>
    <w:rsid w:val="00C94EF0"/>
    <w:rsid w:val="00C956CA"/>
    <w:rsid w:val="00CA1243"/>
    <w:rsid w:val="00CA2187"/>
    <w:rsid w:val="00CA3636"/>
    <w:rsid w:val="00CA4434"/>
    <w:rsid w:val="00CA7D40"/>
    <w:rsid w:val="00CB1098"/>
    <w:rsid w:val="00CB1C8A"/>
    <w:rsid w:val="00CB4A4F"/>
    <w:rsid w:val="00CB5116"/>
    <w:rsid w:val="00CB6A32"/>
    <w:rsid w:val="00CB7BFD"/>
    <w:rsid w:val="00CC11E4"/>
    <w:rsid w:val="00CC1609"/>
    <w:rsid w:val="00CC3484"/>
    <w:rsid w:val="00CC45A5"/>
    <w:rsid w:val="00CC607C"/>
    <w:rsid w:val="00CC652A"/>
    <w:rsid w:val="00CC70EC"/>
    <w:rsid w:val="00CD0122"/>
    <w:rsid w:val="00CD316D"/>
    <w:rsid w:val="00CD34DD"/>
    <w:rsid w:val="00CD53A2"/>
    <w:rsid w:val="00CD7B03"/>
    <w:rsid w:val="00CE012B"/>
    <w:rsid w:val="00CE0160"/>
    <w:rsid w:val="00CE0186"/>
    <w:rsid w:val="00CE6CE4"/>
    <w:rsid w:val="00CF15E0"/>
    <w:rsid w:val="00CF17CC"/>
    <w:rsid w:val="00CF22A1"/>
    <w:rsid w:val="00CF78CF"/>
    <w:rsid w:val="00D0035B"/>
    <w:rsid w:val="00D04C57"/>
    <w:rsid w:val="00D05458"/>
    <w:rsid w:val="00D0657E"/>
    <w:rsid w:val="00D067D1"/>
    <w:rsid w:val="00D10898"/>
    <w:rsid w:val="00D222CD"/>
    <w:rsid w:val="00D31116"/>
    <w:rsid w:val="00D356D5"/>
    <w:rsid w:val="00D47347"/>
    <w:rsid w:val="00D47AA5"/>
    <w:rsid w:val="00D527B3"/>
    <w:rsid w:val="00D52EE1"/>
    <w:rsid w:val="00D55B36"/>
    <w:rsid w:val="00D55CF9"/>
    <w:rsid w:val="00D56605"/>
    <w:rsid w:val="00D5785E"/>
    <w:rsid w:val="00D6096D"/>
    <w:rsid w:val="00D63523"/>
    <w:rsid w:val="00D6363F"/>
    <w:rsid w:val="00D712D9"/>
    <w:rsid w:val="00D71977"/>
    <w:rsid w:val="00D71D5D"/>
    <w:rsid w:val="00D72A57"/>
    <w:rsid w:val="00D776E7"/>
    <w:rsid w:val="00D815F1"/>
    <w:rsid w:val="00D81895"/>
    <w:rsid w:val="00D833F9"/>
    <w:rsid w:val="00D92EF2"/>
    <w:rsid w:val="00D92F90"/>
    <w:rsid w:val="00D9526E"/>
    <w:rsid w:val="00D95963"/>
    <w:rsid w:val="00DA04AC"/>
    <w:rsid w:val="00DA1D34"/>
    <w:rsid w:val="00DA36F0"/>
    <w:rsid w:val="00DA3EA0"/>
    <w:rsid w:val="00DA49C3"/>
    <w:rsid w:val="00DA6AFC"/>
    <w:rsid w:val="00DC0551"/>
    <w:rsid w:val="00DD40C0"/>
    <w:rsid w:val="00DD559C"/>
    <w:rsid w:val="00DD6BCC"/>
    <w:rsid w:val="00DD7F5E"/>
    <w:rsid w:val="00DE0CDD"/>
    <w:rsid w:val="00DE0FC7"/>
    <w:rsid w:val="00DE36EA"/>
    <w:rsid w:val="00DE3C8B"/>
    <w:rsid w:val="00DE7E27"/>
    <w:rsid w:val="00DF4050"/>
    <w:rsid w:val="00DF4668"/>
    <w:rsid w:val="00E00131"/>
    <w:rsid w:val="00E00C68"/>
    <w:rsid w:val="00E05C5F"/>
    <w:rsid w:val="00E1009A"/>
    <w:rsid w:val="00E10EF6"/>
    <w:rsid w:val="00E1193A"/>
    <w:rsid w:val="00E119AB"/>
    <w:rsid w:val="00E11F70"/>
    <w:rsid w:val="00E14069"/>
    <w:rsid w:val="00E1602F"/>
    <w:rsid w:val="00E16290"/>
    <w:rsid w:val="00E16FA2"/>
    <w:rsid w:val="00E22558"/>
    <w:rsid w:val="00E23489"/>
    <w:rsid w:val="00E2371F"/>
    <w:rsid w:val="00E24974"/>
    <w:rsid w:val="00E251C6"/>
    <w:rsid w:val="00E26DB3"/>
    <w:rsid w:val="00E27496"/>
    <w:rsid w:val="00E3712D"/>
    <w:rsid w:val="00E42608"/>
    <w:rsid w:val="00E43325"/>
    <w:rsid w:val="00E463DC"/>
    <w:rsid w:val="00E5125C"/>
    <w:rsid w:val="00E52571"/>
    <w:rsid w:val="00E5596F"/>
    <w:rsid w:val="00E562AC"/>
    <w:rsid w:val="00E61384"/>
    <w:rsid w:val="00E61798"/>
    <w:rsid w:val="00E65667"/>
    <w:rsid w:val="00E667C6"/>
    <w:rsid w:val="00E66F8C"/>
    <w:rsid w:val="00E7168A"/>
    <w:rsid w:val="00E7367F"/>
    <w:rsid w:val="00E76B83"/>
    <w:rsid w:val="00E82CFC"/>
    <w:rsid w:val="00E85871"/>
    <w:rsid w:val="00E87859"/>
    <w:rsid w:val="00E94C75"/>
    <w:rsid w:val="00E95698"/>
    <w:rsid w:val="00EA0423"/>
    <w:rsid w:val="00EA3115"/>
    <w:rsid w:val="00EA599C"/>
    <w:rsid w:val="00EB004A"/>
    <w:rsid w:val="00EB3D0E"/>
    <w:rsid w:val="00EB44DF"/>
    <w:rsid w:val="00EB6565"/>
    <w:rsid w:val="00EC0744"/>
    <w:rsid w:val="00EC24A2"/>
    <w:rsid w:val="00EC70B8"/>
    <w:rsid w:val="00EC733D"/>
    <w:rsid w:val="00ED0978"/>
    <w:rsid w:val="00ED6E39"/>
    <w:rsid w:val="00EE21CF"/>
    <w:rsid w:val="00EE261C"/>
    <w:rsid w:val="00EF51B2"/>
    <w:rsid w:val="00F009AF"/>
    <w:rsid w:val="00F02C49"/>
    <w:rsid w:val="00F06DE7"/>
    <w:rsid w:val="00F119BE"/>
    <w:rsid w:val="00F14245"/>
    <w:rsid w:val="00F15663"/>
    <w:rsid w:val="00F15D5B"/>
    <w:rsid w:val="00F247FC"/>
    <w:rsid w:val="00F25A07"/>
    <w:rsid w:val="00F31583"/>
    <w:rsid w:val="00F32430"/>
    <w:rsid w:val="00F34142"/>
    <w:rsid w:val="00F34EB6"/>
    <w:rsid w:val="00F40EAE"/>
    <w:rsid w:val="00F4175D"/>
    <w:rsid w:val="00F43685"/>
    <w:rsid w:val="00F45056"/>
    <w:rsid w:val="00F50FAE"/>
    <w:rsid w:val="00F53DDD"/>
    <w:rsid w:val="00F63BA2"/>
    <w:rsid w:val="00F64C42"/>
    <w:rsid w:val="00F72535"/>
    <w:rsid w:val="00F75127"/>
    <w:rsid w:val="00F759CF"/>
    <w:rsid w:val="00F77D66"/>
    <w:rsid w:val="00F82D3C"/>
    <w:rsid w:val="00F83BDE"/>
    <w:rsid w:val="00F916D4"/>
    <w:rsid w:val="00F97931"/>
    <w:rsid w:val="00FA094F"/>
    <w:rsid w:val="00FA147E"/>
    <w:rsid w:val="00FA3A6E"/>
    <w:rsid w:val="00FA4894"/>
    <w:rsid w:val="00FA5F0C"/>
    <w:rsid w:val="00FA6495"/>
    <w:rsid w:val="00FA7F68"/>
    <w:rsid w:val="00FB1583"/>
    <w:rsid w:val="00FB3C7C"/>
    <w:rsid w:val="00FB4B7B"/>
    <w:rsid w:val="00FB6762"/>
    <w:rsid w:val="00FB6C11"/>
    <w:rsid w:val="00FC0747"/>
    <w:rsid w:val="00FC1B0E"/>
    <w:rsid w:val="00FC5C49"/>
    <w:rsid w:val="00FC7170"/>
    <w:rsid w:val="00FD2DCE"/>
    <w:rsid w:val="00FD6D63"/>
    <w:rsid w:val="00FE016E"/>
    <w:rsid w:val="00FE028C"/>
    <w:rsid w:val="00FE0B7B"/>
    <w:rsid w:val="00FE1A87"/>
    <w:rsid w:val="00FE2F2C"/>
    <w:rsid w:val="00FE4D7C"/>
    <w:rsid w:val="00FF12A2"/>
    <w:rsid w:val="00FF1504"/>
    <w:rsid w:val="00FF473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655334887798750542msolistparagraph">
    <w:name w:val="m_4655334887798750542msolistparagraph"/>
    <w:basedOn w:val="Normal"/>
    <w:rsid w:val="00784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111">
      <w:bodyDiv w:val="1"/>
      <w:marLeft w:val="0"/>
      <w:marRight w:val="0"/>
      <w:marTop w:val="0"/>
      <w:marBottom w:val="0"/>
      <w:divBdr>
        <w:top w:val="none" w:sz="0" w:space="0" w:color="auto"/>
        <w:left w:val="none" w:sz="0" w:space="0" w:color="auto"/>
        <w:bottom w:val="none" w:sz="0" w:space="0" w:color="auto"/>
        <w:right w:val="none" w:sz="0" w:space="0" w:color="auto"/>
      </w:divBdr>
      <w:divsChild>
        <w:div w:id="77219624">
          <w:marLeft w:val="0"/>
          <w:marRight w:val="0"/>
          <w:marTop w:val="0"/>
          <w:marBottom w:val="0"/>
          <w:divBdr>
            <w:top w:val="none" w:sz="0" w:space="0" w:color="auto"/>
            <w:left w:val="none" w:sz="0" w:space="0" w:color="auto"/>
            <w:bottom w:val="none" w:sz="0" w:space="0" w:color="auto"/>
            <w:right w:val="none" w:sz="0" w:space="0" w:color="auto"/>
          </w:divBdr>
        </w:div>
        <w:div w:id="1581406501">
          <w:marLeft w:val="0"/>
          <w:marRight w:val="0"/>
          <w:marTop w:val="0"/>
          <w:marBottom w:val="0"/>
          <w:divBdr>
            <w:top w:val="none" w:sz="0" w:space="0" w:color="auto"/>
            <w:left w:val="none" w:sz="0" w:space="0" w:color="auto"/>
            <w:bottom w:val="none" w:sz="0" w:space="0" w:color="auto"/>
            <w:right w:val="none" w:sz="0" w:space="0" w:color="auto"/>
          </w:divBdr>
        </w:div>
        <w:div w:id="522473017">
          <w:marLeft w:val="0"/>
          <w:marRight w:val="0"/>
          <w:marTop w:val="0"/>
          <w:marBottom w:val="0"/>
          <w:divBdr>
            <w:top w:val="none" w:sz="0" w:space="0" w:color="auto"/>
            <w:left w:val="none" w:sz="0" w:space="0" w:color="auto"/>
            <w:bottom w:val="none" w:sz="0" w:space="0" w:color="auto"/>
            <w:right w:val="none" w:sz="0" w:space="0" w:color="auto"/>
          </w:divBdr>
          <w:divsChild>
            <w:div w:id="104233380">
              <w:marLeft w:val="0"/>
              <w:marRight w:val="0"/>
              <w:marTop w:val="0"/>
              <w:marBottom w:val="0"/>
              <w:divBdr>
                <w:top w:val="none" w:sz="0" w:space="0" w:color="auto"/>
                <w:left w:val="none" w:sz="0" w:space="0" w:color="auto"/>
                <w:bottom w:val="none" w:sz="0" w:space="0" w:color="auto"/>
                <w:right w:val="none" w:sz="0" w:space="0" w:color="auto"/>
              </w:divBdr>
            </w:div>
            <w:div w:id="1069570372">
              <w:marLeft w:val="0"/>
              <w:marRight w:val="0"/>
              <w:marTop w:val="0"/>
              <w:marBottom w:val="0"/>
              <w:divBdr>
                <w:top w:val="none" w:sz="0" w:space="0" w:color="auto"/>
                <w:left w:val="none" w:sz="0" w:space="0" w:color="auto"/>
                <w:bottom w:val="none" w:sz="0" w:space="0" w:color="auto"/>
                <w:right w:val="none" w:sz="0" w:space="0" w:color="auto"/>
              </w:divBdr>
            </w:div>
            <w:div w:id="763454354">
              <w:marLeft w:val="0"/>
              <w:marRight w:val="0"/>
              <w:marTop w:val="0"/>
              <w:marBottom w:val="0"/>
              <w:divBdr>
                <w:top w:val="none" w:sz="0" w:space="0" w:color="auto"/>
                <w:left w:val="none" w:sz="0" w:space="0" w:color="auto"/>
                <w:bottom w:val="none" w:sz="0" w:space="0" w:color="auto"/>
                <w:right w:val="none" w:sz="0" w:space="0" w:color="auto"/>
              </w:divBdr>
            </w:div>
            <w:div w:id="34278951">
              <w:marLeft w:val="0"/>
              <w:marRight w:val="0"/>
              <w:marTop w:val="0"/>
              <w:marBottom w:val="0"/>
              <w:divBdr>
                <w:top w:val="none" w:sz="0" w:space="0" w:color="auto"/>
                <w:left w:val="none" w:sz="0" w:space="0" w:color="auto"/>
                <w:bottom w:val="none" w:sz="0" w:space="0" w:color="auto"/>
                <w:right w:val="none" w:sz="0" w:space="0" w:color="auto"/>
              </w:divBdr>
            </w:div>
            <w:div w:id="166404241">
              <w:marLeft w:val="0"/>
              <w:marRight w:val="0"/>
              <w:marTop w:val="0"/>
              <w:marBottom w:val="0"/>
              <w:divBdr>
                <w:top w:val="none" w:sz="0" w:space="0" w:color="auto"/>
                <w:left w:val="none" w:sz="0" w:space="0" w:color="auto"/>
                <w:bottom w:val="none" w:sz="0" w:space="0" w:color="auto"/>
                <w:right w:val="none" w:sz="0" w:space="0" w:color="auto"/>
              </w:divBdr>
            </w:div>
            <w:div w:id="1629622622">
              <w:marLeft w:val="0"/>
              <w:marRight w:val="0"/>
              <w:marTop w:val="0"/>
              <w:marBottom w:val="0"/>
              <w:divBdr>
                <w:top w:val="none" w:sz="0" w:space="0" w:color="auto"/>
                <w:left w:val="none" w:sz="0" w:space="0" w:color="auto"/>
                <w:bottom w:val="none" w:sz="0" w:space="0" w:color="auto"/>
                <w:right w:val="none" w:sz="0" w:space="0" w:color="auto"/>
              </w:divBdr>
            </w:div>
            <w:div w:id="1308169759">
              <w:marLeft w:val="0"/>
              <w:marRight w:val="0"/>
              <w:marTop w:val="0"/>
              <w:marBottom w:val="0"/>
              <w:divBdr>
                <w:top w:val="none" w:sz="0" w:space="0" w:color="auto"/>
                <w:left w:val="none" w:sz="0" w:space="0" w:color="auto"/>
                <w:bottom w:val="none" w:sz="0" w:space="0" w:color="auto"/>
                <w:right w:val="none" w:sz="0" w:space="0" w:color="auto"/>
              </w:divBdr>
            </w:div>
            <w:div w:id="990870048">
              <w:marLeft w:val="0"/>
              <w:marRight w:val="0"/>
              <w:marTop w:val="0"/>
              <w:marBottom w:val="0"/>
              <w:divBdr>
                <w:top w:val="none" w:sz="0" w:space="0" w:color="auto"/>
                <w:left w:val="none" w:sz="0" w:space="0" w:color="auto"/>
                <w:bottom w:val="none" w:sz="0" w:space="0" w:color="auto"/>
                <w:right w:val="none" w:sz="0" w:space="0" w:color="auto"/>
              </w:divBdr>
            </w:div>
            <w:div w:id="1387952487">
              <w:marLeft w:val="0"/>
              <w:marRight w:val="0"/>
              <w:marTop w:val="0"/>
              <w:marBottom w:val="0"/>
              <w:divBdr>
                <w:top w:val="none" w:sz="0" w:space="0" w:color="auto"/>
                <w:left w:val="none" w:sz="0" w:space="0" w:color="auto"/>
                <w:bottom w:val="none" w:sz="0" w:space="0" w:color="auto"/>
                <w:right w:val="none" w:sz="0" w:space="0" w:color="auto"/>
              </w:divBdr>
            </w:div>
          </w:divsChild>
        </w:div>
        <w:div w:id="5249851">
          <w:marLeft w:val="0"/>
          <w:marRight w:val="0"/>
          <w:marTop w:val="0"/>
          <w:marBottom w:val="0"/>
          <w:divBdr>
            <w:top w:val="none" w:sz="0" w:space="0" w:color="auto"/>
            <w:left w:val="none" w:sz="0" w:space="0" w:color="auto"/>
            <w:bottom w:val="none" w:sz="0" w:space="0" w:color="auto"/>
            <w:right w:val="none" w:sz="0" w:space="0" w:color="auto"/>
          </w:divBdr>
        </w:div>
        <w:div w:id="1154644949">
          <w:marLeft w:val="0"/>
          <w:marRight w:val="0"/>
          <w:marTop w:val="0"/>
          <w:marBottom w:val="0"/>
          <w:divBdr>
            <w:top w:val="none" w:sz="0" w:space="0" w:color="auto"/>
            <w:left w:val="none" w:sz="0" w:space="0" w:color="auto"/>
            <w:bottom w:val="none" w:sz="0" w:space="0" w:color="auto"/>
            <w:right w:val="none" w:sz="0" w:space="0" w:color="auto"/>
          </w:divBdr>
        </w:div>
        <w:div w:id="10137300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1870333800">
          <w:marLeft w:val="0"/>
          <w:marRight w:val="0"/>
          <w:marTop w:val="0"/>
          <w:marBottom w:val="0"/>
          <w:divBdr>
            <w:top w:val="none" w:sz="0" w:space="0" w:color="auto"/>
            <w:left w:val="none" w:sz="0" w:space="0" w:color="auto"/>
            <w:bottom w:val="none" w:sz="0" w:space="0" w:color="auto"/>
            <w:right w:val="none" w:sz="0" w:space="0" w:color="auto"/>
          </w:divBdr>
        </w:div>
      </w:divsChild>
    </w:div>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611811835">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1981185762">
      <w:bodyDiv w:val="1"/>
      <w:marLeft w:val="0"/>
      <w:marRight w:val="0"/>
      <w:marTop w:val="0"/>
      <w:marBottom w:val="0"/>
      <w:divBdr>
        <w:top w:val="none" w:sz="0" w:space="0" w:color="auto"/>
        <w:left w:val="none" w:sz="0" w:space="0" w:color="auto"/>
        <w:bottom w:val="none" w:sz="0" w:space="0" w:color="auto"/>
        <w:right w:val="none" w:sz="0" w:space="0" w:color="auto"/>
      </w:divBdr>
    </w:div>
    <w:div w:id="2031759408">
      <w:bodyDiv w:val="1"/>
      <w:marLeft w:val="0"/>
      <w:marRight w:val="0"/>
      <w:marTop w:val="0"/>
      <w:marBottom w:val="0"/>
      <w:divBdr>
        <w:top w:val="none" w:sz="0" w:space="0" w:color="auto"/>
        <w:left w:val="none" w:sz="0" w:space="0" w:color="auto"/>
        <w:bottom w:val="none" w:sz="0" w:space="0" w:color="auto"/>
        <w:right w:val="none" w:sz="0" w:space="0" w:color="auto"/>
      </w:divBdr>
      <w:divsChild>
        <w:div w:id="1701205876">
          <w:marLeft w:val="0"/>
          <w:marRight w:val="0"/>
          <w:marTop w:val="0"/>
          <w:marBottom w:val="0"/>
          <w:divBdr>
            <w:top w:val="none" w:sz="0" w:space="0" w:color="auto"/>
            <w:left w:val="none" w:sz="0" w:space="0" w:color="auto"/>
            <w:bottom w:val="none" w:sz="0" w:space="0" w:color="auto"/>
            <w:right w:val="none" w:sz="0" w:space="0" w:color="auto"/>
          </w:divBdr>
        </w:div>
        <w:div w:id="247928513">
          <w:marLeft w:val="0"/>
          <w:marRight w:val="0"/>
          <w:marTop w:val="0"/>
          <w:marBottom w:val="0"/>
          <w:divBdr>
            <w:top w:val="none" w:sz="0" w:space="0" w:color="auto"/>
            <w:left w:val="none" w:sz="0" w:space="0" w:color="auto"/>
            <w:bottom w:val="none" w:sz="0" w:space="0" w:color="auto"/>
            <w:right w:val="none" w:sz="0" w:space="0" w:color="auto"/>
          </w:divBdr>
        </w:div>
        <w:div w:id="1222790486">
          <w:marLeft w:val="0"/>
          <w:marRight w:val="0"/>
          <w:marTop w:val="0"/>
          <w:marBottom w:val="0"/>
          <w:divBdr>
            <w:top w:val="none" w:sz="0" w:space="0" w:color="auto"/>
            <w:left w:val="none" w:sz="0" w:space="0" w:color="auto"/>
            <w:bottom w:val="none" w:sz="0" w:space="0" w:color="auto"/>
            <w:right w:val="none" w:sz="0" w:space="0" w:color="auto"/>
          </w:divBdr>
          <w:divsChild>
            <w:div w:id="1920865815">
              <w:marLeft w:val="0"/>
              <w:marRight w:val="0"/>
              <w:marTop w:val="0"/>
              <w:marBottom w:val="0"/>
              <w:divBdr>
                <w:top w:val="none" w:sz="0" w:space="0" w:color="auto"/>
                <w:left w:val="none" w:sz="0" w:space="0" w:color="auto"/>
                <w:bottom w:val="none" w:sz="0" w:space="0" w:color="auto"/>
                <w:right w:val="none" w:sz="0" w:space="0" w:color="auto"/>
              </w:divBdr>
            </w:div>
            <w:div w:id="2093549655">
              <w:marLeft w:val="0"/>
              <w:marRight w:val="0"/>
              <w:marTop w:val="0"/>
              <w:marBottom w:val="0"/>
              <w:divBdr>
                <w:top w:val="none" w:sz="0" w:space="0" w:color="auto"/>
                <w:left w:val="none" w:sz="0" w:space="0" w:color="auto"/>
                <w:bottom w:val="none" w:sz="0" w:space="0" w:color="auto"/>
                <w:right w:val="none" w:sz="0" w:space="0" w:color="auto"/>
              </w:divBdr>
            </w:div>
            <w:div w:id="2058502516">
              <w:marLeft w:val="0"/>
              <w:marRight w:val="0"/>
              <w:marTop w:val="0"/>
              <w:marBottom w:val="0"/>
              <w:divBdr>
                <w:top w:val="none" w:sz="0" w:space="0" w:color="auto"/>
                <w:left w:val="none" w:sz="0" w:space="0" w:color="auto"/>
                <w:bottom w:val="none" w:sz="0" w:space="0" w:color="auto"/>
                <w:right w:val="none" w:sz="0" w:space="0" w:color="auto"/>
              </w:divBdr>
            </w:div>
            <w:div w:id="408160046">
              <w:marLeft w:val="0"/>
              <w:marRight w:val="0"/>
              <w:marTop w:val="0"/>
              <w:marBottom w:val="0"/>
              <w:divBdr>
                <w:top w:val="none" w:sz="0" w:space="0" w:color="auto"/>
                <w:left w:val="none" w:sz="0" w:space="0" w:color="auto"/>
                <w:bottom w:val="none" w:sz="0" w:space="0" w:color="auto"/>
                <w:right w:val="none" w:sz="0" w:space="0" w:color="auto"/>
              </w:divBdr>
            </w:div>
            <w:div w:id="1736126558">
              <w:marLeft w:val="0"/>
              <w:marRight w:val="0"/>
              <w:marTop w:val="0"/>
              <w:marBottom w:val="0"/>
              <w:divBdr>
                <w:top w:val="none" w:sz="0" w:space="0" w:color="auto"/>
                <w:left w:val="none" w:sz="0" w:space="0" w:color="auto"/>
                <w:bottom w:val="none" w:sz="0" w:space="0" w:color="auto"/>
                <w:right w:val="none" w:sz="0" w:space="0" w:color="auto"/>
              </w:divBdr>
            </w:div>
            <w:div w:id="794832852">
              <w:marLeft w:val="0"/>
              <w:marRight w:val="0"/>
              <w:marTop w:val="0"/>
              <w:marBottom w:val="0"/>
              <w:divBdr>
                <w:top w:val="none" w:sz="0" w:space="0" w:color="auto"/>
                <w:left w:val="none" w:sz="0" w:space="0" w:color="auto"/>
                <w:bottom w:val="none" w:sz="0" w:space="0" w:color="auto"/>
                <w:right w:val="none" w:sz="0" w:space="0" w:color="auto"/>
              </w:divBdr>
            </w:div>
            <w:div w:id="1663703769">
              <w:marLeft w:val="0"/>
              <w:marRight w:val="0"/>
              <w:marTop w:val="0"/>
              <w:marBottom w:val="0"/>
              <w:divBdr>
                <w:top w:val="none" w:sz="0" w:space="0" w:color="auto"/>
                <w:left w:val="none" w:sz="0" w:space="0" w:color="auto"/>
                <w:bottom w:val="none" w:sz="0" w:space="0" w:color="auto"/>
                <w:right w:val="none" w:sz="0" w:space="0" w:color="auto"/>
              </w:divBdr>
            </w:div>
            <w:div w:id="377972046">
              <w:marLeft w:val="0"/>
              <w:marRight w:val="0"/>
              <w:marTop w:val="0"/>
              <w:marBottom w:val="0"/>
              <w:divBdr>
                <w:top w:val="none" w:sz="0" w:space="0" w:color="auto"/>
                <w:left w:val="none" w:sz="0" w:space="0" w:color="auto"/>
                <w:bottom w:val="none" w:sz="0" w:space="0" w:color="auto"/>
                <w:right w:val="none" w:sz="0" w:space="0" w:color="auto"/>
              </w:divBdr>
            </w:div>
            <w:div w:id="23099589">
              <w:marLeft w:val="0"/>
              <w:marRight w:val="0"/>
              <w:marTop w:val="0"/>
              <w:marBottom w:val="0"/>
              <w:divBdr>
                <w:top w:val="none" w:sz="0" w:space="0" w:color="auto"/>
                <w:left w:val="none" w:sz="0" w:space="0" w:color="auto"/>
                <w:bottom w:val="none" w:sz="0" w:space="0" w:color="auto"/>
                <w:right w:val="none" w:sz="0" w:space="0" w:color="auto"/>
              </w:divBdr>
            </w:div>
          </w:divsChild>
        </w:div>
        <w:div w:id="1760566874">
          <w:marLeft w:val="0"/>
          <w:marRight w:val="0"/>
          <w:marTop w:val="0"/>
          <w:marBottom w:val="0"/>
          <w:divBdr>
            <w:top w:val="none" w:sz="0" w:space="0" w:color="auto"/>
            <w:left w:val="none" w:sz="0" w:space="0" w:color="auto"/>
            <w:bottom w:val="none" w:sz="0" w:space="0" w:color="auto"/>
            <w:right w:val="none" w:sz="0" w:space="0" w:color="auto"/>
          </w:divBdr>
        </w:div>
        <w:div w:id="1759671743">
          <w:marLeft w:val="0"/>
          <w:marRight w:val="0"/>
          <w:marTop w:val="0"/>
          <w:marBottom w:val="0"/>
          <w:divBdr>
            <w:top w:val="none" w:sz="0" w:space="0" w:color="auto"/>
            <w:left w:val="none" w:sz="0" w:space="0" w:color="auto"/>
            <w:bottom w:val="none" w:sz="0" w:space="0" w:color="auto"/>
            <w:right w:val="none" w:sz="0" w:space="0" w:color="auto"/>
          </w:divBdr>
        </w:div>
        <w:div w:id="1262683391">
          <w:marLeft w:val="0"/>
          <w:marRight w:val="0"/>
          <w:marTop w:val="0"/>
          <w:marBottom w:val="0"/>
          <w:divBdr>
            <w:top w:val="none" w:sz="0" w:space="0" w:color="auto"/>
            <w:left w:val="none" w:sz="0" w:space="0" w:color="auto"/>
            <w:bottom w:val="none" w:sz="0" w:space="0" w:color="auto"/>
            <w:right w:val="none" w:sz="0" w:space="0" w:color="auto"/>
          </w:divBdr>
        </w:div>
        <w:div w:id="856312496">
          <w:marLeft w:val="0"/>
          <w:marRight w:val="0"/>
          <w:marTop w:val="0"/>
          <w:marBottom w:val="0"/>
          <w:divBdr>
            <w:top w:val="none" w:sz="0" w:space="0" w:color="auto"/>
            <w:left w:val="none" w:sz="0" w:space="0" w:color="auto"/>
            <w:bottom w:val="none" w:sz="0" w:space="0" w:color="auto"/>
            <w:right w:val="none" w:sz="0" w:space="0" w:color="auto"/>
          </w:divBdr>
        </w:div>
        <w:div w:id="1427924385">
          <w:marLeft w:val="0"/>
          <w:marRight w:val="0"/>
          <w:marTop w:val="0"/>
          <w:marBottom w:val="0"/>
          <w:divBdr>
            <w:top w:val="none" w:sz="0" w:space="0" w:color="auto"/>
            <w:left w:val="none" w:sz="0" w:space="0" w:color="auto"/>
            <w:bottom w:val="none" w:sz="0" w:space="0" w:color="auto"/>
            <w:right w:val="none" w:sz="0" w:space="0" w:color="auto"/>
          </w:divBdr>
        </w:div>
      </w:divsChild>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c.report/Document/0001140361-07-012753/"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arc.eaa-online.org/event/caaa-annual-conference-2021-call-papers" TargetMode="External"/><Relationship Id="rId20" Type="http://schemas.openxmlformats.org/officeDocument/2006/relationships/hyperlink" Target="http://www.sca.isr.umich.edu/tab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report/Document/0001047469-99-029828/"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hobergphillips.tuck.dartmouth.edu/industryconcen.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c.gov/rules/final/33-8400.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07B9-5E77-48C0-9AF9-7CAE6951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83557</TotalTime>
  <Pages>18</Pages>
  <Words>6367</Words>
  <Characters>36294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342</cp:revision>
  <dcterms:created xsi:type="dcterms:W3CDTF">2019-11-11T19:00:00Z</dcterms:created>
  <dcterms:modified xsi:type="dcterms:W3CDTF">2021-01-10T22:15:00Z</dcterms:modified>
</cp:coreProperties>
</file>