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w:t>
      </w:r>
      <w:proofErr w:type="gramEnd"/>
      <w:r>
        <w:t xml:space="preser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w:t>
      </w:r>
      <w:proofErr w:type="gramStart"/>
      <w:r w:rsidR="00AC1C6E">
        <w:t xml:space="preserve">in order </w:t>
      </w:r>
      <w:r w:rsidR="00B36AC3">
        <w:t>to</w:t>
      </w:r>
      <w:proofErr w:type="gramEnd"/>
      <w:r w:rsidR="00B36AC3">
        <w:t xml:space="preserve">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w:t>
      </w:r>
      <w:proofErr w:type="gramStart"/>
      <w:r>
        <w:rPr>
          <w:b/>
          <w:bCs/>
        </w:rPr>
        <w:t>allowed,</w:t>
      </w:r>
      <w:proofErr w:type="gramEnd"/>
      <w:r>
        <w:rPr>
          <w:b/>
          <w:bCs/>
        </w:rPr>
        <w:t xml:space="preserve">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A2545D"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A2545D"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w:t>
      </w:r>
      <w:proofErr w:type="gramStart"/>
      <w:r w:rsidRPr="00A3571A">
        <w:rPr>
          <w:rFonts w:ascii="Arial" w:eastAsia="Times New Roman" w:hAnsi="Arial" w:cs="Arial"/>
          <w:color w:val="222222"/>
          <w:sz w:val="24"/>
          <w:szCs w:val="24"/>
        </w:rPr>
        <w:t>, in itself, an</w:t>
      </w:r>
      <w:proofErr w:type="gramEnd"/>
      <w:r w:rsidRPr="00A3571A">
        <w:rPr>
          <w:rFonts w:ascii="Arial" w:eastAsia="Times New Roman" w:hAnsi="Arial" w:cs="Arial"/>
          <w:color w:val="222222"/>
          <w:sz w:val="24"/>
          <w:szCs w:val="24"/>
        </w:rPr>
        <w:t xml:space="preserve">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 xml:space="preserve">Does managers know the good/bad </w:t>
      </w:r>
      <w:proofErr w:type="gramStart"/>
      <w:r>
        <w:t>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cross sectional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xml:space="preserve">: the former </w:t>
      </w:r>
      <w:proofErr w:type="gramStart"/>
      <w:r w:rsidR="003017ED">
        <w:t>are</w:t>
      </w:r>
      <w:proofErr w:type="gramEnd"/>
      <w:r w:rsidR="003017ED">
        <w:t xml:space="preserv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 xml:space="preserve">Proprietary costs: </w:t>
      </w:r>
      <w:proofErr w:type="spellStart"/>
      <w:r w:rsidRPr="007A2C35">
        <w:rPr>
          <w:highlight w:val="darkCyan"/>
        </w:rPr>
        <w:t>herfindahl</w:t>
      </w:r>
      <w:proofErr w:type="spellEnd"/>
      <w:r w:rsidRPr="007A2C35">
        <w:rPr>
          <w:highlight w:val="darkCyan"/>
        </w:rPr>
        <w:t xml:space="preserve">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 xml:space="preserve">Separate accelerated filers </w:t>
      </w:r>
      <w:proofErr w:type="spellStart"/>
      <w:r w:rsidRPr="007A2C35">
        <w:rPr>
          <w:highlight w:val="darkGray"/>
        </w:rPr>
        <w:t>v.s</w:t>
      </w:r>
      <w:proofErr w:type="spellEnd"/>
      <w:r w:rsidRPr="007A2C35">
        <w:rPr>
          <w:highlight w:val="darkGray"/>
        </w:rPr>
        <w:t>.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 xml:space="preserve">Asymmetric </w:t>
      </w:r>
      <w:proofErr w:type="gramStart"/>
      <w:r w:rsidRPr="00C818DD">
        <w:t>persistence</w:t>
      </w:r>
      <w:r w:rsidR="0044480E" w:rsidRPr="00C818DD">
        <w:rPr>
          <w:rFonts w:hint="eastAsia"/>
        </w:rPr>
        <w:t>,</w:t>
      </w:r>
      <w:r w:rsidR="0044480E" w:rsidRPr="00C818DD">
        <w:t xml:space="preserve"> </w:t>
      </w:r>
      <w:r w:rsidR="008A16E8" w:rsidRPr="00C818DD">
        <w:t>if</w:t>
      </w:r>
      <w:proofErr w:type="gramEnd"/>
      <w:r w:rsidR="008A16E8" w:rsidRPr="00C818DD">
        <w:t xml:space="preserve">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Default="00E95698" w:rsidP="00E76B83">
      <w:pPr>
        <w:rPr>
          <w:highlight w:val="cyan"/>
        </w:rPr>
      </w:pPr>
      <w:r>
        <w:rPr>
          <w:highlight w:val="cyan"/>
        </w:rPr>
        <w:t>New results:</w:t>
      </w:r>
    </w:p>
    <w:p w14:paraId="1C5C290B" w14:textId="2F404296" w:rsidR="00E95698" w:rsidRPr="002C1F9E" w:rsidRDefault="00E95698" w:rsidP="00E95698">
      <w:pPr>
        <w:pStyle w:val="ListParagraph"/>
        <w:numPr>
          <w:ilvl w:val="0"/>
          <w:numId w:val="42"/>
        </w:numPr>
      </w:pPr>
      <w:r w:rsidRPr="00E95698">
        <w:t xml:space="preserve">Updated IBES data, so now 10-Q observations increased but the main results regarding TLAG become </w:t>
      </w:r>
      <w:r w:rsidRPr="002C1F9E">
        <w:t>significantly negative</w:t>
      </w:r>
      <w:r w:rsidR="00B06DB5" w:rsidRPr="002C1F9E">
        <w:t xml:space="preserve"> </w:t>
      </w:r>
      <w:r w:rsidR="00B06DB5" w:rsidRPr="002C1F9E">
        <w:rPr>
          <w:b/>
          <w:bCs/>
        </w:rPr>
        <w:t>T3PA</w:t>
      </w:r>
    </w:p>
    <w:p w14:paraId="318B2A1F" w14:textId="24387A14" w:rsidR="00E95698" w:rsidRPr="002C1F9E" w:rsidRDefault="00E95698" w:rsidP="00E95698">
      <w:pPr>
        <w:pStyle w:val="ListParagraph"/>
        <w:numPr>
          <w:ilvl w:val="0"/>
          <w:numId w:val="42"/>
        </w:numPr>
      </w:pPr>
      <w:r w:rsidRPr="002C1F9E">
        <w:t xml:space="preserve">Asymmetric persistence: interpretation? </w:t>
      </w:r>
      <w:r w:rsidR="002659FD">
        <w:rPr>
          <w:b/>
          <w:bCs/>
        </w:rPr>
        <w:t>UT-6</w:t>
      </w:r>
    </w:p>
    <w:p w14:paraId="74B06FBF" w14:textId="746A8748"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 xml:space="preserve">What is the role of corporate governance/directors in narrative conservatism? </w:t>
      </w:r>
      <w:r w:rsidR="00A67C5D">
        <w:rPr>
          <w:rFonts w:ascii="Calibri" w:hAnsi="Calibri" w:cs="Calibri"/>
          <w:color w:val="222222"/>
          <w:sz w:val="22"/>
          <w:szCs w:val="22"/>
        </w:rPr>
        <w:t xml:space="preserve"> </w:t>
      </w:r>
      <w:r w:rsidR="00A67C5D" w:rsidRPr="00182F33">
        <w:rPr>
          <w:rFonts w:ascii="Calibri" w:hAnsi="Calibri" w:cs="Calibri"/>
          <w:b/>
          <w:bCs/>
          <w:color w:val="222222"/>
          <w:sz w:val="22"/>
          <w:szCs w:val="22"/>
        </w:rPr>
        <w:t>T8</w:t>
      </w:r>
    </w:p>
    <w:p w14:paraId="2FBBD72B" w14:textId="3A8E5E75" w:rsidR="00E95698" w:rsidRPr="00172E8A"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proofErr w:type="spellStart"/>
      <w:r w:rsidRPr="00172E8A">
        <w:rPr>
          <w:rFonts w:ascii="Calibri" w:hAnsi="Calibri" w:cs="Calibri"/>
          <w:b/>
          <w:bCs/>
          <w:color w:val="222222"/>
          <w:sz w:val="22"/>
          <w:szCs w:val="22"/>
        </w:rPr>
        <w:t>BroadEx</w:t>
      </w:r>
      <w:proofErr w:type="spellEnd"/>
      <w:r w:rsidRPr="00172E8A">
        <w:rPr>
          <w:rFonts w:ascii="Calibri" w:hAnsi="Calibri" w:cs="Calibri"/>
          <w:b/>
          <w:bCs/>
          <w:color w:val="222222"/>
          <w:sz w:val="22"/>
          <w:szCs w:val="22"/>
        </w:rPr>
        <w:t xml:space="preserve"> we do not have, </w:t>
      </w:r>
      <w:r w:rsidR="001B40D8" w:rsidRPr="00172E8A">
        <w:rPr>
          <w:rFonts w:ascii="Calibri" w:hAnsi="Calibri" w:cs="Calibri"/>
          <w:b/>
          <w:bCs/>
          <w:color w:val="222222"/>
          <w:sz w:val="22"/>
          <w:szCs w:val="22"/>
        </w:rPr>
        <w:t>and G-index we do not have. B</w:t>
      </w:r>
      <w:r w:rsidRPr="00172E8A">
        <w:rPr>
          <w:rFonts w:ascii="Calibri" w:hAnsi="Calibri" w:cs="Calibri"/>
          <w:b/>
          <w:bCs/>
          <w:color w:val="222222"/>
          <w:sz w:val="22"/>
          <w:szCs w:val="22"/>
        </w:rPr>
        <w:t xml:space="preserve">ut we can do institutional ownership TR13F. Given that high institutional ownership proxy for good governance. </w:t>
      </w:r>
    </w:p>
    <w:p w14:paraId="345CB500" w14:textId="77777777" w:rsidR="00E95698" w:rsidRPr="001011AD"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color w:val="222222"/>
          <w:sz w:val="22"/>
          <w:szCs w:val="22"/>
          <w:highlight w:val="yellow"/>
        </w:rPr>
        <w:t xml:space="preserve">What if instead of 3 times average daily return to define NEG in model (2) we use other benchmarks? </w:t>
      </w:r>
    </w:p>
    <w:p w14:paraId="63988E19" w14:textId="77777777" w:rsidR="00E95698" w:rsidRPr="001011AD"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b/>
          <w:bCs/>
          <w:color w:val="222222"/>
          <w:sz w:val="22"/>
          <w:szCs w:val="22"/>
          <w:highlight w:val="yellow"/>
        </w:rPr>
        <w:t>2 and 4</w:t>
      </w:r>
    </w:p>
    <w:p w14:paraId="25BE6D4F" w14:textId="63B8335A" w:rsidR="00E95698"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color w:val="222222"/>
          <w:sz w:val="22"/>
          <w:szCs w:val="22"/>
          <w:highlight w:val="yellow"/>
        </w:rPr>
        <w:t xml:space="preserve">What if we focus on 8-Ks with only 1 item (those with more could </w:t>
      </w:r>
      <w:proofErr w:type="gramStart"/>
      <w:r w:rsidRPr="001011AD">
        <w:rPr>
          <w:rFonts w:ascii="Calibri" w:hAnsi="Calibri" w:cs="Calibri"/>
          <w:color w:val="222222"/>
          <w:sz w:val="22"/>
          <w:szCs w:val="22"/>
          <w:highlight w:val="yellow"/>
        </w:rPr>
        <w:t>be obfuscation)</w:t>
      </w:r>
      <w:proofErr w:type="gramEnd"/>
    </w:p>
    <w:p w14:paraId="2C970014" w14:textId="0A1EB040" w:rsidR="00DE3C8B"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Pr>
          <w:rFonts w:ascii="Calibri" w:hAnsi="Calibri" w:cs="Calibri"/>
          <w:color w:val="222222"/>
          <w:sz w:val="22"/>
          <w:szCs w:val="22"/>
          <w:highlight w:val="yellow"/>
        </w:rPr>
        <w:t>First, most 8-Ks contain more than 1 item, because it’s very common to attach exhibits in 8-K filings (and therefore having the “financial statements and exhibits” item within the filing</w:t>
      </w:r>
      <w:r>
        <w:rPr>
          <w:rFonts w:ascii="宋体" w:eastAsia="宋体" w:hAnsi="宋体" w:cs="宋体"/>
          <w:color w:val="222222"/>
          <w:sz w:val="22"/>
          <w:szCs w:val="22"/>
          <w:highlight w:val="yellow"/>
        </w:rPr>
        <w:t xml:space="preserve">) </w:t>
      </w:r>
      <w:r>
        <w:rPr>
          <w:rFonts w:ascii="Calibri" w:hAnsi="Calibri" w:cs="Calibri"/>
          <w:color w:val="222222"/>
          <w:sz w:val="22"/>
          <w:szCs w:val="22"/>
          <w:highlight w:val="yellow"/>
        </w:rPr>
        <w:t xml:space="preserve">that provide detailed information about the economic events, including press release, material agreement contracts etc. </w:t>
      </w:r>
      <w:proofErr w:type="gramStart"/>
      <w:r>
        <w:rPr>
          <w:rFonts w:ascii="Calibri" w:hAnsi="Calibri" w:cs="Calibri"/>
          <w:color w:val="222222"/>
          <w:sz w:val="22"/>
          <w:szCs w:val="22"/>
          <w:highlight w:val="yellow"/>
        </w:rPr>
        <w:t>So</w:t>
      </w:r>
      <w:proofErr w:type="gramEnd"/>
      <w:r>
        <w:rPr>
          <w:rFonts w:ascii="Calibri" w:hAnsi="Calibri" w:cs="Calibri"/>
          <w:color w:val="222222"/>
          <w:sz w:val="22"/>
          <w:szCs w:val="22"/>
          <w:highlight w:val="yellow"/>
        </w:rPr>
        <w:t xml:space="preserve"> one 8-K filing can have more than one items even if it is actually about only one economic event. </w:t>
      </w:r>
    </w:p>
    <w:p w14:paraId="565C424B" w14:textId="77777777" w:rsidR="00D833F9" w:rsidRPr="001011AD" w:rsidRDefault="00D833F9"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p>
    <w:p w14:paraId="02B082AC" w14:textId="77777777" w:rsidR="001011AD" w:rsidRPr="001011AD" w:rsidRDefault="001011AD" w:rsidP="001011AD">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color w:val="222222"/>
          <w:sz w:val="22"/>
          <w:szCs w:val="22"/>
          <w:highlight w:val="yellow"/>
        </w:rPr>
        <w:t xml:space="preserve">Why don’t we use 10-K? </w:t>
      </w:r>
    </w:p>
    <w:p w14:paraId="4891B529" w14:textId="77777777" w:rsidR="001011AD" w:rsidRPr="001011AD" w:rsidRDefault="001011AD" w:rsidP="001011AD">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b/>
          <w:bCs/>
          <w:color w:val="222222"/>
          <w:sz w:val="22"/>
          <w:szCs w:val="22"/>
          <w:highlight w:val="yellow"/>
        </w:rPr>
        <w:t>Should we check 10-K? We have Bog for 10-K anyway.</w:t>
      </w:r>
    </w:p>
    <w:p w14:paraId="18DFB3FA" w14:textId="77777777" w:rsidR="001011AD" w:rsidRPr="001011AD" w:rsidRDefault="001011AD" w:rsidP="001011AD">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color w:val="222222"/>
          <w:sz w:val="22"/>
          <w:szCs w:val="22"/>
          <w:highlight w:val="yellow"/>
        </w:rPr>
        <w:t xml:space="preserve">What proxy for readability </w:t>
      </w:r>
      <w:proofErr w:type="gramStart"/>
      <w:r w:rsidRPr="001011AD">
        <w:rPr>
          <w:rFonts w:ascii="Calibri" w:hAnsi="Calibri" w:cs="Calibri"/>
          <w:color w:val="222222"/>
          <w:sz w:val="22"/>
          <w:szCs w:val="22"/>
          <w:highlight w:val="yellow"/>
        </w:rPr>
        <w:t>are</w:t>
      </w:r>
      <w:proofErr w:type="gramEnd"/>
      <w:r w:rsidRPr="001011AD">
        <w:rPr>
          <w:rFonts w:ascii="Calibri" w:hAnsi="Calibri" w:cs="Calibri"/>
          <w:color w:val="222222"/>
          <w:sz w:val="22"/>
          <w:szCs w:val="22"/>
          <w:highlight w:val="yellow"/>
        </w:rPr>
        <w:t xml:space="preserve"> we using and is this the most advanced/comprehensive one?</w:t>
      </w:r>
    </w:p>
    <w:p w14:paraId="422E3B94" w14:textId="7BBB4E51" w:rsidR="001011AD" w:rsidRPr="001011AD" w:rsidRDefault="001011AD" w:rsidP="001011AD">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highlight w:val="yellow"/>
        </w:rPr>
      </w:pPr>
      <w:r w:rsidRPr="001011AD">
        <w:rPr>
          <w:rFonts w:ascii="Calibri" w:hAnsi="Calibri" w:cs="Calibri"/>
          <w:color w:val="222222"/>
          <w:sz w:val="22"/>
          <w:szCs w:val="22"/>
          <w:highlight w:val="yellow"/>
        </w:rPr>
        <w:t xml:space="preserve">Bog index </w:t>
      </w:r>
    </w:p>
    <w:p w14:paraId="29CD919D" w14:textId="77777777" w:rsidR="00067F0B" w:rsidRDefault="00067F0B" w:rsidP="00067F0B">
      <w:pPr>
        <w:rPr>
          <w:b/>
          <w:bCs/>
        </w:rPr>
      </w:pPr>
      <w:r w:rsidRPr="00067F0B">
        <w:rPr>
          <w:b/>
          <w:bCs/>
        </w:rPr>
        <w:t>Other issues: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0956D9">
        <w:rPr>
          <w:rFonts w:ascii="Calibri" w:hAnsi="Calibri" w:cs="Calibri"/>
          <w:color w:val="222222"/>
          <w:sz w:val="22"/>
          <w:szCs w:val="22"/>
        </w:rPr>
        <w:t>How does our definition of narrative conservatism map back to the notion of prudence in conceptual frameworks?</w:t>
      </w:r>
    </w:p>
    <w:p w14:paraId="655F58B2"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p>
    <w:p w14:paraId="3BE510EE"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Are these narratives financial or non-financial information?</w:t>
      </w:r>
    </w:p>
    <w:p w14:paraId="389F9E62" w14:textId="46C9844B" w:rsidR="00784653" w:rsidRP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role </w:t>
      </w:r>
      <w:r w:rsidRPr="00E95698">
        <w:rPr>
          <w:rFonts w:ascii="Calibri" w:hAnsi="Calibri" w:cs="Calibri"/>
          <w:b/>
          <w:bCs/>
          <w:color w:val="222222"/>
          <w:sz w:val="22"/>
          <w:szCs w:val="22"/>
        </w:rPr>
        <w:t>Integrated reporting/CSR disclosure</w:t>
      </w:r>
      <w:r w:rsidRPr="00E95698">
        <w:rPr>
          <w:rFonts w:ascii="Calibri" w:hAnsi="Calibri" w:cs="Calibri"/>
          <w:color w:val="222222"/>
          <w:sz w:val="22"/>
          <w:szCs w:val="22"/>
        </w:rPr>
        <w:t>?</w:t>
      </w:r>
    </w:p>
    <w:p w14:paraId="792BEA06" w14:textId="77777777" w:rsidR="00E95698" w:rsidRDefault="00E95698" w:rsidP="00784653">
      <w:pPr>
        <w:pStyle w:val="m4655334887798750542msolistparagraph"/>
        <w:shd w:val="clear" w:color="auto" w:fill="FFFFFF"/>
        <w:spacing w:before="0" w:beforeAutospacing="0" w:after="0" w:afterAutospacing="0"/>
        <w:ind w:left="720"/>
        <w:rPr>
          <w:rFonts w:ascii="Calibri" w:hAnsi="Calibri" w:cs="Calibri"/>
          <w:color w:val="222222"/>
          <w:sz w:val="22"/>
          <w:szCs w:val="22"/>
        </w:rPr>
      </w:pPr>
    </w:p>
    <w:p w14:paraId="2C8FB2AC" w14:textId="77777777" w:rsidR="000B3869" w:rsidRPr="00C12A61" w:rsidRDefault="000B3869" w:rsidP="00E76B83"/>
    <w:sectPr w:rsidR="000B3869"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64439" w14:textId="77777777" w:rsidR="00A2545D" w:rsidRDefault="00A2545D" w:rsidP="00012262">
      <w:pPr>
        <w:spacing w:after="0" w:line="240" w:lineRule="auto"/>
      </w:pPr>
      <w:r>
        <w:separator/>
      </w:r>
    </w:p>
  </w:endnote>
  <w:endnote w:type="continuationSeparator" w:id="0">
    <w:p w14:paraId="0CBD666B" w14:textId="77777777" w:rsidR="00A2545D" w:rsidRDefault="00A2545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A64F0" w14:textId="77777777" w:rsidR="00A2545D" w:rsidRDefault="00A2545D" w:rsidP="00012262">
      <w:pPr>
        <w:spacing w:after="0" w:line="240" w:lineRule="auto"/>
      </w:pPr>
      <w:r>
        <w:separator/>
      </w:r>
    </w:p>
  </w:footnote>
  <w:footnote w:type="continuationSeparator" w:id="0">
    <w:p w14:paraId="39C394A6" w14:textId="77777777" w:rsidR="00A2545D" w:rsidRDefault="00A2545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12"/>
  </w:num>
  <w:num w:numId="4">
    <w:abstractNumId w:val="21"/>
  </w:num>
  <w:num w:numId="5">
    <w:abstractNumId w:val="23"/>
  </w:num>
  <w:num w:numId="6">
    <w:abstractNumId w:val="19"/>
  </w:num>
  <w:num w:numId="7">
    <w:abstractNumId w:val="38"/>
  </w:num>
  <w:num w:numId="8">
    <w:abstractNumId w:val="3"/>
  </w:num>
  <w:num w:numId="9">
    <w:abstractNumId w:val="20"/>
  </w:num>
  <w:num w:numId="10">
    <w:abstractNumId w:val="33"/>
  </w:num>
  <w:num w:numId="11">
    <w:abstractNumId w:val="37"/>
  </w:num>
  <w:num w:numId="12">
    <w:abstractNumId w:val="11"/>
  </w:num>
  <w:num w:numId="13">
    <w:abstractNumId w:val="2"/>
  </w:num>
  <w:num w:numId="14">
    <w:abstractNumId w:val="32"/>
  </w:num>
  <w:num w:numId="15">
    <w:abstractNumId w:val="15"/>
  </w:num>
  <w:num w:numId="16">
    <w:abstractNumId w:val="26"/>
  </w:num>
  <w:num w:numId="17">
    <w:abstractNumId w:val="0"/>
  </w:num>
  <w:num w:numId="18">
    <w:abstractNumId w:val="16"/>
  </w:num>
  <w:num w:numId="19">
    <w:abstractNumId w:val="6"/>
  </w:num>
  <w:num w:numId="20">
    <w:abstractNumId w:val="24"/>
  </w:num>
  <w:num w:numId="21">
    <w:abstractNumId w:val="8"/>
  </w:num>
  <w:num w:numId="22">
    <w:abstractNumId w:val="7"/>
  </w:num>
  <w:num w:numId="23">
    <w:abstractNumId w:val="41"/>
  </w:num>
  <w:num w:numId="24">
    <w:abstractNumId w:val="9"/>
  </w:num>
  <w:num w:numId="25">
    <w:abstractNumId w:val="29"/>
  </w:num>
  <w:num w:numId="26">
    <w:abstractNumId w:val="13"/>
  </w:num>
  <w:num w:numId="27">
    <w:abstractNumId w:val="39"/>
  </w:num>
  <w:num w:numId="28">
    <w:abstractNumId w:val="5"/>
  </w:num>
  <w:num w:numId="29">
    <w:abstractNumId w:val="25"/>
  </w:num>
  <w:num w:numId="30">
    <w:abstractNumId w:val="31"/>
  </w:num>
  <w:num w:numId="31">
    <w:abstractNumId w:val="14"/>
  </w:num>
  <w:num w:numId="32">
    <w:abstractNumId w:val="27"/>
  </w:num>
  <w:num w:numId="33">
    <w:abstractNumId w:val="34"/>
  </w:num>
  <w:num w:numId="34">
    <w:abstractNumId w:val="10"/>
  </w:num>
  <w:num w:numId="35">
    <w:abstractNumId w:val="1"/>
  </w:num>
  <w:num w:numId="36">
    <w:abstractNumId w:val="17"/>
  </w:num>
  <w:num w:numId="37">
    <w:abstractNumId w:val="40"/>
  </w:num>
  <w:num w:numId="38">
    <w:abstractNumId w:val="28"/>
  </w:num>
  <w:num w:numId="39">
    <w:abstractNumId w:val="30"/>
  </w:num>
  <w:num w:numId="40">
    <w:abstractNumId w:val="4"/>
  </w:num>
  <w:num w:numId="41">
    <w:abstractNumId w:val="3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4793C"/>
    <w:rsid w:val="00050A07"/>
    <w:rsid w:val="0005440D"/>
    <w:rsid w:val="00067F0B"/>
    <w:rsid w:val="0007251D"/>
    <w:rsid w:val="000726BF"/>
    <w:rsid w:val="0007633F"/>
    <w:rsid w:val="00076EC8"/>
    <w:rsid w:val="000815E3"/>
    <w:rsid w:val="00081F2B"/>
    <w:rsid w:val="00084E53"/>
    <w:rsid w:val="00086138"/>
    <w:rsid w:val="000946D1"/>
    <w:rsid w:val="000956D9"/>
    <w:rsid w:val="0009795B"/>
    <w:rsid w:val="000A5150"/>
    <w:rsid w:val="000A7C18"/>
    <w:rsid w:val="000B3869"/>
    <w:rsid w:val="000B4918"/>
    <w:rsid w:val="000C395D"/>
    <w:rsid w:val="000C6D4F"/>
    <w:rsid w:val="000C765D"/>
    <w:rsid w:val="000D043F"/>
    <w:rsid w:val="000D3237"/>
    <w:rsid w:val="000D495B"/>
    <w:rsid w:val="000D5E5D"/>
    <w:rsid w:val="000E00BE"/>
    <w:rsid w:val="00100E3D"/>
    <w:rsid w:val="001011A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72E8A"/>
    <w:rsid w:val="00182F33"/>
    <w:rsid w:val="0018402A"/>
    <w:rsid w:val="001853A1"/>
    <w:rsid w:val="00186157"/>
    <w:rsid w:val="0018618C"/>
    <w:rsid w:val="001868DE"/>
    <w:rsid w:val="00186932"/>
    <w:rsid w:val="0019106A"/>
    <w:rsid w:val="00194D91"/>
    <w:rsid w:val="001952C2"/>
    <w:rsid w:val="0019648A"/>
    <w:rsid w:val="001A1A09"/>
    <w:rsid w:val="001A1BDC"/>
    <w:rsid w:val="001A6ADC"/>
    <w:rsid w:val="001B3319"/>
    <w:rsid w:val="001B40D8"/>
    <w:rsid w:val="001B5C67"/>
    <w:rsid w:val="001B5DAA"/>
    <w:rsid w:val="001C0246"/>
    <w:rsid w:val="001E1E93"/>
    <w:rsid w:val="001E4785"/>
    <w:rsid w:val="001F20D7"/>
    <w:rsid w:val="001F37E1"/>
    <w:rsid w:val="001F4F59"/>
    <w:rsid w:val="001F7FFB"/>
    <w:rsid w:val="002048E1"/>
    <w:rsid w:val="00206627"/>
    <w:rsid w:val="00226308"/>
    <w:rsid w:val="00231083"/>
    <w:rsid w:val="00240179"/>
    <w:rsid w:val="002424BE"/>
    <w:rsid w:val="00242937"/>
    <w:rsid w:val="002429B0"/>
    <w:rsid w:val="00242B91"/>
    <w:rsid w:val="00244226"/>
    <w:rsid w:val="0024583D"/>
    <w:rsid w:val="00246F4F"/>
    <w:rsid w:val="00247E70"/>
    <w:rsid w:val="00255765"/>
    <w:rsid w:val="00256CB6"/>
    <w:rsid w:val="0025746E"/>
    <w:rsid w:val="00257CCD"/>
    <w:rsid w:val="00261D00"/>
    <w:rsid w:val="002659FD"/>
    <w:rsid w:val="002728AA"/>
    <w:rsid w:val="00274085"/>
    <w:rsid w:val="002809DF"/>
    <w:rsid w:val="00283908"/>
    <w:rsid w:val="002860B0"/>
    <w:rsid w:val="00290922"/>
    <w:rsid w:val="00292631"/>
    <w:rsid w:val="002A1069"/>
    <w:rsid w:val="002A2E1D"/>
    <w:rsid w:val="002A3F45"/>
    <w:rsid w:val="002A62C9"/>
    <w:rsid w:val="002A7A94"/>
    <w:rsid w:val="002A7DD6"/>
    <w:rsid w:val="002B15A7"/>
    <w:rsid w:val="002B69A2"/>
    <w:rsid w:val="002C1F9E"/>
    <w:rsid w:val="002C3E98"/>
    <w:rsid w:val="002C5FF1"/>
    <w:rsid w:val="002C67BB"/>
    <w:rsid w:val="002C751A"/>
    <w:rsid w:val="002E4EB7"/>
    <w:rsid w:val="002E5594"/>
    <w:rsid w:val="002E6824"/>
    <w:rsid w:val="002F3A66"/>
    <w:rsid w:val="002F4056"/>
    <w:rsid w:val="002F5050"/>
    <w:rsid w:val="002F517A"/>
    <w:rsid w:val="003017ED"/>
    <w:rsid w:val="003025C8"/>
    <w:rsid w:val="00303E14"/>
    <w:rsid w:val="00304792"/>
    <w:rsid w:val="003073A6"/>
    <w:rsid w:val="003079AC"/>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D19"/>
    <w:rsid w:val="00353574"/>
    <w:rsid w:val="00362024"/>
    <w:rsid w:val="00366641"/>
    <w:rsid w:val="00375919"/>
    <w:rsid w:val="003837E0"/>
    <w:rsid w:val="00383D45"/>
    <w:rsid w:val="0039099B"/>
    <w:rsid w:val="00393762"/>
    <w:rsid w:val="00393BCC"/>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5C12"/>
    <w:rsid w:val="00425F7A"/>
    <w:rsid w:val="00427AAE"/>
    <w:rsid w:val="00430666"/>
    <w:rsid w:val="004308B8"/>
    <w:rsid w:val="004327DC"/>
    <w:rsid w:val="0043625A"/>
    <w:rsid w:val="0043658F"/>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0F07"/>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5BE9"/>
    <w:rsid w:val="00520AC5"/>
    <w:rsid w:val="00533F4F"/>
    <w:rsid w:val="00543348"/>
    <w:rsid w:val="005501E3"/>
    <w:rsid w:val="00550C1F"/>
    <w:rsid w:val="00553955"/>
    <w:rsid w:val="005545C2"/>
    <w:rsid w:val="00556739"/>
    <w:rsid w:val="00564288"/>
    <w:rsid w:val="00572643"/>
    <w:rsid w:val="00574326"/>
    <w:rsid w:val="005756F6"/>
    <w:rsid w:val="00582D51"/>
    <w:rsid w:val="005833F4"/>
    <w:rsid w:val="00585E15"/>
    <w:rsid w:val="00586A86"/>
    <w:rsid w:val="00591A25"/>
    <w:rsid w:val="005945F5"/>
    <w:rsid w:val="0059731C"/>
    <w:rsid w:val="005A416A"/>
    <w:rsid w:val="005A6969"/>
    <w:rsid w:val="005B1EE7"/>
    <w:rsid w:val="005B2BFF"/>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676D"/>
    <w:rsid w:val="00626DB0"/>
    <w:rsid w:val="00627BA6"/>
    <w:rsid w:val="0063171E"/>
    <w:rsid w:val="00632400"/>
    <w:rsid w:val="00636FFD"/>
    <w:rsid w:val="00637669"/>
    <w:rsid w:val="00640A6F"/>
    <w:rsid w:val="00640F35"/>
    <w:rsid w:val="00644191"/>
    <w:rsid w:val="00644E22"/>
    <w:rsid w:val="00646609"/>
    <w:rsid w:val="00647CFC"/>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F42F9"/>
    <w:rsid w:val="006F7398"/>
    <w:rsid w:val="00706CCF"/>
    <w:rsid w:val="00710A29"/>
    <w:rsid w:val="00715008"/>
    <w:rsid w:val="0071523C"/>
    <w:rsid w:val="00715681"/>
    <w:rsid w:val="007220A7"/>
    <w:rsid w:val="007243A9"/>
    <w:rsid w:val="007247AB"/>
    <w:rsid w:val="00725415"/>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4653"/>
    <w:rsid w:val="00786F8A"/>
    <w:rsid w:val="00796AE4"/>
    <w:rsid w:val="007A0C3E"/>
    <w:rsid w:val="007A2C35"/>
    <w:rsid w:val="007A786C"/>
    <w:rsid w:val="007A7AB8"/>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10B31"/>
    <w:rsid w:val="008212A6"/>
    <w:rsid w:val="00822B8C"/>
    <w:rsid w:val="00822D2D"/>
    <w:rsid w:val="00824759"/>
    <w:rsid w:val="008251F9"/>
    <w:rsid w:val="00826381"/>
    <w:rsid w:val="00832999"/>
    <w:rsid w:val="00833668"/>
    <w:rsid w:val="00833A2D"/>
    <w:rsid w:val="00834E6C"/>
    <w:rsid w:val="00841718"/>
    <w:rsid w:val="008439C8"/>
    <w:rsid w:val="008448F0"/>
    <w:rsid w:val="00846FBC"/>
    <w:rsid w:val="00852E72"/>
    <w:rsid w:val="00853746"/>
    <w:rsid w:val="008563C8"/>
    <w:rsid w:val="00860B14"/>
    <w:rsid w:val="008732D8"/>
    <w:rsid w:val="00874E98"/>
    <w:rsid w:val="00881651"/>
    <w:rsid w:val="00884477"/>
    <w:rsid w:val="00884776"/>
    <w:rsid w:val="0088749C"/>
    <w:rsid w:val="00890CCD"/>
    <w:rsid w:val="008A16E8"/>
    <w:rsid w:val="008A5442"/>
    <w:rsid w:val="008A64DA"/>
    <w:rsid w:val="008B3BE3"/>
    <w:rsid w:val="008C05EA"/>
    <w:rsid w:val="008C3AC5"/>
    <w:rsid w:val="008C4412"/>
    <w:rsid w:val="008C4502"/>
    <w:rsid w:val="008D5C82"/>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18F7"/>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6019"/>
    <w:rsid w:val="00A1682A"/>
    <w:rsid w:val="00A20ACF"/>
    <w:rsid w:val="00A21855"/>
    <w:rsid w:val="00A2262D"/>
    <w:rsid w:val="00A243EF"/>
    <w:rsid w:val="00A2545D"/>
    <w:rsid w:val="00A25584"/>
    <w:rsid w:val="00A273FD"/>
    <w:rsid w:val="00A27F86"/>
    <w:rsid w:val="00A32AE5"/>
    <w:rsid w:val="00A3337E"/>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6D68"/>
    <w:rsid w:val="00AA3623"/>
    <w:rsid w:val="00AB1BF7"/>
    <w:rsid w:val="00AB3B2F"/>
    <w:rsid w:val="00AC1C6E"/>
    <w:rsid w:val="00AC2358"/>
    <w:rsid w:val="00AC6F04"/>
    <w:rsid w:val="00AD593A"/>
    <w:rsid w:val="00AD7DE4"/>
    <w:rsid w:val="00AE3CC4"/>
    <w:rsid w:val="00AF46D9"/>
    <w:rsid w:val="00AF5615"/>
    <w:rsid w:val="00AF6814"/>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3129"/>
    <w:rsid w:val="00B234D3"/>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66EC"/>
    <w:rsid w:val="00B67528"/>
    <w:rsid w:val="00B67D56"/>
    <w:rsid w:val="00B71252"/>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49AE"/>
    <w:rsid w:val="00C66401"/>
    <w:rsid w:val="00C671EB"/>
    <w:rsid w:val="00C6784D"/>
    <w:rsid w:val="00C70968"/>
    <w:rsid w:val="00C7118B"/>
    <w:rsid w:val="00C72400"/>
    <w:rsid w:val="00C72442"/>
    <w:rsid w:val="00C736F6"/>
    <w:rsid w:val="00C73907"/>
    <w:rsid w:val="00C73DDB"/>
    <w:rsid w:val="00C74D27"/>
    <w:rsid w:val="00C818DD"/>
    <w:rsid w:val="00C86FBD"/>
    <w:rsid w:val="00C94EB2"/>
    <w:rsid w:val="00C94EF0"/>
    <w:rsid w:val="00C956CA"/>
    <w:rsid w:val="00CA1243"/>
    <w:rsid w:val="00CA3636"/>
    <w:rsid w:val="00CA4434"/>
    <w:rsid w:val="00CB1098"/>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E6CE4"/>
    <w:rsid w:val="00CF15E0"/>
    <w:rsid w:val="00CF17CC"/>
    <w:rsid w:val="00CF78CF"/>
    <w:rsid w:val="00D0035B"/>
    <w:rsid w:val="00D04C57"/>
    <w:rsid w:val="00D05458"/>
    <w:rsid w:val="00D0657E"/>
    <w:rsid w:val="00D10898"/>
    <w:rsid w:val="00D222CD"/>
    <w:rsid w:val="00D31116"/>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C0551"/>
    <w:rsid w:val="00DD40C0"/>
    <w:rsid w:val="00DD559C"/>
    <w:rsid w:val="00DD6BCC"/>
    <w:rsid w:val="00DD7F5E"/>
    <w:rsid w:val="00DE0CDD"/>
    <w:rsid w:val="00DE0FC7"/>
    <w:rsid w:val="00DE3C8B"/>
    <w:rsid w:val="00DE7E27"/>
    <w:rsid w:val="00DF4050"/>
    <w:rsid w:val="00DF4668"/>
    <w:rsid w:val="00E00131"/>
    <w:rsid w:val="00E00C68"/>
    <w:rsid w:val="00E05C5F"/>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76B83"/>
    <w:rsid w:val="00E82CFC"/>
    <w:rsid w:val="00E85871"/>
    <w:rsid w:val="00E94C75"/>
    <w:rsid w:val="00E95698"/>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5663"/>
    <w:rsid w:val="00F247FC"/>
    <w:rsid w:val="00F31583"/>
    <w:rsid w:val="00F32430"/>
    <w:rsid w:val="00F34142"/>
    <w:rsid w:val="00F34EB6"/>
    <w:rsid w:val="00F4175D"/>
    <w:rsid w:val="00F43685"/>
    <w:rsid w:val="00F45056"/>
    <w:rsid w:val="00F50FAE"/>
    <w:rsid w:val="00F53DDD"/>
    <w:rsid w:val="00F75127"/>
    <w:rsid w:val="00F77D66"/>
    <w:rsid w:val="00F82D3C"/>
    <w:rsid w:val="00F83BDE"/>
    <w:rsid w:val="00F916D4"/>
    <w:rsid w:val="00F97931"/>
    <w:rsid w:val="00FA094F"/>
    <w:rsid w:val="00FA147E"/>
    <w:rsid w:val="00FA3A6E"/>
    <w:rsid w:val="00FA5F0C"/>
    <w:rsid w:val="00FA6495"/>
    <w:rsid w:val="00FA7F68"/>
    <w:rsid w:val="00FB1583"/>
    <w:rsid w:val="00FB3C7C"/>
    <w:rsid w:val="00FB4B7B"/>
    <w:rsid w:val="00FB6762"/>
    <w:rsid w:val="00FC0747"/>
    <w:rsid w:val="00FC1B0E"/>
    <w:rsid w:val="00FC7170"/>
    <w:rsid w:val="00FD2DCE"/>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75156</TotalTime>
  <Pages>16</Pages>
  <Words>5656</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213</cp:revision>
  <dcterms:created xsi:type="dcterms:W3CDTF">2019-11-11T19:00:00Z</dcterms:created>
  <dcterms:modified xsi:type="dcterms:W3CDTF">2020-11-30T22:00:00Z</dcterms:modified>
</cp:coreProperties>
</file>