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22098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09800" cy="257175"/>
                    </a:xfrm>
                    <a:prstGeom prst="rect">
                      <a:avLst/>
                    </a:prstGeom>
                  </pic:spPr>
                </pic:pic>
              </a:graphicData>
            </a:graphic>
          </wp:inline>
        </w:drawing>
      </w:r>
    </w:p>
    <w:p>
      <w:pPr>
        <w:spacing w:after="480" w:before="0" w:line="276"/>
      </w:pPr>
      <w:r>
        <w:rPr>
          <w:rFonts w:ascii="Arial" w:cs="Arial" w:eastAsia="Arial" w:hAnsi="Arial"/>
          <w:b w:val="false"/>
          <w:bCs w:val="false"/>
          <w:i w:val="false"/>
          <w:iCs w:val="false"/>
          <w:caps w:val="false"/>
          <w:color w:val="1A1A1A"/>
          <w:sz w:val="21"/>
          <w:szCs w:val="21"/>
        </w:rPr>
        <w:t xml:space="preserve"/>
      </w:r>
    </w:p>
    <w:p>
      <w:pPr>
        <w:spacing w:after="50" w:before="0" w:line="276"/>
      </w:pPr>
      <w:r>
        <w:rPr>
          <w:rFonts w:ascii="Arial" w:cs="Arial" w:eastAsia="Arial" w:hAnsi="Arial"/>
          <w:b/>
          <w:bCs/>
          <w:i w:val="false"/>
          <w:iCs w:val="false"/>
          <w:caps/>
          <w:color w:val="500000"/>
          <w:sz w:val="17"/>
          <w:szCs w:val="17"/>
        </w:rPr>
        <w:t xml:space="preserve">AGENT BUILD SPEC  ·  VERSION 5  ·  SOP-ANCHORED</w:t>
      </w:r>
    </w:p>
    <w:p>
      <w:pPr>
        <w:spacing w:after="120" w:before="240" w:line="680"/>
      </w:pPr>
      <w:r>
        <w:rPr>
          <w:rFonts w:ascii="Arial" w:cs="Arial" w:eastAsia="Arial" w:hAnsi="Arial"/>
          <w:b/>
          <w:bCs/>
          <w:i w:val="false"/>
          <w:iCs w:val="false"/>
          <w:caps w:val="false"/>
          <w:color w:val="000000"/>
          <w:sz w:val="58"/>
          <w:szCs w:val="58"/>
        </w:rPr>
        <w:t xml:space="preserve">The Agent Build Spec</w:t>
      </w:r>
    </w:p>
    <w:p>
      <w:pPr>
        <w:spacing w:after="200" w:before="0" w:line="360"/>
      </w:pPr>
      <w:r>
        <w:rPr>
          <w:rFonts w:ascii="Arial" w:cs="Arial" w:eastAsia="Arial" w:hAnsi="Arial"/>
          <w:b w:val="false"/>
          <w:bCs w:val="false"/>
          <w:i w:val="false"/>
          <w:iCs w:val="false"/>
          <w:caps w:val="false"/>
          <w:color w:val="6B6B6B"/>
          <w:sz w:val="26"/>
          <w:szCs w:val="26"/>
        </w:rPr>
        <w:t xml:space="preserve">Six agents that execute the Method SOPs</w:t>
      </w:r>
    </w:p>
    <w:p>
      <w:pPr>
        <w:pBdr>
          <w:bottom w:val="single" w:color="500000" w:sz="14" w:space="2"/>
        </w:pBdr>
        <w:spacing w:after="170" w:before="0" w:line="276"/>
      </w:pPr>
    </w:p>
    <w:p>
      <w:pPr>
        <w:spacing w:after="120" w:before="0" w:line="276"/>
      </w:pPr>
      <w:r>
        <w:rPr>
          <w:rFonts w:ascii="Arial" w:cs="Arial" w:eastAsia="Arial" w:hAnsi="Arial"/>
          <w:b w:val="false"/>
          <w:bCs w:val="false"/>
          <w:i/>
          <w:iCs/>
          <w:caps w:val="false"/>
          <w:color w:val="6B6B6B"/>
          <w:sz w:val="20"/>
          <w:szCs w:val="20"/>
        </w:rPr>
        <w:t xml:space="preserve">The question this answers:  </w:t>
      </w:r>
      <w:r>
        <w:rPr>
          <w:rFonts w:ascii="Arial" w:cs="Arial" w:eastAsia="Arial" w:hAnsi="Arial"/>
          <w:b/>
          <w:bCs/>
          <w:i/>
          <w:iCs/>
          <w:caps w:val="false"/>
          <w:color w:val="500000"/>
          <w:sz w:val="20"/>
          <w:szCs w:val="20"/>
        </w:rPr>
        <w:t xml:space="preserve">What exactly do I build, and how does each agent execute the procedure I already wrote?</w:t>
      </w:r>
    </w:p>
    <w:p>
      <w:pPr>
        <w:spacing w:after="480" w:before="0" w:line="276"/>
      </w:pPr>
      <w:r>
        <w:rPr>
          <w:rFonts w:ascii="Arial" w:cs="Arial" w:eastAsia="Arial" w:hAnsi="Arial"/>
          <w:b w:val="false"/>
          <w:bCs w:val="false"/>
          <w:i w:val="false"/>
          <w:iCs w:val="false"/>
          <w:caps w:val="false"/>
          <w:color w:val="1A1A1A"/>
          <w:sz w:val="21"/>
          <w:szCs w:val="21"/>
        </w:rPr>
        <w:t xml:space="preserve"/>
      </w:r>
    </w:p>
    <w:p>
      <w:pPr>
        <w:spacing w:after="30" w:before="0" w:line="276"/>
      </w:pPr>
      <w:r>
        <w:rPr>
          <w:rFonts w:ascii="Arial" w:cs="Arial" w:eastAsia="Arial" w:hAnsi="Arial"/>
          <w:b/>
          <w:bCs/>
          <w:i w:val="false"/>
          <w:iCs w:val="false"/>
          <w:caps/>
          <w:color w:val="500000"/>
          <w:sz w:val="15"/>
          <w:szCs w:val="15"/>
        </w:rPr>
        <w:t xml:space="preserve">PREPARED FOR</w:t>
      </w:r>
    </w:p>
    <w:p>
      <w:pPr>
        <w:spacing w:after="20" w:before="0" w:line="276"/>
      </w:pPr>
      <w:r>
        <w:rPr>
          <w:rFonts w:ascii="Arial" w:cs="Arial" w:eastAsia="Arial" w:hAnsi="Arial"/>
          <w:b/>
          <w:bCs/>
          <w:i w:val="false"/>
          <w:iCs w:val="false"/>
          <w:caps w:val="false"/>
          <w:color w:val="000000"/>
          <w:sz w:val="26"/>
          <w:szCs w:val="26"/>
        </w:rPr>
        <w:t xml:space="preserve">Fenwick How</w:t>
      </w:r>
    </w:p>
    <w:p>
      <w:pPr>
        <w:spacing w:after="120" w:before="0" w:line="276"/>
      </w:pPr>
      <w:r>
        <w:rPr>
          <w:rFonts w:ascii="Arial" w:cs="Arial" w:eastAsia="Arial" w:hAnsi="Arial"/>
          <w:b w:val="false"/>
          <w:bCs w:val="false"/>
          <w:i w:val="false"/>
          <w:iCs w:val="false"/>
          <w:caps w:val="false"/>
          <w:color w:val="6B6B6B"/>
          <w:sz w:val="19"/>
          <w:szCs w:val="19"/>
        </w:rPr>
        <w:t xml:space="preserve">Founder, The Aperture Method</w:t>
      </w:r>
    </w:p>
    <w:p>
      <w:pPr>
        <w:spacing w:after="20" w:before="0" w:line="276"/>
      </w:pPr>
      <w:r>
        <w:rPr>
          <w:rFonts w:ascii="Arial" w:cs="Arial" w:eastAsia="Arial" w:hAnsi="Arial"/>
          <w:b w:val="false"/>
          <w:bCs w:val="false"/>
          <w:i w:val="false"/>
          <w:iCs w:val="false"/>
          <w:caps w:val="false"/>
          <w:color w:val="1A1A1A"/>
          <w:sz w:val="19"/>
          <w:szCs w:val="19"/>
        </w:rPr>
        <w:t xml:space="preserve">August 7, 2026</w:t>
      </w:r>
      <w:r>
        <w:rPr>
          <w:rFonts w:ascii="Arial" w:cs="Arial" w:eastAsia="Arial" w:hAnsi="Arial"/>
          <w:b w:val="false"/>
          <w:bCs w:val="false"/>
          <w:i w:val="false"/>
          <w:iCs w:val="false"/>
          <w:caps w:val="false"/>
          <w:color w:val="9A9A9A"/>
          <w:sz w:val="19"/>
          <w:szCs w:val="19"/>
        </w:rPr>
        <w:t xml:space="preserve">     ·     </w:t>
      </w:r>
      <w:r>
        <w:rPr>
          <w:rFonts w:ascii="Arial" w:cs="Arial" w:eastAsia="Arial" w:hAnsi="Arial"/>
          <w:b w:val="false"/>
          <w:bCs w:val="false"/>
          <w:i w:val="false"/>
          <w:iCs w:val="false"/>
          <w:caps w:val="false"/>
          <w:color w:val="1A1A1A"/>
          <w:sz w:val="19"/>
          <w:szCs w:val="19"/>
        </w:rPr>
        <w:t xml:space="preserve">Anchored to Method SOPs v1.0  ·  Supersedes v1, v3, v4</w:t>
      </w:r>
    </w:p>
    <w:p>
      <w:pPr>
        <w:spacing w:after="360" w:before="0" w:line="276"/>
      </w:pPr>
      <w:r>
        <w:rPr>
          <w:rFonts w:ascii="Arial" w:cs="Arial" w:eastAsia="Arial" w:hAnsi="Arial"/>
          <w:b w:val="false"/>
          <w:bCs w:val="false"/>
          <w:i w:val="false"/>
          <w:iCs w:val="false"/>
          <w:caps w:val="false"/>
          <w:color w:val="1A1A1A"/>
          <w:sz w:val="21"/>
          <w:szCs w:val="21"/>
        </w:rPr>
        <w:t xml:space="preserve"/>
      </w:r>
    </w:p>
    <w:p>
      <w:pPr>
        <w:pBdr>
          <w:top w:val="single" w:color="D9D9D9" w:sz="6" w:space="2"/>
        </w:pBdr>
        <w:spacing w:after="60" w:before="0" w:line="276"/>
      </w:pPr>
    </w:p>
    <w:p>
      <w:pPr>
        <w:spacing w:after="0" w:before="0" w:line="250"/>
      </w:pPr>
      <w:r>
        <w:rPr>
          <w:rFonts w:ascii="Arial" w:cs="Arial" w:eastAsia="Arial" w:hAnsi="Arial"/>
          <w:b/>
          <w:bCs/>
          <w:i w:val="false"/>
          <w:iCs w:val="false"/>
          <w:caps w:val="false"/>
          <w:color w:val="500000"/>
          <w:sz w:val="15"/>
          <w:szCs w:val="15"/>
        </w:rPr>
        <w:t xml:space="preserve">BUILD-READY — </w:t>
      </w:r>
      <w:r>
        <w:rPr>
          <w:rFonts w:ascii="Arial" w:cs="Arial" w:eastAsia="Arial" w:hAnsi="Arial"/>
          <w:b w:val="false"/>
          <w:bCs w:val="false"/>
          <w:i w:val="false"/>
          <w:iCs w:val="false"/>
          <w:caps w:val="false"/>
          <w:color w:val="6B6B6B"/>
          <w:sz w:val="15"/>
          <w:szCs w:val="15"/>
        </w:rPr>
        <w:t xml:space="preserve">Schemas, run contracts, prompt architecture, and gates. The Aperture Score weights and rubric criteria in Part One are proposals to react to, not decisions.</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50" w:before="0" w:line="276"/>
      </w:pPr>
      <w:r>
        <w:rPr>
          <w:rFonts w:ascii="Arial" w:cs="Arial" w:eastAsia="Arial" w:hAnsi="Arial"/>
          <w:b/>
          <w:bCs/>
          <w:i w:val="false"/>
          <w:iCs w:val="false"/>
          <w:caps/>
          <w:color w:val="500000"/>
          <w:sz w:val="17"/>
          <w:szCs w:val="17"/>
        </w:rPr>
        <w:t xml:space="preserve">CONTENTS</w:t>
      </w:r>
    </w:p>
    <w:p>
      <w:pPr>
        <w:spacing w:after="60" w:before="0" w:line="460"/>
      </w:pPr>
      <w:r>
        <w:rPr>
          <w:rFonts w:ascii="Arial" w:cs="Arial" w:eastAsia="Arial" w:hAnsi="Arial"/>
          <w:b/>
          <w:bCs/>
          <w:i w:val="false"/>
          <w:iCs w:val="false"/>
          <w:caps w:val="false"/>
          <w:color w:val="000000"/>
          <w:sz w:val="40"/>
          <w:szCs w:val="40"/>
        </w:rPr>
        <w:t xml:space="preserve">Contents</w:t>
      </w:r>
    </w:p>
    <w:p>
      <w:pPr>
        <w:pBdr>
          <w:bottom w:val="single" w:color="500000" w:sz="14" w:space="2"/>
        </w:pBdr>
        <w:spacing w:after="170" w:before="0" w:line="276"/>
      </w:pPr>
    </w:p>
    <w:sdt>
      <w:sdtPr>
        <w:alias w:val="Contents"/>
      </w:sdtPr>
      <w:sdtContent>
        <w:p>
          <w:r>
            <w:fldChar w:fldCharType="begin" w:dirty="true"/>
            <w:instrText xml:space="preserve">TOC \h \o "1-2"</w:instrText>
            <w:fldChar w:fldCharType="separate"/>
          </w:r>
        </w:p>
        <w:p>
          <w:r>
            <w:fldChar w:fldCharType="end"/>
          </w:r>
        </w:p>
      </w:sdtContent>
    </w:sdt>
    <w:p>
      <w:pPr>
        <w:spacing w:after="240" w:before="0" w:line="276"/>
      </w:pPr>
      <w:r>
        <w:rPr>
          <w:rFonts w:ascii="Arial" w:cs="Arial" w:eastAsia="Arial" w:hAnsi="Arial"/>
          <w:b w:val="false"/>
          <w:bCs w:val="false"/>
          <w:i w:val="false"/>
          <w:iCs w:val="false"/>
          <w:caps w:val="false"/>
          <w:color w:val="1A1A1A"/>
          <w:sz w:val="21"/>
          <w:szCs w:val="21"/>
        </w:rPr>
        <w:t xml:space="preserve"/>
      </w:r>
    </w:p>
    <w:p>
      <w:pPr>
        <w:spacing w:after="0" w:before="0" w:line="276"/>
      </w:pPr>
      <w:r>
        <w:rPr>
          <w:rFonts w:ascii="Arial" w:cs="Arial" w:eastAsia="Arial" w:hAnsi="Arial"/>
          <w:b w:val="false"/>
          <w:bCs w:val="false"/>
          <w:i/>
          <w:iCs/>
          <w:caps w:val="false"/>
          <w:color w:val="9A9A9A"/>
          <w:sz w:val="16"/>
          <w:szCs w:val="16"/>
        </w:rPr>
        <w:t xml:space="preserve">If this list is blank, press Ctrl+A then F9 in Word to build it.</w:t>
      </w:r>
    </w:p>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1080" w:before="0" w:line="276"/>
      </w:pPr>
      <w:r>
        <w:rPr>
          <w:rFonts w:ascii="Arial" w:cs="Arial" w:eastAsia="Arial" w:hAnsi="Arial"/>
          <w:b w:val="false"/>
          <w:bCs w:val="false"/>
          <w:i w:val="false"/>
          <w:iCs w:val="false"/>
          <w:caps w:val="false"/>
          <w:color w:val="1A1A1A"/>
          <w:sz w:val="21"/>
          <w:szCs w:val="21"/>
        </w:rPr>
        <w:t xml:space="preserve"/>
      </w:r>
    </w:p>
    <w:p>
      <w:pPr>
        <w:spacing w:after="70" w:before="0" w:line="276"/>
      </w:pPr>
      <w:r>
        <w:rPr>
          <w:rFonts w:ascii="Arial" w:cs="Arial" w:eastAsia="Arial" w:hAnsi="Arial"/>
          <w:b/>
          <w:bCs/>
          <w:i w:val="false"/>
          <w:iCs w:val="false"/>
          <w:caps/>
          <w:color w:val="500000"/>
          <w:sz w:val="19"/>
          <w:szCs w:val="19"/>
        </w:rPr>
        <w:t xml:space="preserve">PART ONE</w:t>
      </w:r>
    </w:p>
    <w:p>
      <w:pPr>
        <w:pStyle w:val="Heading1"/>
        <w:spacing w:after="130" w:line="560"/>
      </w:pPr>
      <w:r>
        <w:rPr>
          <w:rFonts w:ascii="Arial" w:cs="Arial" w:eastAsia="Arial" w:hAnsi="Arial"/>
          <w:b/>
          <w:bCs/>
          <w:color w:val="000000"/>
          <w:sz w:val="48"/>
          <w:szCs w:val="48"/>
        </w:rPr>
        <w:t xml:space="preserve">The Program</w:t>
      </w:r>
    </w:p>
    <w:p>
      <w:pPr>
        <w:pBdr>
          <w:bottom w:val="single" w:color="500000" w:sz="14" w:space="2"/>
        </w:pBdr>
        <w:spacing w:after="170" w:before="0" w:line="276"/>
      </w:pPr>
    </w:p>
    <w:p>
      <w:pPr>
        <w:spacing w:after="0" w:before="0" w:line="320"/>
      </w:pPr>
      <w:r>
        <w:rPr>
          <w:rFonts w:ascii="Arial" w:cs="Arial" w:eastAsia="Arial" w:hAnsi="Arial"/>
          <w:b w:val="false"/>
          <w:bCs w:val="false"/>
          <w:i w:val="false"/>
          <w:iCs w:val="false"/>
          <w:caps w:val="false"/>
          <w:color w:val="6B6B6B"/>
          <w:sz w:val="22"/>
          <w:szCs w:val="22"/>
        </w:rPr>
        <w:t xml:space="preserve">How the system works: the two governing rules, the corrections the SOPs forced, the shared data foundation, and the contracts every agent obeys.</w:t>
      </w:r>
    </w:p>
    <w:p>
      <w:r>
        <w:br w:type="page"/>
      </w:r>
    </w:p>
    <w:p>
      <w:pPr>
        <w:pStyle w:val="Heading2"/>
        <w:keepNext/>
        <w:spacing w:after="140" w:before="200" w:line="420"/>
      </w:pPr>
      <w:r>
        <w:rPr>
          <w:rFonts w:ascii="Arial" w:cs="Arial" w:eastAsia="Arial" w:hAnsi="Arial"/>
          <w:b/>
          <w:bCs/>
          <w:color w:val="000000"/>
          <w:sz w:val="34"/>
          <w:szCs w:val="34"/>
        </w:rPr>
        <w:t xml:space="preserve">1 · How to use this document</w:t>
      </w:r>
    </w:p>
    <w:p>
      <w:pPr>
        <w:spacing w:after="170" w:before="0" w:line="300"/>
      </w:pPr>
      <w:r>
        <w:rPr>
          <w:rFonts w:ascii="Arial" w:cs="Arial" w:eastAsia="Arial" w:hAnsi="Arial"/>
          <w:b w:val="false"/>
          <w:bCs w:val="false"/>
          <w:i w:val="false"/>
          <w:iCs w:val="false"/>
          <w:caps w:val="false"/>
          <w:color w:val="1A1A1A"/>
          <w:sz w:val="24"/>
          <w:szCs w:val="24"/>
        </w:rPr>
        <w:t xml:space="preserve">Three parts. Part One is how the system works. Part Two is the six agents, one at a time. Part Three is what gets built, in what order.</w:t>
      </w:r>
    </w:p>
    <w:tbl>
      <w:tblPr>
        <w:tblW w:type="dxa" w:w="9360"/>
        <w:tblBorders>
          <w:top w:val="single" w:color="D9D9D9" w:sz="2"/>
          <w:left w:val="none"/>
          <w:bottom w:val="single" w:color="D9D9D9" w:sz="2"/>
          <w:right w:val="none"/>
          <w:insideH w:val="single" w:color="D9D9D9" w:sz="2"/>
          <w:insideV w:val="none"/>
        </w:tblBorders>
      </w:tblPr>
      <w:tblGrid>
        <w:gridCol w:w="1498"/>
        <w:gridCol w:w="4867"/>
        <w:gridCol w:w="2995"/>
      </w:tblGrid>
      <w:tr>
        <w:trPr>
          <w:tblHeader/>
        </w:trPr>
        <w:tc>
          <w:tcPr>
            <w:tcW w:type="dxa" w:w="149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Part</w:t>
            </w:r>
          </w:p>
        </w:tc>
        <w:tc>
          <w:tcPr>
            <w:tcW w:type="dxa" w:w="4867"/>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is in it</w:t>
            </w:r>
          </w:p>
        </w:tc>
        <w:tc>
          <w:tcPr>
            <w:tcW w:type="dxa" w:w="2995"/>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Read it when</w:t>
            </w:r>
          </w:p>
        </w:tc>
      </w:tr>
      <w:tr>
        <w:tc>
          <w:tcPr>
            <w:tcW w:type="dxa" w:w="149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One · The Program</w:t>
            </w:r>
          </w:p>
        </w:tc>
        <w:tc>
          <w:tcPr>
            <w:tcW w:type="dxa" w:w="486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two rules, the corrections, the data model, the run contract, the prompt architecture, the gates, the privacy layer, the Aperture Score.</w:t>
            </w:r>
          </w:p>
        </w:tc>
        <w:tc>
          <w:tcPr>
            <w:tcW w:type="dxa" w:w="2995"/>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You want to understand or change how the system behaves.</w:t>
            </w:r>
          </w:p>
        </w:tc>
      </w:tr>
      <w:tr>
        <w:tc>
          <w:tcPr>
            <w:tcW w:type="dxa" w:w="149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Two · The Team</w:t>
            </w:r>
          </w:p>
        </w:tc>
        <w:tc>
          <w:tcPr>
            <w:tcW w:type="dxa" w:w="486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Fenwick’s profile, then a profile page and a full step-by-step build spec for each of the five agents, anchored to its SOP chapter.</w:t>
            </w:r>
          </w:p>
        </w:tc>
        <w:tc>
          <w:tcPr>
            <w:tcW w:type="dxa" w:w="2995"/>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You are building or debugging one agent.</w:t>
            </w:r>
          </w:p>
        </w:tc>
      </w:tr>
      <w:tr>
        <w:tc>
          <w:tcPr>
            <w:tcW w:type="dxa" w:w="149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Three · The Build</w:t>
            </w:r>
          </w:p>
        </w:tc>
        <w:tc>
          <w:tcPr>
            <w:tcW w:type="dxa" w:w="486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Repository layout, the phased roadmap, the proposed SOP 00, and what needs deciding before code.</w:t>
            </w:r>
          </w:p>
        </w:tc>
        <w:tc>
          <w:tcPr>
            <w:tcW w:type="dxa" w:w="2995"/>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You are planning the work or checking progress.</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Conventions used throughout</w:t>
      </w:r>
    </w:p>
    <w:tbl>
      <w:tblPr>
        <w:tblW w:type="dxa" w:w="9360"/>
        <w:tblBorders>
          <w:top w:val="single" w:color="D9D9D9" w:sz="2"/>
          <w:left w:val="none"/>
          <w:bottom w:val="single" w:color="D9D9D9" w:sz="2"/>
          <w:right w:val="none"/>
          <w:insideH w:val="single" w:color="D9D9D9" w:sz="2"/>
          <w:insideV w:val="none"/>
        </w:tblBorders>
      </w:tblPr>
      <w:tblGrid>
        <w:gridCol w:w="1498"/>
        <w:gridCol w:w="7862"/>
      </w:tblGrid>
      <w:tr>
        <w:trPr>
          <w:tblHeader/>
        </w:trPr>
        <w:tc>
          <w:tcPr>
            <w:tcW w:type="dxa" w:w="149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Marker</w:t>
            </w:r>
          </w:p>
        </w:tc>
        <w:tc>
          <w:tcPr>
            <w:tcW w:type="dxa" w:w="786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Means</w:t>
            </w:r>
          </w:p>
        </w:tc>
      </w:tr>
      <w:tr>
        <w:tc>
          <w:tcPr>
            <w:tcW w:type="dxa" w:w="149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FENWICK</w:t>
            </w:r>
          </w:p>
        </w:tc>
        <w:tc>
          <w:tcPr>
            <w:tcW w:type="dxa" w:w="786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Fenwick. Meetings, judgment, the call. Irreducible — no agent shortens it.</w:t>
            </w:r>
          </w:p>
        </w:tc>
      </w:tr>
      <w:tr>
        <w:tc>
          <w:tcPr>
            <w:tcW w:type="dxa" w:w="149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AGENT</w:t>
            </w:r>
          </w:p>
        </w:tc>
        <w:tc>
          <w:tcPr>
            <w:tcW w:type="dxa" w:w="786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model reasons, drafts, triangulates, proposes.</w:t>
            </w:r>
          </w:p>
        </w:tc>
      </w:tr>
      <w:tr>
        <w:tc>
          <w:tcPr>
            <w:tcW w:type="dxa" w:w="149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786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Deterministic code. Produces the number of record. Agents never compute in prose.</w:t>
            </w:r>
          </w:p>
        </w:tc>
      </w:tr>
      <w:tr>
        <w:tc>
          <w:tcPr>
            <w:tcW w:type="dxa" w:w="149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HYBRID</w:t>
            </w:r>
          </w:p>
        </w:tc>
        <w:tc>
          <w:tcPr>
            <w:tcW w:type="dxa" w:w="786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agent proposes; a person decides.</w:t>
            </w:r>
          </w:p>
        </w:tc>
      </w:tr>
    </w:tbl>
    <w:p>
      <w:r>
        <w:br w:type="page"/>
      </w:r>
    </w:p>
    <w:p>
      <w:pPr>
        <w:pStyle w:val="Heading2"/>
        <w:keepNext/>
        <w:spacing w:after="140" w:before="200" w:line="420"/>
      </w:pPr>
      <w:r>
        <w:rPr>
          <w:rFonts w:ascii="Arial" w:cs="Arial" w:eastAsia="Arial" w:hAnsi="Arial"/>
          <w:b/>
          <w:bCs/>
          <w:color w:val="000000"/>
          <w:sz w:val="34"/>
          <w:szCs w:val="34"/>
        </w:rPr>
        <w:t xml:space="preserve">2 · The SOPs are the program</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The Method SOPs are not documentation about the agents. They are the agents’ program.</w:t>
            </w:r>
          </w:p>
          <w:p>
            <w:pPr>
              <w:spacing w:after="60" w:before="0" w:line="288"/>
            </w:pPr>
            <w:r>
              <w:rPr>
                <w:rFonts w:ascii="Arial" w:cs="Arial" w:eastAsia="Arial" w:hAnsi="Arial"/>
                <w:b w:val="false"/>
                <w:bCs w:val="false"/>
                <w:i w:val="false"/>
                <w:iCs w:val="false"/>
                <w:caps w:val="false"/>
                <w:color w:val="1A1A1A"/>
                <w:sz w:val="20"/>
                <w:szCs w:val="20"/>
              </w:rPr>
              <w:t xml:space="preserve">Every chapter already has the exact shape an agent needs: an objective, declared inputs, a numbered process where each step states its own output, a named tool-and-framework list, and a quality checklist to pass before anything reaches a client.</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spacing w:after="130" w:before="0" w:line="288"/>
      </w:pPr>
      <w:r>
        <w:rPr>
          <w:rFonts w:ascii="Arial" w:cs="Arial" w:eastAsia="Arial" w:hAnsi="Arial"/>
          <w:b w:val="false"/>
          <w:bCs w:val="false"/>
          <w:i w:val="false"/>
          <w:iCs w:val="false"/>
          <w:caps w:val="false"/>
          <w:color w:val="1A1A1A"/>
          <w:sz w:val="21"/>
          <w:szCs w:val="21"/>
        </w:rPr>
        <w:t xml:space="preserve">That is a specification. Most teams building this would spend six weeks producing a worse version of what you already wrote. So the build takes it literally.</w:t>
      </w:r>
    </w:p>
    <w:tbl>
      <w:tblPr>
        <w:tblW w:type="dxa" w:w="9360"/>
        <w:tblBorders>
          <w:top w:val="single" w:color="D9D9D9" w:sz="2"/>
          <w:left w:val="none"/>
          <w:bottom w:val="single" w:color="D9D9D9" w:sz="2"/>
          <w:right w:val="none"/>
          <w:insideH w:val="single" w:color="D9D9D9" w:sz="2"/>
          <w:insideV w:val="none"/>
        </w:tblBorders>
      </w:tblPr>
      <w:tblGrid>
        <w:gridCol w:w="3557"/>
        <w:gridCol w:w="5803"/>
      </w:tblGrid>
      <w:tr>
        <w:trPr>
          <w:tblHeader/>
        </w:trPr>
        <w:tc>
          <w:tcPr>
            <w:tcW w:type="dxa" w:w="3557"/>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the SOP has</w:t>
            </w:r>
          </w:p>
        </w:tc>
        <w:tc>
          <w:tcPr>
            <w:tcW w:type="dxa" w:w="5803"/>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it becomes in the build</w:t>
            </w:r>
          </w:p>
        </w:tc>
      </w:tr>
      <w:tr>
        <w:tc>
          <w:tcPr>
            <w:tcW w:type="dxa" w:w="355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chapter text</w:t>
            </w:r>
          </w:p>
        </w:tc>
        <w:tc>
          <w:tcPr>
            <w:tcW w:type="dxa" w:w="580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sops/01_business_xray.md … 06_atlas.md — held verbatim, in git, loaded into the agent’s prompt at runtime. Edit the manual and the agent changes. There is no second copy of the procedure to drift.</w:t>
            </w:r>
          </w:p>
        </w:tc>
      </w:tr>
      <w:tr>
        <w:tc>
          <w:tcPr>
            <w:tcW w:type="dxa" w:w="355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"Output of this step"</w:t>
            </w:r>
          </w:p>
        </w:tc>
        <w:tc>
          <w:tcPr>
            <w:tcW w:type="dxa" w:w="5803"/>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 typed intermediate artifact. X-Ray Step 3 declares "seven scored lenses with evidence" — that is a schema, and the runner refuses to advance without it.</w:t>
            </w:r>
          </w:p>
        </w:tc>
      </w:tr>
      <w:tr>
        <w:tc>
          <w:tcPr>
            <w:tcW w:type="dxa" w:w="355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quality checklist</w:t>
            </w:r>
          </w:p>
        </w:tc>
        <w:tc>
          <w:tcPr>
            <w:tcW w:type="dxa" w:w="580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 set of executable assertions. "Every headline number reconciles to the client’s financials" becomes assert_reconciles(), not a hope.</w:t>
            </w:r>
          </w:p>
        </w:tc>
      </w:tr>
      <w:tr>
        <w:tc>
          <w:tcPr>
            <w:tcW w:type="dxa" w:w="355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"Tools, analyses &amp; frameworks"</w:t>
            </w:r>
          </w:p>
        </w:tc>
        <w:tc>
          <w:tcPr>
            <w:tcW w:type="dxa" w:w="5803"/>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agent’s tool registry. Nothing outside that list is callable.</w:t>
            </w:r>
          </w:p>
        </w:tc>
      </w:tr>
      <w:tr>
        <w:tc>
          <w:tcPr>
            <w:tcW w:type="dxa" w:w="355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"When to run it &amp; prerequisites"</w:t>
            </w:r>
          </w:p>
        </w:tc>
        <w:tc>
          <w:tcPr>
            <w:tcW w:type="dxa" w:w="580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dispatcher’s routing rules, plus the standalone fallback in Section 7.</w:t>
            </w:r>
          </w:p>
        </w:tc>
      </w:tr>
    </w:tbl>
    <w:p>
      <w:r>
        <w:br w:type="page"/>
      </w:r>
    </w:p>
    <w:p>
      <w:pPr>
        <w:pStyle w:val="Heading2"/>
        <w:keepNext/>
        <w:spacing w:after="140" w:before="200" w:line="420"/>
      </w:pPr>
      <w:r>
        <w:rPr>
          <w:rFonts w:ascii="Arial" w:cs="Arial" w:eastAsia="Arial" w:hAnsi="Arial"/>
          <w:b/>
          <w:bCs/>
          <w:color w:val="000000"/>
          <w:sz w:val="34"/>
          <w:szCs w:val="34"/>
        </w:rPr>
        <w:t xml:space="preserve">3 · The two rules everything obeys</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Rule one — agents compress the mechanical 80%. They do not touch the judgment 20%.</w:t>
            </w:r>
          </w:p>
          <w:p>
            <w:pPr>
              <w:spacing w:after="60" w:before="0" w:line="288"/>
            </w:pPr>
            <w:r>
              <w:rPr>
                <w:rFonts w:ascii="Arial" w:cs="Arial" w:eastAsia="Arial" w:hAnsi="Arial"/>
                <w:b w:val="false"/>
                <w:bCs w:val="false"/>
                <w:i w:val="false"/>
                <w:iCs w:val="false"/>
                <w:caps w:val="false"/>
                <w:color w:val="1A1A1A"/>
                <w:sz w:val="20"/>
                <w:szCs w:val="20"/>
              </w:rPr>
              <w:t xml:space="preserve">Agents produce findings and artifacts. Never conclusions and advice. The last mile is human, and it is the mile the client pays for.</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spacing w:after="130" w:before="0" w:line="288"/>
      </w:pPr>
      <w:r>
        <w:rPr>
          <w:rFonts w:ascii="Arial" w:cs="Arial" w:eastAsia="Arial" w:hAnsi="Arial"/>
          <w:b w:val="false"/>
          <w:bCs w:val="false"/>
          <w:i w:val="false"/>
          <w:iCs w:val="false"/>
          <w:caps w:val="false"/>
          <w:color w:val="1A1A1A"/>
          <w:sz w:val="21"/>
          <w:szCs w:val="21"/>
        </w:rPr>
        <w:t xml:space="preserve">Your site says it out loud: "The difference is the analysis, not the dashboard." The competitive position is that an owner-run business gets MBA-level interpretation — someone who looks at a Profit Map and says "your problem is not the fourth location, it is that half your new patients never come back." Any architecture that lets a model write that sentence unsupervised destroys the product.</w:t>
      </w:r>
    </w:p>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Rule two — every agent stands alone.</w:t>
            </w:r>
          </w:p>
          <w:p>
            <w:pPr>
              <w:spacing w:after="60" w:before="0" w:line="288"/>
            </w:pPr>
            <w:r>
              <w:rPr>
                <w:rFonts w:ascii="Arial" w:cs="Arial" w:eastAsia="Arial" w:hAnsi="Arial"/>
                <w:b w:val="false"/>
                <w:bCs w:val="false"/>
                <w:i w:val="false"/>
                <w:iCs w:val="false"/>
                <w:caps w:val="false"/>
                <w:color w:val="1A1A1A"/>
                <w:sz w:val="20"/>
                <w:szCs w:val="20"/>
              </w:rPr>
              <w:t xml:space="preserve">No agent may depend on another having run. Every agent reads the shared Intake Store. Chaining enriches; it never gates. Five specialists, each hireable solo or as a team.</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spacing w:after="130" w:before="0" w:line="288"/>
      </w:pPr>
      <w:r>
        <w:rPr>
          <w:rFonts w:ascii="Arial" w:cs="Arial" w:eastAsia="Arial" w:hAnsi="Arial"/>
          <w:b w:val="false"/>
          <w:bCs w:val="false"/>
          <w:i w:val="false"/>
          <w:iCs w:val="false"/>
          <w:caps w:val="false"/>
          <w:color w:val="1A1A1A"/>
          <w:sz w:val="21"/>
          <w:szCs w:val="21"/>
        </w:rPr>
        <w:t xml:space="preserve">The rules collide exactly once — Compass is a synthesis agent, and synthesis wants inputs. Section 7 resolves it.</w:t>
      </w:r>
    </w:p>
    <w:p>
      <w:r>
        <w:br w:type="page"/>
      </w:r>
    </w:p>
    <w:p>
      <w:pPr>
        <w:pStyle w:val="Heading2"/>
        <w:keepNext/>
        <w:spacing w:after="140" w:before="200" w:line="420"/>
      </w:pPr>
      <w:r>
        <w:rPr>
          <w:rFonts w:ascii="Arial" w:cs="Arial" w:eastAsia="Arial" w:hAnsi="Arial"/>
          <w:b/>
          <w:bCs/>
          <w:color w:val="000000"/>
          <w:sz w:val="34"/>
          <w:szCs w:val="34"/>
        </w:rPr>
        <w:t xml:space="preserve">4 · Four corrections the SOPs forced</w:t>
      </w:r>
    </w:p>
    <w:p>
      <w:pPr>
        <w:pStyle w:val="Heading3"/>
        <w:keepNext/>
        <w:spacing w:after="90" w:before="280" w:line="330"/>
      </w:pPr>
      <w:r>
        <w:rPr>
          <w:rFonts w:ascii="Arial" w:cs="Arial" w:eastAsia="Arial" w:hAnsi="Arial"/>
          <w:b/>
          <w:bCs/>
          <w:color w:val="000000"/>
          <w:sz w:val="25"/>
          <w:szCs w:val="25"/>
        </w:rPr>
        <w:t xml:space="preserve">4.1 · Business X-Ray and Aperture Insights are two SOPs, not one</w:t>
      </w:r>
    </w:p>
    <w:p>
      <w:pPr>
        <w:spacing w:after="130" w:before="0" w:line="288"/>
      </w:pPr>
      <w:r>
        <w:rPr>
          <w:rFonts w:ascii="Arial" w:cs="Arial" w:eastAsia="Arial" w:hAnsi="Arial"/>
          <w:b w:val="false"/>
          <w:bCs w:val="false"/>
          <w:i w:val="false"/>
          <w:iCs w:val="false"/>
          <w:caps w:val="false"/>
          <w:color w:val="1A1A1A"/>
          <w:sz w:val="21"/>
          <w:szCs w:val="21"/>
        </w:rPr>
        <w:t xml:space="preserve">An earlier version collapsed them into a single agent. The SOP separates them, and it is right to.</w:t>
      </w:r>
    </w:p>
    <w:p>
      <w:pPr>
        <w:spacing w:after="130" w:before="0" w:line="288"/>
      </w:pPr>
      <w:r>
        <w:rPr>
          <w:rFonts w:ascii="Arial" w:cs="Arial" w:eastAsia="Arial" w:hAnsi="Arial"/>
          <w:b w:val="false"/>
          <w:bCs w:val="false"/>
          <w:i w:val="false"/>
          <w:iCs w:val="false"/>
          <w:caps w:val="false"/>
          <w:color w:val="1A1A1A"/>
          <w:sz w:val="21"/>
          <w:szCs w:val="21"/>
        </w:rPr>
        <w:t xml:space="preserve">Business X-Ray (SOP 01) is the fixed-fee diagnostic front door — a standalone product with its own scope, its own readout, and its own commercial job: earn the right to a larger engagement. Aperture Insights (SOP 02) is the opening phase of a full engagement; its first step is literally "confirm or produce the X-Ray," and its real work is the three steps after that.</w:t>
      </w:r>
    </w:p>
    <w:p>
      <w:pPr>
        <w:spacing w:after="130" w:before="0" w:line="288"/>
      </w:pPr>
      <w:r>
        <w:rPr>
          <w:rFonts w:ascii="Arial" w:cs="Arial" w:eastAsia="Arial" w:hAnsi="Arial"/>
          <w:b w:val="false"/>
          <w:bCs w:val="false"/>
          <w:i w:val="false"/>
          <w:iCs w:val="false"/>
          <w:caps w:val="false"/>
          <w:color w:val="1A1A1A"/>
          <w:sz w:val="21"/>
          <w:szCs w:val="21"/>
        </w:rPr>
        <w:t xml:space="preserve">They are the same lens and the same rubric doing two different jobs. Resolution: one agent, two modes.</w:t>
      </w:r>
    </w:p>
    <w:tbl>
      <w:tblPr>
        <w:tblW w:type="dxa" w:w="9360"/>
        <w:tblBorders>
          <w:top w:val="none"/>
          <w:left w:val="single" w:color="D9D9D9" w:sz="18"/>
          <w:bottom w:val="none"/>
          <w:right w:val="none"/>
          <w:insideH w:val="none"/>
          <w:insideV w:val="none"/>
        </w:tblBorders>
      </w:tblPr>
      <w:tblGrid>
        <w:gridCol w:w="9360"/>
      </w:tblGrid>
      <w:tr>
        <w:tc>
          <w:tcPr>
            <w:tcW w:type="dxa" w:w="9360"/>
            <w:shd w:fill="F7F7F7" w:color="auto" w:val="clear"/>
            <w:tcMar>
              <w:top w:type="dxa" w:w="130"/>
              <w:left w:type="dxa" w:w="180"/>
              <w:bottom w:type="dxa" w:w="130"/>
              <w:right w:type="dxa" w:w="140"/>
            </w:tcMar>
          </w:tcPr>
          <w:p>
            <w:pPr>
              <w:spacing w:after="0" w:before="0" w:line="225"/>
            </w:pPr>
            <w:r>
              <w:rPr>
                <w:rFonts w:ascii="Courier New" w:cs="Courier New" w:eastAsia="Courier New" w:hAnsi="Courier New"/>
                <w:b w:val="false"/>
                <w:bCs w:val="false"/>
                <w:i w:val="false"/>
                <w:iCs w:val="false"/>
                <w:caps w:val="false"/>
                <w:color w:val="1A1A1A"/>
                <w:sz w:val="16"/>
                <w:szCs w:val="16"/>
              </w:rPr>
              <w:t xml:space="preserve">Lena</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mode="xray"      -&gt; SOP 01 -&gt; Business X-Ray + Aperture Score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mode="insights"  -&gt; SOP 02 -&gt; reuse/extend X-Ray + validated constraint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success measures + sequenced plan</w:t>
            </w:r>
          </w:p>
        </w:tc>
      </w:tr>
    </w:tbl>
    <w:p>
      <w:pPr>
        <w:pStyle w:val="Heading3"/>
        <w:keepNext/>
        <w:spacing w:after="90" w:before="280" w:line="330"/>
      </w:pPr>
      <w:r>
        <w:rPr>
          <w:rFonts w:ascii="Arial" w:cs="Arial" w:eastAsia="Arial" w:hAnsi="Arial"/>
          <w:b/>
          <w:bCs/>
          <w:color w:val="000000"/>
          <w:sz w:val="25"/>
          <w:szCs w:val="25"/>
        </w:rPr>
        <w:t xml:space="preserve">4.2 · What the agents actually compress</w:t>
      </w:r>
    </w:p>
    <w:p>
      <w:pPr>
        <w:spacing w:after="130" w:before="0" w:line="288"/>
      </w:pPr>
      <w:r>
        <w:rPr>
          <w:rFonts w:ascii="Arial" w:cs="Arial" w:eastAsia="Arial" w:hAnsi="Arial"/>
          <w:b w:val="false"/>
          <w:bCs w:val="false"/>
          <w:i w:val="false"/>
          <w:iCs w:val="false"/>
          <w:caps w:val="false"/>
          <w:color w:val="1A1A1A"/>
          <w:sz w:val="21"/>
          <w:szCs w:val="21"/>
        </w:rPr>
        <w:t xml:space="preserve">An earlier version framed the target as "X-Ray turnaround: weeks to days." The SOP shows that is wrong, and the honest version is better.</w:t>
      </w:r>
    </w:p>
    <w:p>
      <w:pPr>
        <w:spacing w:after="130" w:before="0" w:line="288"/>
      </w:pPr>
      <w:r>
        <w:rPr>
          <w:rFonts w:ascii="Arial" w:cs="Arial" w:eastAsia="Arial" w:hAnsi="Arial"/>
          <w:b w:val="false"/>
          <w:bCs w:val="false"/>
          <w:i w:val="false"/>
          <w:iCs w:val="false"/>
          <w:caps w:val="false"/>
          <w:color w:val="1A1A1A"/>
          <w:sz w:val="21"/>
          <w:szCs w:val="21"/>
        </w:rPr>
        <w:t xml:space="preserve">The X-Ray’s 2–3 week duration is not analysis time. It is a 45–60 minute kickoff, a data-return wait on the client, 3–5 interviews of 45 minutes each that have to be scheduled, and a 60-minute readout. Those steps are calendar-bound and irreducibly human.</w:t>
      </w:r>
    </w:p>
    <w:tbl>
      <w:tblPr>
        <w:tblW w:type="dxa" w:w="9360"/>
        <w:tblBorders>
          <w:top w:val="single" w:color="D9D9D9" w:sz="2"/>
          <w:left w:val="none"/>
          <w:bottom w:val="single" w:color="D9D9D9" w:sz="2"/>
          <w:right w:val="none"/>
          <w:insideH w:val="single" w:color="D9D9D9" w:sz="2"/>
          <w:insideV w:val="none"/>
        </w:tblBorders>
      </w:tblPr>
      <w:tblGrid>
        <w:gridCol w:w="2434"/>
        <w:gridCol w:w="4118"/>
        <w:gridCol w:w="2808"/>
      </w:tblGrid>
      <w:tr>
        <w:trPr>
          <w:tblHeader/>
        </w:trPr>
        <w:tc>
          <w:tcPr>
            <w:tcW w:type="dxa" w:w="2434"/>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
            </w:r>
          </w:p>
        </w:tc>
        <w:tc>
          <w:tcPr>
            <w:tcW w:type="dxa" w:w="411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it is</w:t>
            </w:r>
          </w:p>
        </w:tc>
        <w:tc>
          <w:tcPr>
            <w:tcW w:type="dxa" w:w="280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Can an agent compress it?</w:t>
            </w:r>
          </w:p>
        </w:tc>
      </w:tr>
      <w:tr>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Kickoff, interviews, readout</w:t>
            </w:r>
          </w:p>
        </w:tc>
        <w:tc>
          <w:tcPr>
            <w:tcW w:type="dxa" w:w="411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~5–7 hours of meetings, spread across weeks by scheduling</w:t>
            </w:r>
          </w:p>
        </w:tc>
        <w:tc>
          <w:tcPr>
            <w:tcW w:type="dxa" w:w="280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No</w:t>
            </w:r>
          </w:p>
        </w:tc>
      </w:tr>
      <w:tr>
        <w:tc>
          <w:tcPr>
            <w:tcW w:type="dxa" w:w="243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Data return</w:t>
            </w:r>
          </w:p>
        </w:tc>
        <w:tc>
          <w:tcPr>
            <w:tcW w:type="dxa" w:w="411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Client-side wait</w:t>
            </w:r>
          </w:p>
        </w:tc>
        <w:tc>
          <w:tcPr>
            <w:tcW w:type="dxa" w:w="280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Only indirectly — a sharper, tailored data request reduces round trips</w:t>
            </w:r>
          </w:p>
        </w:tc>
      </w:tr>
      <w:tr>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Everything else</w:t>
            </w:r>
          </w:p>
        </w:tc>
        <w:tc>
          <w:tcPr>
            <w:tcW w:type="dxa" w:w="411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Assemble · reconcile · score · triangulate · draft</w:t>
            </w:r>
          </w:p>
        </w:tc>
        <w:tc>
          <w:tcPr>
            <w:tcW w:type="dxa" w:w="280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Yes — days to hours</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The honest claim</w:t>
            </w:r>
          </w:p>
          <w:p>
            <w:pPr>
              <w:spacing w:after="60" w:before="0" w:line="288"/>
            </w:pPr>
            <w:r>
              <w:rPr>
                <w:rFonts w:ascii="Arial" w:cs="Arial" w:eastAsia="Arial" w:hAnsi="Arial"/>
                <w:b w:val="false"/>
                <w:bCs w:val="false"/>
                <w:i w:val="false"/>
                <w:iCs w:val="false"/>
                <w:caps w:val="false"/>
                <w:color w:val="1A1A1A"/>
                <w:sz w:val="20"/>
                <w:szCs w:val="20"/>
              </w:rPr>
              <w:t xml:space="preserve">The X-Ray stays a 2–3 week engagement, because that is how long it takes to get on people’s calendars. What changes is that your hands-on time inside it drops from most of two weeks to a day of review and judgment — which is what lets you run five or ten concurrently. That is the actual business result, and it is a better story than "faster" because it is checkable.</w:t>
            </w:r>
          </w:p>
        </w:tc>
      </w:tr>
    </w:tbl>
    <w:p>
      <w:pPr>
        <w:pStyle w:val="Heading3"/>
        <w:keepNext/>
        <w:spacing w:after="90" w:before="280" w:line="330"/>
      </w:pPr>
      <w:r>
        <w:rPr>
          <w:rFonts w:ascii="Arial" w:cs="Arial" w:eastAsia="Arial" w:hAnsi="Arial"/>
          <w:b/>
          <w:bCs/>
          <w:color w:val="000000"/>
          <w:sz w:val="25"/>
          <w:szCs w:val="25"/>
        </w:rPr>
        <w:t xml:space="preserve">4.3 · Standalone prerequisites need declared fallbacks</w:t>
      </w:r>
    </w:p>
    <w:p>
      <w:pPr>
        <w:spacing w:after="130" w:before="0" w:line="288"/>
      </w:pPr>
      <w:r>
        <w:rPr>
          <w:rFonts w:ascii="Arial" w:cs="Arial" w:eastAsia="Arial" w:hAnsi="Arial"/>
          <w:b w:val="false"/>
          <w:bCs w:val="false"/>
          <w:i w:val="false"/>
          <w:iCs w:val="false"/>
          <w:caps w:val="false"/>
          <w:color w:val="1A1A1A"/>
          <w:sz w:val="21"/>
          <w:szCs w:val="21"/>
        </w:rPr>
        <w:t xml:space="preserve">The SOPs state prerequisites — Analytics "run after Insights," Compass "run after Analytics and/or Intelligence," Atlas "run after Compass" — and also say any segment can run standalone. Both are true, and the build makes them true simultaneously. Section 7.</w:t>
      </w:r>
    </w:p>
    <w:p>
      <w:pPr>
        <w:pStyle w:val="Heading3"/>
        <w:keepNext/>
        <w:spacing w:after="90" w:before="280" w:line="330"/>
      </w:pPr>
      <w:r>
        <w:rPr>
          <w:rFonts w:ascii="Arial" w:cs="Arial" w:eastAsia="Arial" w:hAnsi="Arial"/>
          <w:b/>
          <w:bCs/>
          <w:color w:val="000000"/>
          <w:sz w:val="25"/>
          <w:szCs w:val="25"/>
        </w:rPr>
        <w:t xml:space="preserve">4.4 · Every score must carry its version</w:t>
      </w:r>
    </w:p>
    <w:p>
      <w:pPr>
        <w:spacing w:after="130" w:before="0" w:line="288"/>
      </w:pPr>
      <w:r>
        <w:rPr>
          <w:rFonts w:ascii="Arial" w:cs="Arial" w:eastAsia="Arial" w:hAnsi="Arial"/>
          <w:b w:val="false"/>
          <w:bCs w:val="false"/>
          <w:i w:val="false"/>
          <w:iCs w:val="false"/>
          <w:caps w:val="false"/>
          <w:color w:val="1A1A1A"/>
          <w:sz w:val="21"/>
          <w:szCs w:val="21"/>
        </w:rPr>
        <w:t xml:space="preserve">SOP 06 Step 5 requires that the re-scored Aperture Score "uses the identical baseline method." That is an engineering requirement: every score carries a weights_version and a rubric_version, and if either changes, historical scores are recomputed or explicitly flagged non-comparable. Otherwise the client’s progress chart is quietly meaningless.</w:t>
      </w:r>
    </w:p>
    <w:p>
      <w:r>
        <w:br w:type="page"/>
      </w:r>
    </w:p>
    <w:p>
      <w:pPr>
        <w:pStyle w:val="Heading2"/>
        <w:keepNext/>
        <w:spacing w:after="140" w:before="200" w:line="420"/>
      </w:pPr>
      <w:r>
        <w:rPr>
          <w:rFonts w:ascii="Arial" w:cs="Arial" w:eastAsia="Arial" w:hAnsi="Arial"/>
          <w:b/>
          <w:bCs/>
          <w:color w:val="000000"/>
          <w:sz w:val="34"/>
          <w:szCs w:val="34"/>
        </w:rPr>
        <w:t xml:space="preserve">5 · The system at a glance</w:t>
      </w:r>
    </w:p>
    <w:tbl>
      <w:tblPr>
        <w:tblW w:type="dxa" w:w="9360"/>
        <w:tblBorders>
          <w:top w:val="single" w:color="D9D9D9" w:sz="2"/>
          <w:left w:val="none"/>
          <w:bottom w:val="single" w:color="D9D9D9" w:sz="2"/>
          <w:right w:val="none"/>
          <w:insideH w:val="single" w:color="D9D9D9" w:sz="2"/>
          <w:insideV w:val="none"/>
        </w:tblBorders>
      </w:tblPr>
      <w:tblGrid>
        <w:gridCol w:w="2808"/>
        <w:gridCol w:w="6552"/>
      </w:tblGrid>
      <w:tr>
        <w:trPr>
          <w:tblHeader/>
        </w:trPr>
        <w:tc>
          <w:tcPr>
            <w:tcW w:type="dxa" w:w="280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Layer</w:t>
            </w:r>
          </w:p>
        </w:tc>
        <w:tc>
          <w:tcPr>
            <w:tcW w:type="dxa" w:w="655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happens</w:t>
            </w:r>
          </w:p>
        </w:tc>
      </w:tr>
      <w:tr>
        <w:tc>
          <w:tcPr>
            <w:tcW w:type="dxa" w:w="280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Client intake</w:t>
            </w:r>
          </w:p>
        </w:tc>
        <w:tc>
          <w:tcPr>
            <w:tcW w:type="dxa" w:w="655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Transcripts (Otter) · financials · operational data · customer records</w:t>
            </w:r>
          </w:p>
        </w:tc>
      </w:tr>
      <w:tr>
        <w:tc>
          <w:tcPr>
            <w:tcW w:type="dxa" w:w="280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Intake agent</w:t>
            </w:r>
          </w:p>
        </w:tc>
        <w:tc>
          <w:tcPr>
            <w:tcW w:type="dxa" w:w="655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Backstage, no persona, no client contact. Parse · normalize · reconcile · geocode · gap-report</w:t>
            </w:r>
          </w:p>
        </w:tc>
      </w:tr>
      <w:tr>
        <w:tc>
          <w:tcPr>
            <w:tcW w:type="dxa" w:w="280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Shared Intake Store + Ledger</w:t>
            </w:r>
          </w:p>
        </w:tc>
        <w:tc>
          <w:tcPr>
            <w:tcW w:type="dxa" w:w="655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One clean reconciled dataset per engagement. Every figure carries provenance</w:t>
            </w:r>
          </w:p>
        </w:tc>
      </w:tr>
      <w:tr>
        <w:tc>
          <w:tcPr>
            <w:tcW w:type="dxa" w:w="280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Scrub layer</w:t>
            </w:r>
          </w:p>
        </w:tc>
        <w:tc>
          <w:tcPr>
            <w:tcW w:type="dxa" w:w="655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Identities tokenized. The token map stays local</w:t>
            </w:r>
          </w:p>
        </w:tc>
      </w:tr>
      <w:tr>
        <w:tc>
          <w:tcPr>
            <w:tcW w:type="dxa" w:w="280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five agents</w:t>
            </w:r>
          </w:p>
        </w:tc>
        <w:tc>
          <w:tcPr>
            <w:tcW w:type="dxa" w:w="655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Lena · Marcus · Natalie · Aria · Thomas — each reads the Store directly, never each other as a dependency</w:t>
            </w:r>
          </w:p>
        </w:tc>
      </w:tr>
      <w:tr>
        <w:tc>
          <w:tcPr>
            <w:tcW w:type="dxa" w:w="280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Unscrub layer</w:t>
            </w:r>
          </w:p>
        </w:tc>
        <w:tc>
          <w:tcPr>
            <w:tcW w:type="dxa" w:w="655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Real values restored locally</w:t>
            </w:r>
          </w:p>
        </w:tc>
      </w:tr>
      <w:tr>
        <w:tc>
          <w:tcPr>
            <w:tcW w:type="dxa" w:w="280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Human review</w:t>
            </w:r>
          </w:p>
        </w:tc>
        <w:tc>
          <w:tcPr>
            <w:tcW w:type="dxa" w:w="655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/admin — approve or send back, with a diff</w:t>
            </w:r>
          </w:p>
        </w:tc>
      </w:tr>
      <w:tr>
        <w:tc>
          <w:tcPr>
            <w:tcW w:type="dxa" w:w="280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Delivery</w:t>
            </w:r>
          </w:p>
        </w:tc>
        <w:tc>
          <w:tcPr>
            <w:tcW w:type="dxa" w:w="655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Branded deliverable released to /portal</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The dispatcher, not a pipeline</w:t>
      </w:r>
    </w:p>
    <w:p>
      <w:pPr>
        <w:spacing w:after="130" w:before="0" w:line="288"/>
      </w:pPr>
      <w:r>
        <w:rPr>
          <w:rFonts w:ascii="Arial" w:cs="Arial" w:eastAsia="Arial" w:hAnsi="Arial"/>
          <w:b w:val="false"/>
          <w:bCs w:val="false"/>
          <w:i w:val="false"/>
          <w:iCs w:val="false"/>
          <w:caps w:val="false"/>
          <w:color w:val="1A1A1A"/>
          <w:sz w:val="21"/>
          <w:szCs w:val="21"/>
        </w:rPr>
        <w:t xml:space="preserve">A deterministic state machine, not an LLM. It reads which modules the client bought and starts those agents; independent agents run concurrently. It owns routing, gates, retries, and the audit trail. Routing a purchased scope is a finite known process, and a state machine cannot improvise.</w:t>
      </w:r>
    </w:p>
    <w:p>
      <w:r>
        <w:br w:type="page"/>
      </w:r>
    </w:p>
    <w:p>
      <w:pPr>
        <w:pStyle w:val="Heading2"/>
        <w:keepNext/>
        <w:spacing w:after="140" w:before="200" w:line="420"/>
      </w:pPr>
      <w:r>
        <w:rPr>
          <w:rFonts w:ascii="Arial" w:cs="Arial" w:eastAsia="Arial" w:hAnsi="Arial"/>
          <w:b/>
          <w:bCs/>
          <w:color w:val="000000"/>
          <w:sz w:val="34"/>
          <w:szCs w:val="34"/>
        </w:rPr>
        <w:t xml:space="preserve">6 · The agent roster</w:t>
      </w:r>
    </w:p>
    <w:p>
      <w:pPr>
        <w:spacing w:after="0"/>
      </w:pPr>
      <w:r>
        <w:drawing>
          <wp:inline distT="0" distB="0" distL="0" distR="0">
            <wp:extent cx="42481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48150" cy="1371600"/>
                    </a:xfrm>
                    <a:prstGeom prst="rect">
                      <a:avLst/>
                    </a:prstGeom>
                  </pic:spPr>
                </pic:pic>
              </a:graphicData>
            </a:graphic>
          </wp:inline>
        </w:drawing>
      </w:r>
    </w:p>
    <w:p>
      <w:pPr>
        <w:spacing w:after="120" w:before="0" w:line="276"/>
      </w:pPr>
      <w:r>
        <w:rPr>
          <w:rFonts w:ascii="Arial" w:cs="Arial" w:eastAsia="Arial" w:hAnsi="Arial"/>
          <w:b w:val="false"/>
          <w:bCs w:val="false"/>
          <w:i/>
          <w:iCs/>
          <w:caps w:val="false"/>
          <w:color w:val="6B6B6B"/>
          <w:sz w:val="16"/>
          <w:szCs w:val="16"/>
        </w:rPr>
        <w:t xml:space="preserve">Human-led, AI-enabled. Fenwick How at the helm, then the five Aperture Method™ AI agents — Lena, Marcus, Natalie, Aria and Thomas. The personas are internal: they shape how each agent is prompted and what it optimizes for. Clients see Aperture, not names.</w:t>
      </w:r>
    </w:p>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single" w:color="D9D9D9" w:sz="2"/>
          <w:left w:val="none"/>
          <w:bottom w:val="single" w:color="D9D9D9" w:sz="2"/>
          <w:right w:val="none"/>
          <w:insideH w:val="single" w:color="D9D9D9" w:sz="2"/>
          <w:insideV w:val="none"/>
        </w:tblBorders>
      </w:tblPr>
      <w:tblGrid>
        <w:gridCol w:w="1778"/>
        <w:gridCol w:w="1217"/>
        <w:gridCol w:w="1404"/>
        <w:gridCol w:w="2434"/>
        <w:gridCol w:w="1217"/>
        <w:gridCol w:w="1310"/>
      </w:tblGrid>
      <w:tr>
        <w:trPr>
          <w:tblHeader/>
        </w:trPr>
        <w:tc>
          <w:tcPr>
            <w:tcW w:type="dxa" w:w="177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SOP</w:t>
            </w:r>
          </w:p>
        </w:tc>
        <w:tc>
          <w:tcPr>
            <w:tcW w:type="dxa" w:w="1217"/>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Agent</w:t>
            </w:r>
          </w:p>
        </w:tc>
        <w:tc>
          <w:tcPr>
            <w:tcW w:type="dxa" w:w="1404"/>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Persona</w:t>
            </w:r>
          </w:p>
        </w:tc>
        <w:tc>
          <w:tcPr>
            <w:tcW w:type="dxa" w:w="2434"/>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Deliverable</w:t>
            </w:r>
          </w:p>
        </w:tc>
        <w:tc>
          <w:tcPr>
            <w:tcW w:type="dxa" w:w="1217"/>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Duration</w:t>
            </w:r>
          </w:p>
        </w:tc>
        <w:tc>
          <w:tcPr>
            <w:tcW w:type="dxa" w:w="131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Standalone?</w:t>
            </w:r>
          </w:p>
        </w:tc>
      </w:tr>
      <w:tr>
        <w:tc>
          <w:tcPr>
            <w:tcW w:type="dxa" w:w="17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00  Intake &amp; Acceptance</w:t>
            </w:r>
          </w:p>
        </w:tc>
        <w:tc>
          <w:tcPr>
            <w:tcW w:type="dxa" w:w="121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Fenwick How</w:t>
            </w:r>
          </w:p>
        </w:tc>
        <w:tc>
          <w:tcPr>
            <w:tcW w:type="dxa" w:w="140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Architect &amp; Managing Principal</w:t>
            </w:r>
          </w:p>
        </w:tc>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Engagement data store · Reconciliation Report · Gap Memo</w:t>
            </w:r>
          </w:p>
        </w:tc>
        <w:tc>
          <w:tcPr>
            <w:tcW w:type="dxa" w:w="121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continuous</w:t>
            </w:r>
          </w:p>
        </w:tc>
        <w:tc>
          <w:tcPr>
            <w:tcW w:type="dxa" w:w="131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gate</w:t>
            </w:r>
          </w:p>
        </w:tc>
      </w:tr>
      <w:tr>
        <w:tc>
          <w:tcPr>
            <w:tcW w:type="dxa" w:w="17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01  Business X-Ray</w:t>
            </w:r>
          </w:p>
        </w:tc>
        <w:tc>
          <w:tcPr>
            <w:tcW w:type="dxa" w:w="121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Lena mode=xray</w:t>
            </w:r>
          </w:p>
        </w:tc>
        <w:tc>
          <w:tcPr>
            <w:tcW w:type="dxa" w:w="140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Strategist</w:t>
            </w:r>
          </w:p>
        </w:tc>
        <w:tc>
          <w:tcPr>
            <w:tcW w:type="dxa" w:w="243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Business X-Ray + Aperture Score</w:t>
            </w:r>
          </w:p>
        </w:tc>
        <w:tc>
          <w:tcPr>
            <w:tcW w:type="dxa" w:w="121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2–3 wk</w:t>
            </w:r>
          </w:p>
        </w:tc>
        <w:tc>
          <w:tcPr>
            <w:tcW w:type="dxa" w:w="131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Yes — the wedge</w:t>
            </w:r>
          </w:p>
        </w:tc>
      </w:tr>
      <w:tr>
        <w:tc>
          <w:tcPr>
            <w:tcW w:type="dxa" w:w="17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02  Aperture Insights</w:t>
            </w:r>
          </w:p>
        </w:tc>
        <w:tc>
          <w:tcPr>
            <w:tcW w:type="dxa" w:w="121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Lena mode=insights</w:t>
            </w:r>
          </w:p>
        </w:tc>
        <w:tc>
          <w:tcPr>
            <w:tcW w:type="dxa" w:w="140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Strategist</w:t>
            </w:r>
          </w:p>
        </w:tc>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Validated constraint · success measures · plan</w:t>
            </w:r>
          </w:p>
        </w:tc>
        <w:tc>
          <w:tcPr>
            <w:tcW w:type="dxa" w:w="121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2–3 wk</w:t>
            </w:r>
          </w:p>
        </w:tc>
        <w:tc>
          <w:tcPr>
            <w:tcW w:type="dxa" w:w="131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Engagement-opening</w:t>
            </w:r>
          </w:p>
        </w:tc>
      </w:tr>
      <w:tr>
        <w:tc>
          <w:tcPr>
            <w:tcW w:type="dxa" w:w="17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03  Aperture Analytics</w:t>
            </w:r>
          </w:p>
        </w:tc>
        <w:tc>
          <w:tcPr>
            <w:tcW w:type="dxa" w:w="121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Marcus</w:t>
            </w:r>
          </w:p>
        </w:tc>
        <w:tc>
          <w:tcPr>
            <w:tcW w:type="dxa" w:w="140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Analyst</w:t>
            </w:r>
          </w:p>
        </w:tc>
        <w:tc>
          <w:tcPr>
            <w:tcW w:type="dxa" w:w="243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Profit Map + scenario model</w:t>
            </w:r>
          </w:p>
        </w:tc>
        <w:tc>
          <w:tcPr>
            <w:tcW w:type="dxa" w:w="121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3–4 wk</w:t>
            </w:r>
          </w:p>
        </w:tc>
        <w:tc>
          <w:tcPr>
            <w:tcW w:type="dxa" w:w="131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Yes</w:t>
            </w:r>
          </w:p>
        </w:tc>
      </w:tr>
      <w:tr>
        <w:tc>
          <w:tcPr>
            <w:tcW w:type="dxa" w:w="17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04  Aperture Intelligence</w:t>
            </w:r>
          </w:p>
        </w:tc>
        <w:tc>
          <w:tcPr>
            <w:tcW w:type="dxa" w:w="121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Natalie</w:t>
            </w:r>
          </w:p>
        </w:tc>
        <w:tc>
          <w:tcPr>
            <w:tcW w:type="dxa" w:w="140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Explorer</w:t>
            </w:r>
          </w:p>
        </w:tc>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Customer &amp; Market Map + ArcGIS package</w:t>
            </w:r>
          </w:p>
        </w:tc>
        <w:tc>
          <w:tcPr>
            <w:tcW w:type="dxa" w:w="121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2–3 wk</w:t>
            </w:r>
          </w:p>
        </w:tc>
        <w:tc>
          <w:tcPr>
            <w:tcW w:type="dxa" w:w="131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Yes</w:t>
            </w:r>
          </w:p>
        </w:tc>
      </w:tr>
      <w:tr>
        <w:tc>
          <w:tcPr>
            <w:tcW w:type="dxa" w:w="17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05  Aperture Compass</w:t>
            </w:r>
          </w:p>
        </w:tc>
        <w:tc>
          <w:tcPr>
            <w:tcW w:type="dxa" w:w="121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Aria</w:t>
            </w:r>
          </w:p>
        </w:tc>
        <w:tc>
          <w:tcPr>
            <w:tcW w:type="dxa" w:w="140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Navigator</w:t>
            </w:r>
          </w:p>
        </w:tc>
        <w:tc>
          <w:tcPr>
            <w:tcW w:type="dxa" w:w="243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Opportunity Matrix + Focus Plan</w:t>
            </w:r>
          </w:p>
        </w:tc>
        <w:tc>
          <w:tcPr>
            <w:tcW w:type="dxa" w:w="121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1–2 wk</w:t>
            </w:r>
          </w:p>
        </w:tc>
        <w:tc>
          <w:tcPr>
            <w:tcW w:type="dxa" w:w="131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Yes, degraded</w:t>
            </w:r>
          </w:p>
        </w:tc>
      </w:tr>
      <w:tr>
        <w:tc>
          <w:tcPr>
            <w:tcW w:type="dxa" w:w="17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06  Aperture Atlas</w:t>
            </w:r>
          </w:p>
        </w:tc>
        <w:tc>
          <w:tcPr>
            <w:tcW w:type="dxa" w:w="121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Thomas</w:t>
            </w:r>
          </w:p>
        </w:tc>
        <w:tc>
          <w:tcPr>
            <w:tcW w:type="dxa" w:w="140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Operator</w:t>
            </w:r>
          </w:p>
        </w:tc>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Live Scoreboard + KPI system</w:t>
            </w:r>
          </w:p>
        </w:tc>
        <w:tc>
          <w:tcPr>
            <w:tcW w:type="dxa" w:w="121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ongoing</w:t>
            </w:r>
          </w:p>
        </w:tc>
        <w:tc>
          <w:tcPr>
            <w:tcW w:type="dxa" w:w="131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Yes</w:t>
            </w:r>
          </w:p>
        </w:tc>
      </w:tr>
    </w:tbl>
    <w:p>
      <w:r>
        <w:br w:type="page"/>
      </w:r>
    </w:p>
    <w:p>
      <w:pPr>
        <w:pStyle w:val="Heading2"/>
        <w:keepNext/>
        <w:spacing w:after="140" w:before="200" w:line="420"/>
      </w:pPr>
      <w:r>
        <w:rPr>
          <w:rFonts w:ascii="Arial" w:cs="Arial" w:eastAsia="Arial" w:hAnsi="Arial"/>
          <w:b/>
          <w:bCs/>
          <w:color w:val="000000"/>
          <w:sz w:val="34"/>
          <w:szCs w:val="34"/>
        </w:rPr>
        <w:t xml:space="preserve">7 · Standalone fallbacks</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The rule</w:t>
            </w:r>
          </w:p>
          <w:p>
            <w:pPr>
              <w:spacing w:after="60" w:before="0" w:line="288"/>
            </w:pPr>
            <w:r>
              <w:rPr>
                <w:rFonts w:ascii="Arial" w:cs="Arial" w:eastAsia="Arial" w:hAnsi="Arial"/>
                <w:b w:val="false"/>
                <w:bCs w:val="false"/>
                <w:i w:val="false"/>
                <w:iCs w:val="false"/>
                <w:caps w:val="false"/>
                <w:color w:val="1A1A1A"/>
                <w:sz w:val="20"/>
                <w:szCs w:val="20"/>
              </w:rPr>
              <w:t xml:space="preserve">Every agent has a required core it reads from intake, and enrichment inputs it uses when present. Where an SOP prerequisite comes from a module that was not purchased, the agent derives a minimal substitute and labels it.</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single" w:color="D9D9D9" w:sz="2"/>
          <w:left w:val="none"/>
          <w:bottom w:val="single" w:color="D9D9D9" w:sz="2"/>
          <w:right w:val="none"/>
          <w:insideH w:val="single" w:color="D9D9D9" w:sz="2"/>
          <w:insideV w:val="none"/>
        </w:tblBorders>
      </w:tblPr>
      <w:tblGrid>
        <w:gridCol w:w="1404"/>
        <w:gridCol w:w="2340"/>
        <w:gridCol w:w="3463"/>
        <w:gridCol w:w="2153"/>
      </w:tblGrid>
      <w:tr>
        <w:trPr>
          <w:tblHeader/>
        </w:trPr>
        <w:tc>
          <w:tcPr>
            <w:tcW w:type="dxa" w:w="1404"/>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Bought alone</w:t>
            </w:r>
          </w:p>
        </w:tc>
        <w:tc>
          <w:tcPr>
            <w:tcW w:type="dxa" w:w="234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SOP prerequisite absent</w:t>
            </w:r>
          </w:p>
        </w:tc>
        <w:tc>
          <w:tcPr>
            <w:tcW w:type="dxa" w:w="3463"/>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Fallback</w:t>
            </w:r>
          </w:p>
        </w:tc>
        <w:tc>
          <w:tcPr>
            <w:tcW w:type="dxa" w:w="2153"/>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Labelled as</w:t>
            </w:r>
          </w:p>
        </w:tc>
      </w:tr>
      <w:tr>
        <w:tc>
          <w:tcPr>
            <w:tcW w:type="dxa" w:w="140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Analytics</w:t>
            </w:r>
          </w:p>
        </w:tc>
        <w:tc>
          <w:tcPr>
            <w:tcW w:type="dxa" w:w="234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Validated constraint + success measures</w:t>
            </w:r>
          </w:p>
        </w:tc>
        <w:tc>
          <w:tcPr>
            <w:tcW w:type="dxa" w:w="346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Marcus derives a working constraint hypothesis from the financials and states it</w:t>
            </w:r>
          </w:p>
        </w:tc>
        <w:tc>
          <w:tcPr>
            <w:tcW w:type="dxa" w:w="215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Derived from financials — not owner-validated</w:t>
            </w:r>
          </w:p>
        </w:tc>
      </w:tr>
      <w:tr>
        <w:tc>
          <w:tcPr>
            <w:tcW w:type="dxa" w:w="140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Intelligence</w:t>
            </w:r>
          </w:p>
        </w:tc>
        <w:tc>
          <w:tcPr>
            <w:tcW w:type="dxa" w:w="234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Constraint + success measures</w:t>
            </w:r>
          </w:p>
        </w:tc>
        <w:tc>
          <w:tcPr>
            <w:tcW w:type="dxa" w:w="3463"/>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Natalie runs the full spatial arc from intake; frames output as "where demand is," not "what to do"</w:t>
            </w:r>
          </w:p>
        </w:tc>
        <w:tc>
          <w:tcPr>
            <w:tcW w:type="dxa" w:w="2153"/>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Spatial finding — strategic priority not assessed</w:t>
            </w:r>
          </w:p>
        </w:tc>
      </w:tr>
      <w:tr>
        <w:tc>
          <w:tcPr>
            <w:tcW w:type="dxa" w:w="140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Compass</w:t>
            </w:r>
          </w:p>
        </w:tc>
        <w:tc>
          <w:tcPr>
            <w:tcW w:type="dxa" w:w="234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Shortlisted moves from Analytics / Intelligence</w:t>
            </w:r>
          </w:p>
        </w:tc>
        <w:tc>
          <w:tcPr>
            <w:tcW w:type="dxa" w:w="346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Aria generates candidates from intake + X-Ray if present, scores what is evidenced, names the rest as open questions</w:t>
            </w:r>
          </w:p>
        </w:tc>
        <w:tc>
          <w:tcPr>
            <w:tcW w:type="dxa" w:w="215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Scored on available evidence — items requiring other modules listed separately</w:t>
            </w:r>
          </w:p>
        </w:tc>
      </w:tr>
      <w:tr>
        <w:tc>
          <w:tcPr>
            <w:tcW w:type="dxa" w:w="140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Atlas</w:t>
            </w:r>
          </w:p>
        </w:tc>
        <w:tc>
          <w:tcPr>
            <w:tcW w:type="dxa" w:w="234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Focus Plan + success measures</w:t>
            </w:r>
          </w:p>
        </w:tc>
        <w:tc>
          <w:tcPr>
            <w:tcW w:type="dxa" w:w="3463"/>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Thomas baselines on the client’s stated goals + intake KPIs; establishes period zero</w:t>
            </w:r>
          </w:p>
        </w:tc>
        <w:tc>
          <w:tcPr>
            <w:tcW w:type="dxa" w:w="2153"/>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Baseline established at subscription — no prior engagement</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Every deliverable carries a "What this module assumed" box</w:t>
      </w:r>
    </w:p>
    <w:p>
      <w:pPr>
        <w:spacing w:after="130" w:before="0" w:line="288"/>
      </w:pPr>
      <w:r>
        <w:rPr>
          <w:rFonts w:ascii="Arial" w:cs="Arial" w:eastAsia="Arial" w:hAnsi="Arial"/>
          <w:b w:val="false"/>
          <w:bCs w:val="false"/>
          <w:i w:val="false"/>
          <w:iCs w:val="false"/>
          <w:caps w:val="false"/>
          <w:color w:val="1A1A1A"/>
          <w:sz w:val="21"/>
          <w:szCs w:val="21"/>
        </w:rPr>
        <w:t xml:space="preserve">Two reasons. It is honest — the client knows exactly what was and was not established. And it is the cleanest upsell you will ever write, because the box is literally a list of what the next module would resolve.</w:t>
      </w:r>
    </w:p>
    <w:p>
      <w:pPr>
        <w:spacing w:after="150" w:before="0" w:line="288"/>
      </w:pPr>
      <w:r>
        <w:rPr>
          <w:rFonts w:ascii="Arial" w:cs="Arial" w:eastAsia="Arial" w:hAnsi="Arial"/>
          <w:b/>
          <w:bCs/>
          <w:i w:val="false"/>
          <w:iCs w:val="false"/>
          <w:caps w:val="false"/>
          <w:color w:val="1A1A1A"/>
          <w:sz w:val="20"/>
          <w:szCs w:val="20"/>
        </w:rPr>
        <w:t xml:space="preserve">In code: </w:t>
      </w:r>
      <w:r>
        <w:rPr>
          <w:rFonts w:ascii="Arial" w:cs="Arial" w:eastAsia="Arial" w:hAnsi="Arial"/>
          <w:b w:val="false"/>
          <w:bCs w:val="false"/>
          <w:i w:val="false"/>
          <w:iCs w:val="false"/>
          <w:caps w:val="false"/>
          <w:color w:val="1A1A1A"/>
          <w:sz w:val="20"/>
          <w:szCs w:val="20"/>
        </w:rPr>
        <w:t xml:space="preserve">ModuleResult.derived_assumptions[] is non-optional. The renderer refuses to build a deliverable when the array is unset — empty is a valid answer, unset is a bug.</w:t>
      </w:r>
    </w:p>
    <w:p>
      <w:r>
        <w:br w:type="page"/>
      </w:r>
    </w:p>
    <w:p>
      <w:pPr>
        <w:pStyle w:val="Heading2"/>
        <w:keepNext/>
        <w:spacing w:after="140" w:before="200" w:line="420"/>
      </w:pPr>
      <w:r>
        <w:rPr>
          <w:rFonts w:ascii="Arial" w:cs="Arial" w:eastAsia="Arial" w:hAnsi="Arial"/>
          <w:b/>
          <w:bCs/>
          <w:color w:val="000000"/>
          <w:sz w:val="34"/>
          <w:szCs w:val="34"/>
        </w:rPr>
        <w:t xml:space="preserve">8 · The privacy backbone</w:t>
      </w:r>
    </w:p>
    <w:p>
      <w:pPr>
        <w:spacing w:after="130" w:before="0" w:line="288"/>
      </w:pPr>
      <w:r>
        <w:rPr>
          <w:rFonts w:ascii="Arial" w:cs="Arial" w:eastAsia="Arial" w:hAnsi="Arial"/>
          <w:b w:val="false"/>
          <w:bCs w:val="false"/>
          <w:i w:val="false"/>
          <w:iCs w:val="false"/>
          <w:caps w:val="false"/>
          <w:color w:val="1A1A1A"/>
          <w:sz w:val="21"/>
          <w:szCs w:val="21"/>
        </w:rPr>
        <w:t xml:space="preserve">Two thin local layers bracket every external model call. A local pre-processor detects and tokenizes identifiers; the lookup table mapping token to real value never leaves your machine. When results return, the same table swaps the real values back in locally. For a fully confidential engagement, a per-engagement switch routes that module to a local model instead, with zero external calls.</w:t>
      </w:r>
    </w:p>
    <w:p>
      <w:pPr>
        <w:pStyle w:val="Heading3"/>
        <w:keepNext/>
        <w:spacing w:after="90" w:before="280" w:line="330"/>
      </w:pPr>
      <w:r>
        <w:rPr>
          <w:rFonts w:ascii="Arial" w:cs="Arial" w:eastAsia="Arial" w:hAnsi="Arial"/>
          <w:b/>
          <w:bCs/>
          <w:color w:val="000000"/>
          <w:sz w:val="25"/>
          <w:szCs w:val="25"/>
        </w:rPr>
        <w:t xml:space="preserve">8.1 · Tokenize identities, never quantities</w:t>
      </w:r>
    </w:p>
    <w:p>
      <w:pPr>
        <w:spacing w:after="130" w:before="0" w:line="288"/>
      </w:pPr>
      <w:r>
        <w:rPr>
          <w:rFonts w:ascii="Arial" w:cs="Arial" w:eastAsia="Arial" w:hAnsi="Arial"/>
          <w:b w:val="false"/>
          <w:bCs w:val="false"/>
          <w:i w:val="false"/>
          <w:iCs w:val="false"/>
          <w:caps w:val="false"/>
          <w:color w:val="1A1A1A"/>
          <w:sz w:val="21"/>
          <w:szCs w:val="21"/>
        </w:rPr>
        <w:t xml:space="preserve">If Marcus receives $TOKEN_A instead of $6.44M he cannot compute a margin, rank a scenario, or notice that EBITDA fell from 22% to 15%. The analysis is the magnitudes.</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rPr>
          <w:tblHeader/>
        </w:trPr>
        <w:tc>
          <w:tcPr>
            <w:tcW w:type="dxa" w:w="468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Tokenized</w:t>
            </w:r>
          </w:p>
        </w:tc>
        <w:tc>
          <w:tcPr>
            <w:tcW w:type="dxa" w:w="468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Passed through real</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Client and person names · business names · street addresses · emails · phone numbers · account numbers</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Revenue · margins · counts · dates · ratios · volumes</w:t>
            </w:r>
          </w:p>
        </w:tc>
      </w:tr>
    </w:tbl>
    <w:p>
      <w:pPr>
        <w:spacing w:after="130" w:before="0" w:line="288"/>
      </w:pPr>
      <w:r>
        <w:rPr>
          <w:rFonts w:ascii="Arial" w:cs="Arial" w:eastAsia="Arial" w:hAnsi="Arial"/>
          <w:b w:val="false"/>
          <w:bCs w:val="false"/>
          <w:i w:val="false"/>
          <w:iCs w:val="false"/>
          <w:caps w:val="false"/>
          <w:color w:val="1A1A1A"/>
          <w:sz w:val="21"/>
          <w:szCs w:val="21"/>
        </w:rPr>
        <w:t xml:space="preserve">A number with no name attached is not identifying, and it is the entire substance of the work. If a specific figure genuinely is identifying on its own, that engagement runs local-only — do not half-scrub it.</w:t>
      </w:r>
    </w:p>
    <w:p>
      <w:pPr>
        <w:pStyle w:val="Heading3"/>
        <w:keepNext/>
        <w:spacing w:after="90" w:before="280" w:line="330"/>
      </w:pPr>
      <w:r>
        <w:rPr>
          <w:rFonts w:ascii="Arial" w:cs="Arial" w:eastAsia="Arial" w:hAnsi="Arial"/>
          <w:b/>
          <w:bCs/>
          <w:color w:val="000000"/>
          <w:sz w:val="25"/>
          <w:szCs w:val="25"/>
        </w:rPr>
        <w:t xml:space="preserve">8.2 · Geography is computed locally, always</w:t>
      </w:r>
    </w:p>
    <w:p>
      <w:pPr>
        <w:spacing w:after="130" w:before="0" w:line="288"/>
      </w:pPr>
      <w:r>
        <w:rPr>
          <w:rFonts w:ascii="Arial" w:cs="Arial" w:eastAsia="Arial" w:hAnsi="Arial"/>
          <w:b w:val="false"/>
          <w:bCs w:val="false"/>
          <w:i w:val="false"/>
          <w:iCs w:val="false"/>
          <w:caps w:val="false"/>
          <w:color w:val="1A1A1A"/>
          <w:sz w:val="21"/>
          <w:szCs w:val="21"/>
        </w:rPr>
        <w:t xml:space="preserve">SOP 04 Step 1 already says "geocode, then drop street-level PII." The build enforces it: spatial tools run on your machine against real coordinates and emit derived geometry — trade-area polygons, density surfaces, H3-binned aggregates. Only the derived layer and its demographic profile go out for interpretation. Natalie reasons about "Area 7: 41k households, median income $118k, 12-minute drive time"; she never sees a street address. The spatial math is deterministic, so nothing is lost.</w:t>
      </w:r>
    </w:p>
    <w:p>
      <w:pPr>
        <w:pStyle w:val="Heading3"/>
        <w:keepNext/>
        <w:spacing w:after="90" w:before="280" w:line="330"/>
      </w:pPr>
      <w:r>
        <w:rPr>
          <w:rFonts w:ascii="Arial" w:cs="Arial" w:eastAsia="Arial" w:hAnsi="Arial"/>
          <w:b/>
          <w:bCs/>
          <w:color w:val="000000"/>
          <w:sz w:val="25"/>
          <w:szCs w:val="25"/>
        </w:rPr>
        <w:t xml:space="preserve">8.3 · The token map is deterministic and engagement-scoped</w:t>
      </w:r>
    </w:p>
    <w:p>
      <w:pPr>
        <w:spacing w:after="130" w:before="0" w:line="288"/>
      </w:pPr>
      <w:r>
        <w:rPr>
          <w:rFonts w:ascii="Arial" w:cs="Arial" w:eastAsia="Arial" w:hAnsi="Arial"/>
          <w:b w:val="false"/>
          <w:bCs w:val="false"/>
          <w:i w:val="false"/>
          <w:iCs w:val="false"/>
          <w:caps w:val="false"/>
          <w:color w:val="1A1A1A"/>
          <w:sz w:val="21"/>
          <w:szCs w:val="21"/>
        </w:rPr>
        <w:t xml:space="preserve">Generated once by Intake and reused by every agent for that engagement. source_ref values are opaque identifiers containing no PII and pass through untouched, so provenance survives the round trip and the scrub layer never fights the citation contract.</w:t>
      </w:r>
    </w:p>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Net posture</w:t>
            </w:r>
          </w:p>
          <w:p>
            <w:pPr>
              <w:spacing w:after="60" w:before="0" w:line="288"/>
            </w:pPr>
            <w:r>
              <w:rPr>
                <w:rFonts w:ascii="Arial" w:cs="Arial" w:eastAsia="Arial" w:hAnsi="Arial"/>
                <w:b w:val="false"/>
                <w:bCs w:val="false"/>
                <w:i w:val="false"/>
                <w:iCs w:val="false"/>
                <w:caps w:val="false"/>
                <w:color w:val="1A1A1A"/>
                <w:sz w:val="20"/>
                <w:szCs w:val="20"/>
              </w:rPr>
              <w:t xml:space="preserve">API-with-scrubbing as the default. Local-only as the premium confidential option, selected per engagement. Both paths produce identical deliverables — the client never sees which one ran.</w:t>
            </w:r>
          </w:p>
        </w:tc>
      </w:tr>
    </w:tbl>
    <w:p>
      <w:r>
        <w:br w:type="page"/>
      </w:r>
    </w:p>
    <w:p>
      <w:pPr>
        <w:pStyle w:val="Heading2"/>
        <w:keepNext/>
        <w:spacing w:after="140" w:before="200" w:line="420"/>
      </w:pPr>
      <w:r>
        <w:rPr>
          <w:rFonts w:ascii="Arial" w:cs="Arial" w:eastAsia="Arial" w:hAnsi="Arial"/>
          <w:b/>
          <w:bCs/>
          <w:color w:val="000000"/>
          <w:sz w:val="34"/>
          <w:szCs w:val="34"/>
        </w:rPr>
        <w:t xml:space="preserve">9 · The Aperture Score</w:t>
      </w:r>
    </w:p>
    <w:p>
      <w:pPr>
        <w:spacing w:after="130" w:before="0" w:line="288"/>
      </w:pPr>
      <w:r>
        <w:rPr>
          <w:rFonts w:ascii="Arial" w:cs="Arial" w:eastAsia="Arial" w:hAnsi="Arial"/>
          <w:b w:val="false"/>
          <w:bCs w:val="false"/>
          <w:i w:val="false"/>
          <w:iCs w:val="false"/>
          <w:caps w:val="false"/>
          <w:color w:val="1A1A1A"/>
          <w:sz w:val="21"/>
          <w:szCs w:val="21"/>
        </w:rPr>
        <w:t xml:space="preserve">The SOP settles the structure: seven lenses, each scored 1–100 with evidence, combined by weight into one composite, recorded so it can be re-scored identically later. What remains open is the weights and the per-lens criteria. Below is a starting proposal to react to — not a decision, and the weights are yours.</w:t>
      </w:r>
    </w:p>
    <w:tbl>
      <w:tblPr>
        <w:tblW w:type="dxa" w:w="9360"/>
        <w:tblBorders>
          <w:top w:val="single" w:color="D9D9D9" w:sz="2"/>
          <w:left w:val="none"/>
          <w:bottom w:val="single" w:color="D9D9D9" w:sz="2"/>
          <w:right w:val="none"/>
          <w:insideH w:val="single" w:color="D9D9D9" w:sz="2"/>
          <w:insideV w:val="none"/>
        </w:tblBorders>
      </w:tblPr>
      <w:tblGrid>
        <w:gridCol w:w="3557"/>
        <w:gridCol w:w="1123"/>
        <w:gridCol w:w="4680"/>
      </w:tblGrid>
      <w:tr>
        <w:trPr>
          <w:tblHeader/>
        </w:trPr>
        <w:tc>
          <w:tcPr>
            <w:tcW w:type="dxa" w:w="3557"/>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Lens</w:t>
            </w:r>
          </w:p>
        </w:tc>
        <w:tc>
          <w:tcPr>
            <w:tcW w:type="dxa" w:w="1123"/>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Weight</w:t>
            </w:r>
          </w:p>
        </w:tc>
        <w:tc>
          <w:tcPr>
            <w:tcW w:type="dxa" w:w="468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Why</w:t>
            </w:r>
          </w:p>
        </w:tc>
      </w:tr>
      <w:tr>
        <w:tc>
          <w:tcPr>
            <w:tcW w:type="dxa" w:w="355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Finance — margin, cash, unit economics, working capital</w:t>
            </w:r>
          </w:p>
        </w:tc>
        <w:tc>
          <w:tcPr>
            <w:tcW w:type="dxa" w:w="112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20</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Cash is where owner-run businesses actually die</w:t>
            </w:r>
          </w:p>
        </w:tc>
      </w:tr>
      <w:tr>
        <w:tc>
          <w:tcPr>
            <w:tcW w:type="dxa" w:w="355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Customers &amp; retention — acquisition, repeat, lifetime value</w:t>
            </w:r>
          </w:p>
        </w:tc>
        <w:tc>
          <w:tcPr>
            <w:tcW w:type="dxa" w:w="1123"/>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20</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Most common binding constraint in this ICP; the Lumina case turns on it</w:t>
            </w:r>
          </w:p>
        </w:tc>
      </w:tr>
      <w:tr>
        <w:tc>
          <w:tcPr>
            <w:tcW w:type="dxa" w:w="355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Operations — capacity, throughput, bottlenecks</w:t>
            </w:r>
          </w:p>
        </w:tc>
        <w:tc>
          <w:tcPr>
            <w:tcW w:type="dxa" w:w="112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15</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Where the constraint physically lives</w:t>
            </w:r>
          </w:p>
        </w:tc>
      </w:tr>
      <w:tr>
        <w:tc>
          <w:tcPr>
            <w:tcW w:type="dxa" w:w="355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Market &amp; competition — position, demand, local dynamics</w:t>
            </w:r>
          </w:p>
        </w:tc>
        <w:tc>
          <w:tcPr>
            <w:tcW w:type="dxa" w:w="1123"/>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15</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Intelligence hook, and the ceiling on everything else</w:t>
            </w:r>
          </w:p>
        </w:tc>
      </w:tr>
      <w:tr>
        <w:tc>
          <w:tcPr>
            <w:tcW w:type="dxa" w:w="355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Processes — how work gets done, where it breaks</w:t>
            </w:r>
          </w:p>
        </w:tc>
        <w:tc>
          <w:tcPr>
            <w:tcW w:type="dxa" w:w="112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10</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Real, but usually downstream of the four above</w:t>
            </w:r>
          </w:p>
        </w:tc>
      </w:tr>
      <w:tr>
        <w:tc>
          <w:tcPr>
            <w:tcW w:type="dxa" w:w="3557"/>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Technology &amp; data — systems, data quality, automation</w:t>
            </w:r>
          </w:p>
        </w:tc>
        <w:tc>
          <w:tcPr>
            <w:tcW w:type="dxa" w:w="1123"/>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10</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AI-adoption hook; rarely the binding constraint by itself</w:t>
            </w:r>
          </w:p>
        </w:tc>
      </w:tr>
      <w:tr>
        <w:tc>
          <w:tcPr>
            <w:tcW w:type="dxa" w:w="3557"/>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Leadership &amp; team — key-person risk, roles, capability</w:t>
            </w:r>
          </w:p>
        </w:tc>
        <w:tc>
          <w:tcPr>
            <w:tcW w:type="dxa" w:w="112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10</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High variance; hardest to evidence from data alone</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Design requirements regardless of the numbers</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Weights sum to 100 and are stored as weights_version. Every score carries it.</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Each lens has 4–6 declared sub-criteria with a scoring band and a required evidence type, so two runs on the same data produce the same score.</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A lens with insufficient evidence scores as insufficient_evidence, not as a middling 50. A guessed lens quietly corrupts the composite and the client’s trend line.</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Re-scoring in Atlas uses the stored weights_version and rubric_version. If either changes, historical scores are recomputed or flagged non-comparable — never silently mixed.</w:t>
      </w:r>
    </w:p>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Worth a working session before Phase 1 ships</w:t>
            </w:r>
          </w:p>
          <w:p>
            <w:pPr>
              <w:spacing w:after="60" w:before="0" w:line="288"/>
            </w:pPr>
            <w:r>
              <w:rPr>
                <w:rFonts w:ascii="Arial" w:cs="Arial" w:eastAsia="Arial" w:hAnsi="Arial"/>
                <w:b w:val="false"/>
                <w:bCs w:val="false"/>
                <w:i w:val="false"/>
                <w:iCs w:val="false"/>
                <w:caps w:val="false"/>
                <w:color w:val="1A1A1A"/>
                <w:sz w:val="20"/>
                <w:szCs w:val="20"/>
              </w:rPr>
              <w:t xml:space="preserve">This is the most durable IP in the Method and the one number a client will quote back to you for years.</w:t>
            </w:r>
          </w:p>
        </w:tc>
      </w:tr>
    </w:tbl>
    <w:p>
      <w:r>
        <w:br w:type="page"/>
      </w:r>
    </w:p>
    <w:p>
      <w:pPr>
        <w:pStyle w:val="Heading2"/>
        <w:keepNext/>
        <w:spacing w:after="140" w:before="200" w:line="420"/>
      </w:pPr>
      <w:r>
        <w:rPr>
          <w:rFonts w:ascii="Arial" w:cs="Arial" w:eastAsia="Arial" w:hAnsi="Arial"/>
          <w:b/>
          <w:bCs/>
          <w:color w:val="000000"/>
          <w:sz w:val="34"/>
          <w:szCs w:val="34"/>
        </w:rPr>
        <w:t xml:space="preserve">10 · Data model</w:t>
      </w:r>
    </w:p>
    <w:p>
      <w:pPr>
        <w:spacing w:after="130" w:before="0" w:line="288"/>
      </w:pPr>
      <w:r>
        <w:rPr>
          <w:rFonts w:ascii="Arial" w:cs="Arial" w:eastAsia="Arial" w:hAnsi="Arial"/>
          <w:b w:val="false"/>
          <w:bCs w:val="false"/>
          <w:i w:val="false"/>
          <w:iCs w:val="false"/>
          <w:caps w:val="false"/>
          <w:color w:val="1A1A1A"/>
          <w:sz w:val="21"/>
          <w:szCs w:val="21"/>
        </w:rPr>
        <w:t xml:space="preserve">DuckDB, one file per engagement, local.</w:t>
      </w:r>
    </w:p>
    <w:tbl>
      <w:tblPr>
        <w:tblW w:type="dxa" w:w="9360"/>
        <w:tblBorders>
          <w:top w:val="none"/>
          <w:left w:val="single" w:color="D9D9D9" w:sz="18"/>
          <w:bottom w:val="none"/>
          <w:right w:val="none"/>
          <w:insideH w:val="none"/>
          <w:insideV w:val="none"/>
        </w:tblBorders>
      </w:tblPr>
      <w:tblGrid>
        <w:gridCol w:w="9360"/>
      </w:tblGrid>
      <w:tr>
        <w:tc>
          <w:tcPr>
            <w:tcW w:type="dxa" w:w="9360"/>
            <w:shd w:fill="F7F7F7" w:color="auto" w:val="clear"/>
            <w:tcMar>
              <w:top w:type="dxa" w:w="130"/>
              <w:left w:type="dxa" w:w="180"/>
              <w:bottom w:type="dxa" w:w="130"/>
              <w:right w:type="dxa" w:w="140"/>
            </w:tcMar>
          </w:tcPr>
          <w:p>
            <w:pPr>
              <w:spacing w:after="0" w:before="0" w:line="225"/>
            </w:pPr>
            <w:r>
              <w:rPr>
                <w:rFonts w:ascii="Courier New" w:cs="Courier New" w:eastAsia="Courier New" w:hAnsi="Courier New"/>
                <w:b w:val="false"/>
                <w:bCs w:val="false"/>
                <w:i w:val="false"/>
                <w:iCs w:val="false"/>
                <w:caps w:val="false"/>
                <w:color w:val="1A1A1A"/>
                <w:sz w:val="16"/>
                <w:szCs w:val="16"/>
              </w:rPr>
              <w:t xml:space="preserve">-- identity &amp; scope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engagements(engagement_id PK, client_id, purchased_modules JSON, privacy_mode,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fiscal_year_end, status, created_at)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locations(location_id PK, engagement_id, label, opened_on, h3_index)</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service_lines(service_id PK, engagement_id, label, category)</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provenance spine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source_files(file_id PK, engagement_id, filename, sha256, parser, received_at)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ledger_facts(fact_id PK, engagement_id, entity, metric, period, value, unit,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source_file_id, source_locator, method, confidence)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operational data</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transactions(txn_id PK, engagement_id, date, customer_id, location_id,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service_id, qty, gross, discount, net, cost)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pnl(engagement_id, period, location_id, account, amount)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customers(customer_id PK, engagement_id, first_seen, last_seen, zip,</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h3_index, segment, clv)      -- lat/lon LOCAL ONLY, separate table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interviews(interview_id PK, engagement_id, role, transcript_ref, scrubbed_ref)</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kpi_feed(engagement_id, period, kpi_id, value, source_ref)</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method objects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lens_scores(engagement_id, run_id, lens, score, rationale, evidence_refs JSON,</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rubric_version)</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aperture_scores(engagement_id, run_id, scored_at, overall, by_lens JSON,</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weights_version, rubric_version)</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constraints(engagement_id, run_id, statement, evidence_refs JSON,</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disconfirming_refs JSON, status)      -- proposed | validated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success_measures(engagement_id, measure_id, label, baseline, target_low,</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target_high, unit, source_ref, cadence)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findings(finding_id PK, engagement_id, module, claim, evidence_refs JSON,</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confidence, status)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opportunities(opportunity_id PK, engagement_id, label, origin_module,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value, complexity, risk, constraint_impact, weighted_score,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weights_version, evidence_refs JSON)</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run control</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runs(run_id PK, engagement_id, module, mode, status, started_at, ended_at,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model, prompt_version, sop_version)</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artifacts(artifact_id PK, run_id, type, path, template, version, status)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approvals(approval_id PK, artifact_id, approver, decision, diff_ref, at)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gate_results(run_id, check_id, passed, detail)</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gaps(engagement_id, module, field, severity, status)</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Never in this file</w:t>
            </w:r>
          </w:p>
          <w:p>
            <w:pPr>
              <w:spacing w:after="60" w:before="0" w:line="288"/>
            </w:pPr>
            <w:r>
              <w:rPr>
                <w:rFonts w:ascii="Arial" w:cs="Arial" w:eastAsia="Arial" w:hAnsi="Arial"/>
                <w:b w:val="false"/>
                <w:bCs w:val="false"/>
                <w:i w:val="false"/>
                <w:iCs w:val="false"/>
                <w:caps w:val="false"/>
                <w:color w:val="1A1A1A"/>
                <w:sz w:val="20"/>
                <w:szCs w:val="20"/>
              </w:rPr>
              <w:t xml:space="preserve">The token map. It lives at engagements/&lt;id&gt;/tokens.json — git-ignored, local-only, never synced anywhere.</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The provenance envelope</w:t>
      </w:r>
    </w:p>
    <w:p>
      <w:pPr>
        <w:spacing w:after="130" w:before="0" w:line="288"/>
      </w:pPr>
      <w:r>
        <w:rPr>
          <w:rFonts w:ascii="Arial" w:cs="Arial" w:eastAsia="Arial" w:hAnsi="Arial"/>
          <w:b w:val="false"/>
          <w:bCs w:val="false"/>
          <w:i w:val="false"/>
          <w:iCs w:val="false"/>
          <w:caps w:val="false"/>
          <w:color w:val="1A1A1A"/>
          <w:sz w:val="21"/>
          <w:szCs w:val="21"/>
        </w:rPr>
        <w:t xml:space="preserve">Every client-facing number is this shape, end to end. The renderer walks the document tree, and any numeric literal without an envelope fails the build.</w:t>
      </w:r>
    </w:p>
    <w:tbl>
      <w:tblPr>
        <w:tblW w:type="dxa" w:w="9360"/>
        <w:tblBorders>
          <w:top w:val="none"/>
          <w:left w:val="single" w:color="D9D9D9" w:sz="18"/>
          <w:bottom w:val="none"/>
          <w:right w:val="none"/>
          <w:insideH w:val="none"/>
          <w:insideV w:val="none"/>
        </w:tblBorders>
      </w:tblPr>
      <w:tblGrid>
        <w:gridCol w:w="9360"/>
      </w:tblGrid>
      <w:tr>
        <w:tc>
          <w:tcPr>
            <w:tcW w:type="dxa" w:w="9360"/>
            <w:shd w:fill="F7F7F7" w:color="auto" w:val="clear"/>
            <w:tcMar>
              <w:top w:type="dxa" w:w="130"/>
              <w:left w:type="dxa" w:w="180"/>
              <w:bottom w:type="dxa" w:w="130"/>
              <w:right w:type="dxa" w:w="140"/>
            </w:tcMar>
          </w:tcPr>
          <w:p>
            <w:pPr>
              <w:spacing w:after="0" w:before="0" w:line="225"/>
            </w:pPr>
            <w:r>
              <w:rPr>
                <w:rFonts w:ascii="Courier New" w:cs="Courier New" w:eastAsia="Courier New" w:hAnsi="Courier New"/>
                <w:b w:val="false"/>
                <w:bCs w:val="false"/>
                <w:i w:val="false"/>
                <w:iCs w:val="false"/>
                <w:caps w:val="false"/>
                <w:color w:val="1A1A1A"/>
                <w:sz w:val="16"/>
                <w:szCs w:val="16"/>
              </w:rPr>
              <w:t xml:space="preserv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"label": "FY2025 revenue",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"value": 6440000,</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"unit": "USD",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"period": "FY2025",</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"source_ref": ["fact:8a3f21", "fact:9c2104"],</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"method": "sum(pnl.amount where account_type='revenue')"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w:t>
            </w:r>
          </w:p>
        </w:tc>
      </w:tr>
    </w:tbl>
    <w:p>
      <w:r>
        <w:br w:type="page"/>
      </w:r>
    </w:p>
    <w:p>
      <w:pPr>
        <w:pStyle w:val="Heading2"/>
        <w:keepNext/>
        <w:spacing w:after="140" w:before="200" w:line="420"/>
      </w:pPr>
      <w:r>
        <w:rPr>
          <w:rFonts w:ascii="Arial" w:cs="Arial" w:eastAsia="Arial" w:hAnsi="Arial"/>
          <w:b/>
          <w:bCs/>
          <w:color w:val="000000"/>
          <w:sz w:val="34"/>
          <w:szCs w:val="34"/>
        </w:rPr>
        <w:t xml:space="preserve">11 · Run contract</w:t>
      </w:r>
    </w:p>
    <w:p>
      <w:pPr>
        <w:spacing w:after="130" w:before="0" w:line="288"/>
      </w:pPr>
      <w:r>
        <w:rPr>
          <w:rFonts w:ascii="Arial" w:cs="Arial" w:eastAsia="Arial" w:hAnsi="Arial"/>
          <w:b w:val="false"/>
          <w:bCs w:val="false"/>
          <w:i w:val="false"/>
          <w:iCs w:val="false"/>
          <w:caps w:val="false"/>
          <w:color w:val="1A1A1A"/>
          <w:sz w:val="21"/>
          <w:szCs w:val="21"/>
        </w:rPr>
        <w:t xml:space="preserve">Every agent has the same signature. This is what makes modularity real rather than claimed.</w:t>
      </w:r>
    </w:p>
    <w:tbl>
      <w:tblPr>
        <w:tblW w:type="dxa" w:w="9360"/>
        <w:tblBorders>
          <w:top w:val="none"/>
          <w:left w:val="single" w:color="D9D9D9" w:sz="18"/>
          <w:bottom w:val="none"/>
          <w:right w:val="none"/>
          <w:insideH w:val="none"/>
          <w:insideV w:val="none"/>
        </w:tblBorders>
      </w:tblPr>
      <w:tblGrid>
        <w:gridCol w:w="9360"/>
      </w:tblGrid>
      <w:tr>
        <w:tc>
          <w:tcPr>
            <w:tcW w:type="dxa" w:w="9360"/>
            <w:shd w:fill="F7F7F7" w:color="auto" w:val="clear"/>
            <w:tcMar>
              <w:top w:type="dxa" w:w="130"/>
              <w:left w:type="dxa" w:w="180"/>
              <w:bottom w:type="dxa" w:w="130"/>
              <w:right w:type="dxa" w:w="140"/>
            </w:tcMar>
          </w:tcPr>
          <w:p>
            <w:pPr>
              <w:spacing w:after="0" w:before="0" w:line="225"/>
            </w:pPr>
            <w:r>
              <w:rPr>
                <w:rFonts w:ascii="Courier New" w:cs="Courier New" w:eastAsia="Courier New" w:hAnsi="Courier New"/>
                <w:b w:val="false"/>
                <w:bCs w:val="false"/>
                <w:i w:val="false"/>
                <w:iCs w:val="false"/>
                <w:caps w:val="false"/>
                <w:color w:val="1A1A1A"/>
                <w:sz w:val="16"/>
                <w:szCs w:val="16"/>
              </w:rPr>
              <w:t xml:space="preserve">def run(engagement_id: str,</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module: Module,               # xray|insights|analytics|intelligence|compass|atlas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mode: str = "standalone",     # standalone | engagement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upstream: dict | None = None, # optional enrichment refs - NEVER required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privacy: str = "scrubbed_api" # scrubbed_api | local_only</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-&gt; ModuleResult: ...</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D9D9D9" w:sz="18"/>
          <w:bottom w:val="none"/>
          <w:right w:val="none"/>
          <w:insideH w:val="none"/>
          <w:insideV w:val="none"/>
        </w:tblBorders>
      </w:tblPr>
      <w:tblGrid>
        <w:gridCol w:w="9360"/>
      </w:tblGrid>
      <w:tr>
        <w:tc>
          <w:tcPr>
            <w:tcW w:type="dxa" w:w="9360"/>
            <w:shd w:fill="F7F7F7" w:color="auto" w:val="clear"/>
            <w:tcMar>
              <w:top w:type="dxa" w:w="130"/>
              <w:left w:type="dxa" w:w="180"/>
              <w:bottom w:type="dxa" w:w="130"/>
              <w:right w:type="dxa" w:w="140"/>
            </w:tcMar>
          </w:tcPr>
          <w:p>
            <w:pPr>
              <w:spacing w:after="0" w:before="0" w:line="225"/>
            </w:pPr>
            <w:r>
              <w:rPr>
                <w:rFonts w:ascii="Courier New" w:cs="Courier New" w:eastAsia="Courier New" w:hAnsi="Courier New"/>
                <w:b w:val="false"/>
                <w:bCs w:val="false"/>
                <w:i w:val="false"/>
                <w:iCs w:val="false"/>
                <w:caps w:val="false"/>
                <w:color w:val="1A1A1A"/>
                <w:sz w:val="16"/>
                <w:szCs w:val="16"/>
              </w:rPr>
              <w:t xml:space="preserve">// ModuleResult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"module": "analytics",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"sop_version": "1.0",</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"mode": "standalone",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"status": "complete",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"findings":  [{"id":"f1","claim":"...","evidence_refs":["fact:..."],"confidence":0.8}],</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"figures":   [{"label":"...","value":0,"unit":"USD","source_ref":["fact:..."],"method":"..."}],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"artifacts": [{"type":"profit_map","path":"...","template":"analytics_doc","version":"1.2"}],</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"derived_assumptions": [</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{"input":"binding_constraint","source":"derived_from_financials",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"statement":"...","label":"Derived - not owner-validated"}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"gaps":        [{"field":"cost_allocations","severity":"medium"}],</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"gate_results":[{"check":"model_reconciles_to_the_dollar","passed":true}],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"handoff":     {"to":["compass"],"payload_refs":["opportunity:..."]}</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Hard rules enforced by base.py, not by prompt</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upstream is always optional. An agent that raises on missing upstream fails the isolation test and cannot ship.</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status="blocked" is a legitimate terminal state. Partial artifacts are never written.</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Every figures[] entry must carry a resolvable source_ref. The renderer re-validates independently.</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derived_assumptions must be present. Empty is valid; unset is a bug.</w:t>
      </w:r>
    </w:p>
    <w:p>
      <w:r>
        <w:br w:type="page"/>
      </w:r>
    </w:p>
    <w:p>
      <w:pPr>
        <w:pStyle w:val="Heading2"/>
        <w:keepNext/>
        <w:spacing w:after="140" w:before="200" w:line="420"/>
      </w:pPr>
      <w:r>
        <w:rPr>
          <w:rFonts w:ascii="Arial" w:cs="Arial" w:eastAsia="Arial" w:hAnsi="Arial"/>
          <w:b/>
          <w:bCs/>
          <w:color w:val="000000"/>
          <w:sz w:val="34"/>
          <w:szCs w:val="34"/>
        </w:rPr>
        <w:t xml:space="preserve">12 · Prompt architecture</w:t>
      </w:r>
    </w:p>
    <w:p>
      <w:pPr>
        <w:spacing w:after="130" w:before="0" w:line="288"/>
      </w:pPr>
      <w:r>
        <w:rPr>
          <w:rFonts w:ascii="Arial" w:cs="Arial" w:eastAsia="Arial" w:hAnsi="Arial"/>
          <w:b w:val="false"/>
          <w:bCs w:val="false"/>
          <w:i w:val="false"/>
          <w:iCs w:val="false"/>
          <w:caps w:val="false"/>
          <w:color w:val="1A1A1A"/>
          <w:sz w:val="21"/>
          <w:szCs w:val="21"/>
        </w:rPr>
        <w:t xml:space="preserve">Four blocks, assembled per run. Only block 1 is bespoke per agent.</w:t>
      </w:r>
    </w:p>
    <w:tbl>
      <w:tblPr>
        <w:tblW w:type="dxa" w:w="9360"/>
        <w:tblBorders>
          <w:top w:val="single" w:color="D9D9D9" w:sz="2"/>
          <w:left w:val="none"/>
          <w:bottom w:val="single" w:color="D9D9D9" w:sz="2"/>
          <w:right w:val="none"/>
          <w:insideH w:val="single" w:color="D9D9D9" w:sz="2"/>
          <w:insideV w:val="none"/>
        </w:tblBorders>
      </w:tblPr>
      <w:tblGrid>
        <w:gridCol w:w="1872"/>
        <w:gridCol w:w="2995"/>
        <w:gridCol w:w="4493"/>
      </w:tblGrid>
      <w:tr>
        <w:trPr>
          <w:tblHeader/>
        </w:trPr>
        <w:tc>
          <w:tcPr>
            <w:tcW w:type="dxa" w:w="187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Block</w:t>
            </w:r>
          </w:p>
        </w:tc>
        <w:tc>
          <w:tcPr>
            <w:tcW w:type="dxa" w:w="2995"/>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Source</w:t>
            </w:r>
          </w:p>
        </w:tc>
        <w:tc>
          <w:tcPr>
            <w:tcW w:type="dxa" w:w="4493"/>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Contents</w:t>
            </w:r>
          </w:p>
        </w:tc>
      </w:tr>
      <w:tr>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 · PERSONA</w:t>
            </w:r>
          </w:p>
        </w:tc>
        <w:tc>
          <w:tcPr>
            <w:tcW w:type="dxa" w:w="2995"/>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prompts/&lt;agent&gt;.persona.md</w:t>
            </w:r>
          </w:p>
        </w:tc>
        <w:tc>
          <w:tcPr>
            <w:tcW w:type="dxa" w:w="449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Who this agent is, what it optimizes for, and its named failure mode. The profile pages in Part Two are the source text.</w:t>
            </w:r>
          </w:p>
        </w:tc>
      </w:tr>
      <w:tr>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 · PROCEDURE</w:t>
            </w:r>
          </w:p>
        </w:tc>
        <w:tc>
          <w:tcPr>
            <w:tcW w:type="dxa" w:w="2995"/>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sops/0N_&lt;module&gt;.md — YOUR SOP, VERBATIM</w:t>
            </w:r>
          </w:p>
        </w:tc>
        <w:tc>
          <w:tcPr>
            <w:tcW w:type="dxa" w:w="4493"/>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"You are executing this documented procedure. Do not improvise steps. Each step declares its output; produce exactly that."</w:t>
            </w:r>
          </w:p>
        </w:tc>
      </w:tr>
      <w:tr>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 · CONTRACT</w:t>
            </w:r>
          </w:p>
        </w:tc>
        <w:tc>
          <w:tcPr>
            <w:tcW w:type="dxa" w:w="2995"/>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prompts/contract.md — identical for all six</w:t>
            </w:r>
          </w:p>
        </w:tc>
        <w:tc>
          <w:tcPr>
            <w:tcW w:type="dxa" w:w="4493"/>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Findings, never conclusions. Every figure via a tool call with source_ref; never compute in prose. Cite evidence for every claim. If you cannot complete a step, return blocked. Name every derived-not-validated assumption.</w:t>
            </w:r>
          </w:p>
        </w:tc>
      </w:tr>
      <w:tr>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4 · CONTEXT</w:t>
            </w:r>
          </w:p>
        </w:tc>
        <w:tc>
          <w:tcPr>
            <w:tcW w:type="dxa" w:w="2995"/>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runtime</w:t>
            </w:r>
          </w:p>
        </w:tc>
        <w:tc>
          <w:tcPr>
            <w:tcW w:type="dxa" w:w="4493"/>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Scrubbed data slices · available upstream artifacts · mode · privacy mode · the module’s own quality checklist, used as the self-check before returning.</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Why block 2 is the design decision worth defending</w:t>
            </w:r>
          </w:p>
          <w:p>
            <w:pPr>
              <w:spacing w:after="60" w:before="0" w:line="288"/>
            </w:pPr>
            <w:r>
              <w:rPr>
                <w:rFonts w:ascii="Arial" w:cs="Arial" w:eastAsia="Arial" w:hAnsi="Arial"/>
                <w:b w:val="false"/>
                <w:bCs w:val="false"/>
                <w:i w:val="false"/>
                <w:iCs w:val="false"/>
                <w:caps w:val="false"/>
                <w:color w:val="1A1A1A"/>
                <w:sz w:val="20"/>
                <w:szCs w:val="20"/>
              </w:rPr>
              <w:t xml:space="preserve">Loading your SOP verbatim means the procedure has exactly one home. You edit the manual; the agents change with it. There is no prompt-engineering session where someone’s paraphrase of Step 5 quietly diverges from what the manual says. Version both together — sop_version is stamped on every run.</w:t>
            </w:r>
          </w:p>
        </w:tc>
      </w:tr>
    </w:tbl>
    <w:p>
      <w:r>
        <w:br w:type="page"/>
      </w:r>
    </w:p>
    <w:p>
      <w:pPr>
        <w:pStyle w:val="Heading2"/>
        <w:keepNext/>
        <w:spacing w:after="140" w:before="200" w:line="420"/>
      </w:pPr>
      <w:r>
        <w:rPr>
          <w:rFonts w:ascii="Arial" w:cs="Arial" w:eastAsia="Arial" w:hAnsi="Arial"/>
          <w:b/>
          <w:bCs/>
          <w:color w:val="000000"/>
          <w:sz w:val="34"/>
          <w:szCs w:val="34"/>
        </w:rPr>
        <w:t xml:space="preserve">13 · Quality checklists as executable gates</w:t>
      </w:r>
    </w:p>
    <w:p>
      <w:pPr>
        <w:spacing w:after="130" w:before="0" w:line="288"/>
      </w:pPr>
      <w:r>
        <w:rPr>
          <w:rFonts w:ascii="Arial" w:cs="Arial" w:eastAsia="Arial" w:hAnsi="Arial"/>
          <w:b w:val="false"/>
          <w:bCs w:val="false"/>
          <w:i w:val="false"/>
          <w:iCs w:val="false"/>
          <w:caps w:val="false"/>
          <w:color w:val="1A1A1A"/>
          <w:sz w:val="21"/>
          <w:szCs w:val="21"/>
        </w:rPr>
        <w:t xml:space="preserve">Every checklist item in the manual becomes a named assertion in gates/checklists.yaml. Blocking gates stop the run; advisory gates surface in the /admin review queue.</w:t>
      </w:r>
    </w:p>
    <w:tbl>
      <w:tblPr>
        <w:tblW w:type="dxa" w:w="9360"/>
        <w:tblBorders>
          <w:top w:val="none"/>
          <w:left w:val="single" w:color="D9D9D9" w:sz="18"/>
          <w:bottom w:val="none"/>
          <w:right w:val="none"/>
          <w:insideH w:val="none"/>
          <w:insideV w:val="none"/>
        </w:tblBorders>
      </w:tblPr>
      <w:tblGrid>
        <w:gridCol w:w="9360"/>
      </w:tblGrid>
      <w:tr>
        <w:tc>
          <w:tcPr>
            <w:tcW w:type="dxa" w:w="9360"/>
            <w:shd w:fill="F7F7F7" w:color="auto" w:val="clear"/>
            <w:tcMar>
              <w:top w:type="dxa" w:w="130"/>
              <w:left w:type="dxa" w:w="180"/>
              <w:bottom w:type="dxa" w:w="130"/>
              <w:right w:type="dxa" w:w="140"/>
            </w:tcMar>
          </w:tcPr>
          <w:p>
            <w:pPr>
              <w:spacing w:after="0" w:before="0" w:line="225"/>
            </w:pPr>
            <w:r>
              <w:rPr>
                <w:rFonts w:ascii="Courier New" w:cs="Courier New" w:eastAsia="Courier New" w:hAnsi="Courier New"/>
                <w:b w:val="false"/>
                <w:bCs w:val="false"/>
                <w:i w:val="false"/>
                <w:iCs w:val="false"/>
                <w:caps w:val="false"/>
                <w:color w:val="1A1A1A"/>
                <w:sz w:val="16"/>
                <w:szCs w:val="16"/>
              </w:rPr>
              <w:t xml:space="preserve">xray:</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headline_numbers_reconcile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reconciles(artifact.figures, ledger.pnl, tolerance=0.005)</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true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each_lens_has_evidence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all(len(l.evidence_refs) &gt; 0 for l in lens_scores)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true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score_is_reproducible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recompute(aperture_score) == aperture_score.overall</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true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constraint_is_singular_specific</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constraint.status == "validated" and constraint.evidence_refs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true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readable_by_non_analyst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readability_check(report) and jargon_scan(report)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false          # advisory - flags for human review</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prescription_names_components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prescription.components and all(c.rationale for c in ...)</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true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pii_handled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no_identifier_in_outbound_log(run_id)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true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analytics: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model_reconciles_to_the_dollar</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reconciles(financial_model, ledger.pnl, tolerance=0.0)</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true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allocations_documented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exists(artifact.allocation_basis) and allocation_basis.rationale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true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no_false_precision</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profit_cuts_within_data_granularity(profit_map, transactions)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true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assumptions_explicit_and_adjustable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scenario_model.inputs_are_named_and_editable()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true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id: recommendations_tie_to_constraint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assert: all(m.constraint_ref for m in shortlisted_moves)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blocking: true</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This is the single highest-leverage thing in the build</w:t>
            </w:r>
          </w:p>
          <w:p>
            <w:pPr>
              <w:spacing w:after="60" w:before="0" w:line="288"/>
            </w:pPr>
            <w:r>
              <w:rPr>
                <w:rFonts w:ascii="Arial" w:cs="Arial" w:eastAsia="Arial" w:hAnsi="Arial"/>
                <w:b w:val="false"/>
                <w:bCs w:val="false"/>
                <w:i w:val="false"/>
                <w:iCs w:val="false"/>
                <w:caps w:val="false"/>
                <w:color w:val="1A1A1A"/>
                <w:sz w:val="20"/>
                <w:szCs w:val="20"/>
              </w:rPr>
              <w:t xml:space="preserve">Your checklists are already the definition of "good enough to show a client." Making them executable means the standard is enforced on every run rather than remembered on a good day.</w:t>
            </w:r>
          </w:p>
        </w:tc>
      </w:tr>
    </w:tbl>
    <w:p>
      <w:r>
        <w:br w:type="page"/>
      </w:r>
    </w:p>
    <w:p>
      <w:pPr>
        <w:spacing w:after="1080" w:before="0" w:line="276"/>
      </w:pPr>
      <w:r>
        <w:rPr>
          <w:rFonts w:ascii="Arial" w:cs="Arial" w:eastAsia="Arial" w:hAnsi="Arial"/>
          <w:b w:val="false"/>
          <w:bCs w:val="false"/>
          <w:i w:val="false"/>
          <w:iCs w:val="false"/>
          <w:caps w:val="false"/>
          <w:color w:val="1A1A1A"/>
          <w:sz w:val="21"/>
          <w:szCs w:val="21"/>
        </w:rPr>
        <w:t xml:space="preserve"/>
      </w:r>
    </w:p>
    <w:p>
      <w:pPr>
        <w:spacing w:after="70" w:before="0" w:line="276"/>
      </w:pPr>
      <w:r>
        <w:rPr>
          <w:rFonts w:ascii="Arial" w:cs="Arial" w:eastAsia="Arial" w:hAnsi="Arial"/>
          <w:b/>
          <w:bCs/>
          <w:i w:val="false"/>
          <w:iCs w:val="false"/>
          <w:caps/>
          <w:color w:val="500000"/>
          <w:sz w:val="19"/>
          <w:szCs w:val="19"/>
        </w:rPr>
        <w:t xml:space="preserve">PART TWO</w:t>
      </w:r>
    </w:p>
    <w:p>
      <w:pPr>
        <w:pStyle w:val="Heading1"/>
        <w:spacing w:after="130" w:line="560"/>
      </w:pPr>
      <w:r>
        <w:rPr>
          <w:rFonts w:ascii="Arial" w:cs="Arial" w:eastAsia="Arial" w:hAnsi="Arial"/>
          <w:b/>
          <w:bCs/>
          <w:color w:val="000000"/>
          <w:sz w:val="48"/>
          <w:szCs w:val="48"/>
        </w:rPr>
        <w:t xml:space="preserve">The Team</w:t>
      </w:r>
    </w:p>
    <w:p>
      <w:pPr>
        <w:pBdr>
          <w:bottom w:val="single" w:color="500000" w:sz="14" w:space="2"/>
        </w:pBdr>
        <w:spacing w:after="170" w:before="0" w:line="276"/>
      </w:pPr>
    </w:p>
    <w:p>
      <w:pPr>
        <w:spacing w:after="0" w:before="0" w:line="320"/>
      </w:pPr>
      <w:r>
        <w:rPr>
          <w:rFonts w:ascii="Arial" w:cs="Arial" w:eastAsia="Arial" w:hAnsi="Arial"/>
          <w:b w:val="false"/>
          <w:bCs w:val="false"/>
          <w:i w:val="false"/>
          <w:iCs w:val="false"/>
          <w:caps w:val="false"/>
          <w:color w:val="6B6B6B"/>
          <w:sz w:val="22"/>
          <w:szCs w:val="22"/>
        </w:rPr>
        <w:t xml:space="preserve">Fenwick first, then one profile page and one build spec per agent. Each profile explains what they do, their credentials, the tools they use, and how they fit into the program. The spec that follows classifies every step.</w:t>
      </w:r>
    </w:p>
    <w:p>
      <w:r>
        <w:br w:type="page"/>
      </w:r>
    </w:p>
    <w:p>
      <w:pPr>
        <w:spacing w:after="50" w:before="0" w:line="276"/>
      </w:pPr>
      <w:r>
        <w:rPr>
          <w:rFonts w:ascii="Arial" w:cs="Arial" w:eastAsia="Arial" w:hAnsi="Arial"/>
          <w:b/>
          <w:bCs/>
          <w:i w:val="false"/>
          <w:iCs w:val="false"/>
          <w:caps/>
          <w:color w:val="500000"/>
          <w:sz w:val="17"/>
          <w:szCs w:val="17"/>
        </w:rPr>
        <w:t xml:space="preserve">01  ·  ARCHITECT &amp; MANAGING PRINCIPAL</w:t>
      </w:r>
    </w:p>
    <w:tbl>
      <w:tblPr>
        <w:tblW w:type="dxa" w:w="9360"/>
        <w:tblBorders>
          <w:top w:val="none"/>
          <w:left w:val="none"/>
          <w:bottom w:val="none"/>
          <w:right w:val="none"/>
          <w:insideH w:val="none"/>
          <w:insideV w:val="none"/>
        </w:tblBorders>
      </w:tblPr>
      <w:tblGrid>
        <w:gridCol w:w="2900"/>
        <w:gridCol w:w="6460"/>
      </w:tblGrid>
      <w:tr>
        <w:tc>
          <w:tcPr>
            <w:tcW w:type="dxa" w:w="2900"/>
            <w:tcMar>
              <w:top w:type="dxa" w:w="0"/>
              <w:left w:type="dxa" w:w="0"/>
              <w:bottom w:type="dxa" w:w="0"/>
              <w:right w:type="dxa" w:w="220"/>
            </w:tcMar>
            <w:vAlign w:val="top"/>
          </w:tcPr>
          <w:p>
            <w:pPr>
              <w:spacing w:after="0"/>
            </w:pPr>
            <w:r>
              <w:drawing>
                <wp:inline distT="0" distB="0" distL="0" distR="0">
                  <wp:extent cx="16002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00200" cy="2400300"/>
                          </a:xfrm>
                          <a:prstGeom prst="rect">
                            <a:avLst/>
                          </a:prstGeom>
                        </pic:spPr>
                      </pic:pic>
                    </a:graphicData>
                  </a:graphic>
                </wp:inline>
              </w:drawing>
            </w:r>
          </w:p>
        </w:tc>
        <w:tc>
          <w:tcPr>
            <w:tcW w:type="dxa" w:w="6460"/>
            <w:tcMar>
              <w:top w:type="dxa" w:w="0"/>
              <w:left w:type="dxa" w:w="0"/>
              <w:bottom w:type="dxa" w:w="0"/>
              <w:right w:type="dxa" w:w="0"/>
            </w:tcMar>
            <w:vAlign w:val="top"/>
          </w:tcPr>
          <w:p>
            <w:pPr>
              <w:spacing w:after="0" w:before="0" w:line="520"/>
            </w:pPr>
            <w:r>
              <w:rPr>
                <w:rFonts w:ascii="Arial" w:cs="Arial" w:eastAsia="Arial" w:hAnsi="Arial"/>
                <w:b/>
                <w:bCs/>
                <w:i w:val="false"/>
                <w:iCs w:val="false"/>
                <w:caps w:val="false"/>
                <w:color w:val="9A9A9A"/>
                <w:sz w:val="44"/>
                <w:szCs w:val="44"/>
              </w:rPr>
              <w:t xml:space="preserve">01</w:t>
            </w:r>
          </w:p>
          <w:p>
            <w:pPr>
              <w:spacing w:after="20" w:before="0" w:line="540"/>
            </w:pPr>
            <w:r>
              <w:rPr>
                <w:rFonts w:ascii="Arial" w:cs="Arial" w:eastAsia="Arial" w:hAnsi="Arial"/>
                <w:b/>
                <w:bCs/>
                <w:i w:val="false"/>
                <w:iCs w:val="false"/>
                <w:caps w:val="false"/>
                <w:color w:val="000000"/>
                <w:sz w:val="46"/>
                <w:szCs w:val="46"/>
              </w:rPr>
              <w:t xml:space="preserve">FENWICK HOW</w:t>
            </w:r>
          </w:p>
          <w:p>
            <w:pPr>
              <w:spacing w:after="110" w:before="0" w:line="276"/>
            </w:pPr>
            <w:r>
              <w:rPr>
                <w:rFonts w:ascii="Arial" w:cs="Arial" w:eastAsia="Arial" w:hAnsi="Arial"/>
                <w:b w:val="false"/>
                <w:bCs w:val="false"/>
                <w:i/>
                <w:iCs/>
                <w:caps w:val="false"/>
                <w:color w:val="500000"/>
                <w:sz w:val="26"/>
                <w:szCs w:val="26"/>
              </w:rPr>
              <w:t xml:space="preserve">Architect &amp; Managing Principal</w:t>
            </w:r>
          </w:p>
          <w:p>
            <w:pPr>
              <w:pBdr>
                <w:bottom w:val="single" w:color="500000" w:sz="14" w:space="2"/>
              </w:pBdr>
              <w:spacing w:after="170" w:before="0" w:line="276"/>
            </w:pPr>
          </w:p>
          <w:p>
            <w:pPr>
              <w:spacing w:after="20" w:before="0" w:line="300"/>
            </w:pPr>
            <w:r>
              <w:rPr>
                <w:rFonts w:ascii="Arial" w:cs="Arial" w:eastAsia="Arial" w:hAnsi="Arial"/>
                <w:b/>
                <w:bCs/>
                <w:i w:val="false"/>
                <w:iCs w:val="false"/>
                <w:caps w:val="false"/>
                <w:color w:val="000000"/>
                <w:sz w:val="23"/>
                <w:szCs w:val="23"/>
              </w:rPr>
              <w:t xml:space="preserve">Intake &amp; Acceptance</w:t>
            </w:r>
          </w:p>
          <w:p>
            <w:pPr>
              <w:spacing w:after="16" w:before="0" w:line="276"/>
            </w:pPr>
            <w:r>
              <w:rPr>
                <w:rFonts w:ascii="Arial" w:cs="Arial" w:eastAsia="Arial" w:hAnsi="Arial"/>
                <w:b w:val="false"/>
                <w:bCs w:val="false"/>
                <w:i w:val="false"/>
                <w:iCs w:val="false"/>
                <w:caps w:val="false"/>
                <w:color w:val="6B6B6B"/>
                <w:sz w:val="20"/>
                <w:szCs w:val="20"/>
              </w:rPr>
              <w:t xml:space="preserve">The front of the process — and the last signature on everything</w:t>
            </w:r>
          </w:p>
          <w:p>
            <w:pPr>
              <w:spacing w:after="130" w:before="0" w:line="276"/>
            </w:pPr>
            <w:r>
              <w:rPr>
                <w:rFonts w:ascii="Arial" w:cs="Arial" w:eastAsia="Arial" w:hAnsi="Arial"/>
                <w:b/>
                <w:bCs/>
                <w:i w:val="false"/>
                <w:iCs w:val="false"/>
                <w:caps/>
                <w:color w:val="500000"/>
                <w:sz w:val="16"/>
                <w:szCs w:val="16"/>
              </w:rPr>
              <w:t xml:space="preserve">FOUNDER · THE APERTURE METHOD</w:t>
            </w:r>
          </w:p>
          <w:p>
            <w:pPr>
              <w:spacing w:after="0" w:before="0" w:line="300"/>
            </w:pPr>
            <w:r>
              <w:rPr>
                <w:rFonts w:ascii="Arial" w:cs="Arial" w:eastAsia="Arial" w:hAnsi="Arial"/>
                <w:b w:val="false"/>
                <w:bCs w:val="false"/>
                <w:i/>
                <w:iCs/>
                <w:caps w:val="false"/>
                <w:color w:val="1A1A1A"/>
                <w:sz w:val="21"/>
                <w:szCs w:val="21"/>
              </w:rPr>
              <w:t xml:space="preserve">“Nothing runs until the numbers tie — and nothing reaches a client until I have signed it.”</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What I do</w:t>
      </w:r>
    </w:p>
    <w:p>
      <w:pPr>
        <w:spacing w:after="130" w:before="0" w:line="288"/>
      </w:pPr>
      <w:r>
        <w:rPr>
          <w:rFonts w:ascii="Arial" w:cs="Arial" w:eastAsia="Arial" w:hAnsi="Arial"/>
          <w:b w:val="false"/>
          <w:bCs w:val="false"/>
          <w:i w:val="false"/>
          <w:iCs w:val="false"/>
          <w:caps w:val="false"/>
          <w:color w:val="1A1A1A"/>
          <w:sz w:val="21"/>
          <w:szCs w:val="21"/>
        </w:rPr>
        <w:t xml:space="preserve">Every engagement starts here. I scope the work, issue the data request, and personally accept the reconciled ledger — nothing downstream runs until I do. I designed the Method, wrote the SOPs the agents execute, and set the rubric, the weights, and the scoring criteria they score against.</w:t>
      </w:r>
    </w:p>
    <w:p>
      <w:pPr>
        <w:spacing w:after="130" w:before="0" w:line="288"/>
      </w:pPr>
      <w:r>
        <w:rPr>
          <w:rFonts w:ascii="Arial" w:cs="Arial" w:eastAsia="Arial" w:hAnsi="Arial"/>
          <w:b w:val="false"/>
          <w:bCs w:val="false"/>
          <w:i w:val="false"/>
          <w:iCs w:val="false"/>
          <w:caps w:val="false"/>
          <w:color w:val="1A1A1A"/>
          <w:sz w:val="21"/>
          <w:szCs w:val="21"/>
        </w:rPr>
        <w:t xml:space="preserve">From there I run every owner interview and every readout, name the binding constraint, own the sequence, and review, edit and release every deliverable. The agents carry the mechanical weight. The judgment is mine, and so is the signature.</w:t>
      </w:r>
    </w:p>
    <w:p>
      <w:pPr>
        <w:keepNext/>
        <w:spacing w:after="50" w:before="180" w:line="280"/>
      </w:pPr>
      <w:r>
        <w:rPr>
          <w:rFonts w:ascii="Arial" w:cs="Arial" w:eastAsia="Arial" w:hAnsi="Arial"/>
          <w:b/>
          <w:bCs/>
          <w:color w:val="000000"/>
          <w:sz w:val="21"/>
          <w:szCs w:val="21"/>
        </w:rPr>
        <w:t xml:space="preserve">Credentials</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Founder, The Aperture Method™</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MBA candidate — Texas A&amp;M University</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BBA — Project Management</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PMP — certified Project Management Professional (PMI)</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Entrepreneur and operator — has created and developed companies</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Cross-functional range — consulting, operations, projects, analytics, technology</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Cross-sector experience including energy and water</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Founder-led delivery — the principal does the work and is in the room</w:t>
            </w:r>
          </w:p>
        </w:tc>
      </w:tr>
    </w:tbl>
    <w:p>
      <w:pPr>
        <w:keepNext/>
        <w:spacing w:after="50" w:before="180" w:line="280"/>
      </w:pPr>
      <w:r>
        <w:rPr>
          <w:rFonts w:ascii="Arial" w:cs="Arial" w:eastAsia="Arial" w:hAnsi="Arial"/>
          <w:b/>
          <w:bCs/>
          <w:color w:val="000000"/>
          <w:sz w:val="21"/>
          <w:szCs w:val="21"/>
        </w:rPr>
        <w:t xml:space="preserve">What I do in every engagement</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Scope the engagement and issue the data request</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Approve the cost-allocation basis and the scenarios modelled</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Accept the reconciled ledger — the hardest gate in the system</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Approve trade-area parameters and own every site recommendation</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Conduct all 3–5 owner and manager interviews</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Own the Now / Next / Later sequence</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Set the seven-lens rubric, sub-criteria and Score weights</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Approve every KPI definition and threshold</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Name the binding constraint</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Review, edit and release every deliverable</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Deliver every readout and confirm every phase gate</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w:t>
            </w:r>
          </w:p>
        </w:tc>
      </w:tr>
    </w:tbl>
    <w:p>
      <w:pPr>
        <w:keepNext/>
        <w:spacing w:after="50" w:before="180" w:line="280"/>
      </w:pPr>
      <w:r>
        <w:rPr>
          <w:rFonts w:ascii="Arial" w:cs="Arial" w:eastAsia="Arial" w:hAnsi="Arial"/>
          <w:b/>
          <w:bCs/>
          <w:color w:val="000000"/>
          <w:sz w:val="21"/>
          <w:szCs w:val="21"/>
        </w:rPr>
        <w:t xml:space="preserve">The instruments I hold</w:t>
      </w:r>
    </w:p>
    <w:tbl>
      <w:tblPr>
        <w:tblW w:type="dxa" w:w="9360"/>
        <w:tblBorders>
          <w:top w:val="single" w:color="D9D9D9" w:sz="2"/>
          <w:left w:val="none"/>
          <w:bottom w:val="single" w:color="D9D9D9" w:sz="2"/>
          <w:right w:val="none"/>
          <w:insideH w:val="single" w:color="D9D9D9" w:sz="2"/>
          <w:insideV w:val="none"/>
        </w:tblBorders>
      </w:tblPr>
      <w:tblGrid>
        <w:gridCol w:w="2808"/>
        <w:gridCol w:w="6552"/>
      </w:tblGrid>
      <w:tr>
        <w:trPr>
          <w:tblHeader/>
        </w:trPr>
        <w:tc>
          <w:tcPr>
            <w:tcW w:type="dxa" w:w="280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Instrument</w:t>
            </w:r>
          </w:p>
        </w:tc>
        <w:tc>
          <w:tcPr>
            <w:tcW w:type="dxa" w:w="655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it controls</w:t>
            </w:r>
          </w:p>
        </w:tc>
      </w:tr>
      <w:tr>
        <w:tc>
          <w:tcPr>
            <w:tcW w:type="dxa" w:w="280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SOPs</w:t>
            </w:r>
          </w:p>
        </w:tc>
        <w:tc>
          <w:tcPr>
            <w:tcW w:type="dxa" w:w="655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documented procedure. The agents load these chapters verbatim, so editing the manual is how the system changes.</w:t>
            </w:r>
          </w:p>
        </w:tc>
      </w:tr>
      <w:tr>
        <w:tc>
          <w:tcPr>
            <w:tcW w:type="dxa" w:w="280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seven-lens rubric</w:t>
            </w:r>
          </w:p>
        </w:tc>
        <w:tc>
          <w:tcPr>
            <w:tcW w:type="dxa" w:w="655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My scoring criteria and evidence standards. The agents score against my standard; they do not invent it.</w:t>
            </w:r>
          </w:p>
        </w:tc>
      </w:tr>
      <w:tr>
        <w:tc>
          <w:tcPr>
            <w:tcW w:type="dxa" w:w="280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Aperture Score weights</w:t>
            </w:r>
          </w:p>
        </w:tc>
        <w:tc>
          <w:tcPr>
            <w:tcW w:type="dxa" w:w="655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Versioned, so a score means the same thing next year as it does today.</w:t>
            </w:r>
          </w:p>
        </w:tc>
      </w:tr>
      <w:tr>
        <w:tc>
          <w:tcPr>
            <w:tcW w:type="dxa" w:w="280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gate register</w:t>
            </w:r>
          </w:p>
        </w:tc>
        <w:tc>
          <w:tcPr>
            <w:tcW w:type="dxa" w:w="655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Seven gates. Every state transition needs a passed check or my recorded approval.</w:t>
            </w:r>
          </w:p>
        </w:tc>
      </w:tr>
      <w:tr>
        <w:tc>
          <w:tcPr>
            <w:tcW w:type="dxa" w:w="280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approval log</w:t>
            </w:r>
          </w:p>
        </w:tc>
        <w:tc>
          <w:tcPr>
            <w:tcW w:type="dxa" w:w="655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Person, timestamp and a diff of exactly what was released.</w:t>
            </w:r>
          </w:p>
        </w:tc>
      </w:tr>
      <w:tr>
        <w:tc>
          <w:tcPr>
            <w:tcW w:type="dxa" w:w="280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provenance validator</w:t>
            </w:r>
          </w:p>
        </w:tc>
        <w:tc>
          <w:tcPr>
            <w:tcW w:type="dxa" w:w="655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 figure without a source cannot be rendered. The build fails rather than shipping it.</w:t>
            </w:r>
          </w:p>
        </w:tc>
      </w:tr>
    </w:tbl>
    <w:p>
      <w:pPr>
        <w:keepNext/>
        <w:spacing w:after="50" w:before="180" w:line="280"/>
      </w:pPr>
      <w:r>
        <w:rPr>
          <w:rFonts w:ascii="Arial" w:cs="Arial" w:eastAsia="Arial" w:hAnsi="Arial"/>
          <w:b/>
          <w:bCs/>
          <w:color w:val="000000"/>
          <w:sz w:val="21"/>
          <w:szCs w:val="21"/>
        </w:rPr>
        <w:t xml:space="preserve">How the team answers to me</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Findings and artifacts — never conclusions or advice</w:t>
            </w:r>
          </w:p>
          <w:p>
            <w:pPr>
              <w:spacing w:after="60" w:before="0" w:line="288"/>
            </w:pPr>
            <w:r>
              <w:rPr>
                <w:rFonts w:ascii="Arial" w:cs="Arial" w:eastAsia="Arial" w:hAnsi="Arial"/>
                <w:b w:val="false"/>
                <w:bCs w:val="false"/>
                <w:i w:val="false"/>
                <w:iCs w:val="false"/>
                <w:caps w:val="false"/>
                <w:color w:val="1A1A1A"/>
                <w:sz w:val="20"/>
                <w:szCs w:val="20"/>
              </w:rPr>
              <w:t xml:space="preserve">The agents escalate; they do not act. They cannot talk to a client, cannot release a document, and cannot make a recommendation. Where an agent proposes — the constraint, the sequence, the KPI thresholds — I decide. Where an agent computes, I can re-run the tool and verify the number myself.</w:t>
            </w:r>
          </w:p>
        </w:tc>
      </w:tr>
    </w:tbl>
    <w:p>
      <w:r>
        <w:br w:type="page"/>
      </w:r>
    </w:p>
    <w:tbl>
      <w:tblPr>
        <w:tblW w:type="dxa" w:w="9360"/>
        <w:tblBorders>
          <w:top w:val="none"/>
          <w:left w:val="none"/>
          <w:bottom w:val="none"/>
          <w:right w:val="none"/>
          <w:insideH w:val="none"/>
          <w:insideV w:val="none"/>
        </w:tblBorders>
      </w:tblPr>
      <w:tblGrid>
        <w:gridCol w:w="2900"/>
        <w:gridCol w:w="6460"/>
      </w:tblGrid>
      <w:tr>
        <w:tc>
          <w:tcPr>
            <w:tcW w:type="dxa" w:w="2900"/>
            <w:tcMar>
              <w:top w:type="dxa" w:w="0"/>
              <w:left w:type="dxa" w:w="0"/>
              <w:bottom w:type="dxa" w:w="0"/>
              <w:right w:type="dxa" w:w="220"/>
            </w:tcMar>
            <w:vAlign w:val="top"/>
          </w:tcPr>
          <w:p>
            <w:pPr>
              <w:spacing w:after="0"/>
            </w:pPr>
            <w:r>
              <w:drawing>
                <wp:inline distT="0" distB="0" distL="0" distR="0">
                  <wp:extent cx="16002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00200" cy="3705225"/>
                          </a:xfrm>
                          <a:prstGeom prst="rect">
                            <a:avLst/>
                          </a:prstGeom>
                        </pic:spPr>
                      </pic:pic>
                    </a:graphicData>
                  </a:graphic>
                </wp:inline>
              </w:drawing>
            </w:r>
          </w:p>
        </w:tc>
        <w:tc>
          <w:tcPr>
            <w:tcW w:type="dxa" w:w="6460"/>
            <w:tcMar>
              <w:top w:type="dxa" w:w="0"/>
              <w:left w:type="dxa" w:w="0"/>
              <w:bottom w:type="dxa" w:w="0"/>
              <w:right w:type="dxa" w:w="0"/>
            </w:tcMar>
            <w:vAlign w:val="top"/>
          </w:tcPr>
          <w:p>
            <w:pPr>
              <w:spacing w:after="90" w:before="0" w:line="240"/>
            </w:pPr>
            <w:r>
              <w:rPr>
                <w:rFonts w:ascii="Arial" w:cs="Arial" w:eastAsia="Arial" w:hAnsi="Arial"/>
                <w:b/>
                <w:bCs/>
                <w:i w:val="false"/>
                <w:iCs w:val="false"/>
                <w:caps w:val="false"/>
                <w:color w:val="9A9A9A"/>
                <w:sz w:val="17"/>
                <w:szCs w:val="17"/>
              </w:rPr>
              <w:t xml:space="preserve">THE APERTURE METHOD™ AI AGENT · 02</w:t>
            </w:r>
          </w:p>
          <w:p>
            <w:pPr>
              <w:spacing w:after="20" w:before="0" w:line="540"/>
            </w:pPr>
            <w:r>
              <w:rPr>
                <w:rFonts w:ascii="Arial" w:cs="Arial" w:eastAsia="Arial" w:hAnsi="Arial"/>
                <w:b/>
                <w:bCs/>
                <w:i w:val="false"/>
                <w:iCs w:val="false"/>
                <w:caps w:val="false"/>
                <w:color w:val="000000"/>
                <w:sz w:val="46"/>
                <w:szCs w:val="46"/>
              </w:rPr>
              <w:t xml:space="preserve">LENA</w:t>
            </w:r>
            <w:r>
              <w:rPr>
                <w:rFonts w:ascii="Arial" w:cs="Arial" w:eastAsia="Arial" w:hAnsi="Arial"/>
                <w:b/>
                <w:bCs/>
                <w:i w:val="false"/>
                <w:iCs w:val="false"/>
                <w:caps w:val="false"/>
                <w:color w:val="500000"/>
                <w:sz w:val="19"/>
                <w:szCs w:val="19"/>
              </w:rPr>
              <w:t xml:space="preserve">   AI AGENT</w:t>
            </w:r>
          </w:p>
          <w:p>
            <w:pPr>
              <w:spacing w:after="110" w:before="0" w:line="276"/>
            </w:pPr>
            <w:r>
              <w:rPr>
                <w:rFonts w:ascii="Arial" w:cs="Arial" w:eastAsia="Arial" w:hAnsi="Arial"/>
                <w:b w:val="false"/>
                <w:bCs w:val="false"/>
                <w:i/>
                <w:iCs/>
                <w:caps w:val="false"/>
                <w:color w:val="500000"/>
                <w:sz w:val="26"/>
                <w:szCs w:val="26"/>
              </w:rPr>
              <w:t xml:space="preserve">The Strategist</w:t>
            </w:r>
          </w:p>
          <w:p>
            <w:pPr>
              <w:pBdr>
                <w:bottom w:val="single" w:color="500000" w:sz="14" w:space="2"/>
              </w:pBdr>
              <w:spacing w:after="170" w:before="0" w:line="276"/>
            </w:pPr>
          </w:p>
          <w:p>
            <w:pPr>
              <w:spacing w:after="20" w:before="0" w:line="300"/>
            </w:pPr>
            <w:r>
              <w:rPr>
                <w:rFonts w:ascii="Arial" w:cs="Arial" w:eastAsia="Arial" w:hAnsi="Arial"/>
                <w:b/>
                <w:bCs/>
                <w:i w:val="false"/>
                <w:iCs w:val="false"/>
                <w:caps w:val="false"/>
                <w:color w:val="000000"/>
                <w:sz w:val="23"/>
                <w:szCs w:val="23"/>
              </w:rPr>
              <w:t xml:space="preserve">Aperture Insights™</w:t>
            </w:r>
          </w:p>
          <w:p>
            <w:pPr>
              <w:spacing w:after="16" w:before="0" w:line="276"/>
            </w:pPr>
            <w:r>
              <w:rPr>
                <w:rFonts w:ascii="Arial" w:cs="Arial" w:eastAsia="Arial" w:hAnsi="Arial"/>
                <w:b w:val="false"/>
                <w:bCs w:val="false"/>
                <w:i w:val="false"/>
                <w:iCs w:val="false"/>
                <w:caps w:val="false"/>
                <w:color w:val="6B6B6B"/>
                <w:sz w:val="20"/>
                <w:szCs w:val="20"/>
              </w:rPr>
              <w:t xml:space="preserve">Executive Assessment &amp; Business Diagnostic Agent</w:t>
            </w:r>
          </w:p>
          <w:p>
            <w:pPr>
              <w:spacing w:after="130" w:before="0" w:line="276"/>
            </w:pPr>
            <w:r>
              <w:rPr>
                <w:rFonts w:ascii="Arial" w:cs="Arial" w:eastAsia="Arial" w:hAnsi="Arial"/>
                <w:b/>
                <w:bCs/>
                <w:i w:val="false"/>
                <w:iCs w:val="false"/>
                <w:caps/>
                <w:color w:val="500000"/>
                <w:sz w:val="16"/>
                <w:szCs w:val="16"/>
              </w:rPr>
              <w:t xml:space="preserve">MBA</w:t>
            </w:r>
          </w:p>
          <w:p>
            <w:pPr>
              <w:spacing w:after="0" w:before="0" w:line="300"/>
            </w:pPr>
            <w:r>
              <w:rPr>
                <w:rFonts w:ascii="Arial" w:cs="Arial" w:eastAsia="Arial" w:hAnsi="Arial"/>
                <w:b w:val="false"/>
                <w:bCs w:val="false"/>
                <w:i/>
                <w:iCs/>
                <w:caps w:val="false"/>
                <w:color w:val="1A1A1A"/>
                <w:sz w:val="21"/>
                <w:szCs w:val="21"/>
              </w:rPr>
              <w:t xml:space="preserve">“Lena sees the whole business before she looks at the pieces.”</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What I do</w:t>
      </w:r>
    </w:p>
    <w:p>
      <w:pPr>
        <w:spacing w:after="130" w:before="0" w:line="288"/>
      </w:pPr>
      <w:r>
        <w:rPr>
          <w:rFonts w:ascii="Arial" w:cs="Arial" w:eastAsia="Arial" w:hAnsi="Arial"/>
          <w:b w:val="false"/>
          <w:bCs w:val="false"/>
          <w:i w:val="false"/>
          <w:iCs w:val="false"/>
          <w:caps w:val="false"/>
          <w:color w:val="1A1A1A"/>
          <w:sz w:val="21"/>
          <w:szCs w:val="21"/>
        </w:rPr>
        <w:t xml:space="preserve">Lena is the front door to the Aperture Method. She evaluates an organization from the executive level down — its business model, financial condition, operations, customers, people, processes, competitive position and strategic challenges. She listens carefully, challenges assumptions, identifies inconsistencies and determines where deeper investigation is warranted.</w:t>
      </w:r>
    </w:p>
    <w:p>
      <w:pPr>
        <w:spacing w:after="130" w:before="0" w:line="288"/>
      </w:pPr>
      <w:r>
        <w:rPr>
          <w:rFonts w:ascii="Arial" w:cs="Arial" w:eastAsia="Arial" w:hAnsi="Arial"/>
          <w:b w:val="false"/>
          <w:bCs w:val="false"/>
          <w:i w:val="false"/>
          <w:iCs w:val="false"/>
          <w:caps w:val="false"/>
          <w:color w:val="1A1A1A"/>
          <w:sz w:val="21"/>
          <w:szCs w:val="21"/>
        </w:rPr>
        <w:t xml:space="preserve">She runs in two modes. In xray mode she produces the standalone Business X-Ray and Aperture Score — the fixed-fee front door. In insights mode she reuses that X-Ray and frames a full engagement around it: validating the constraint with the owner, defining success measures, and sequencing the components.</w:t>
      </w:r>
    </w:p>
    <w:p>
      <w:pPr>
        <w:spacing w:after="150" w:before="0" w:line="288"/>
      </w:pPr>
      <w:r>
        <w:rPr>
          <w:rFonts w:ascii="Arial" w:cs="Arial" w:eastAsia="Arial" w:hAnsi="Arial"/>
          <w:b/>
          <w:bCs/>
          <w:i w:val="false"/>
          <w:iCs w:val="false"/>
          <w:caps w:val="false"/>
          <w:color w:val="1A1A1A"/>
          <w:sz w:val="21"/>
          <w:szCs w:val="21"/>
        </w:rPr>
        <w:t xml:space="preserve">Mission. </w:t>
      </w:r>
      <w:r>
        <w:rPr>
          <w:rFonts w:ascii="Arial" w:cs="Arial" w:eastAsia="Arial" w:hAnsi="Arial"/>
          <w:b w:val="false"/>
          <w:bCs w:val="false"/>
          <w:i w:val="false"/>
          <w:iCs w:val="false"/>
          <w:caps w:val="false"/>
          <w:color w:val="1A1A1A"/>
          <w:sz w:val="21"/>
          <w:szCs w:val="21"/>
        </w:rPr>
        <w:t xml:space="preserve">To establish a clear, defensible picture of where the business stands today. She develops the executive diagnostic, identifies strengths, risks and gaps, and establishes the baseline Aperture Score™.</w:t>
      </w:r>
    </w:p>
    <w:p>
      <w:pPr>
        <w:keepNext/>
        <w:spacing w:after="50" w:before="180" w:line="280"/>
      </w:pPr>
      <w:r>
        <w:rPr>
          <w:rFonts w:ascii="Arial" w:cs="Arial" w:eastAsia="Arial" w:hAnsi="Arial"/>
          <w:b/>
          <w:bCs/>
          <w:color w:val="000000"/>
          <w:sz w:val="21"/>
          <w:szCs w:val="21"/>
        </w:rPr>
        <w:t xml:space="preserve">Credentials — the standard this agent is built to</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MBA — Strategy &amp; General Management</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CMC — Certified Management Consultant (IMC)</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Certified Theory of Constraints practitioner (TOCICO)</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Balanced Scorecard Professional (BSP)</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20+ years advising owner-run businesses, $1M–$20M</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Hypothesis-driven problem solving — MECE, SCQA, issue trees</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Porter’s Five Forces · PESTLE · VRIO · BCG matrix</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Comparable-business benchmarking across sectors</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Executive interviewing and evidence triangulation</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Former COO — full P&amp;L ownership</w:t>
            </w:r>
          </w:p>
        </w:tc>
      </w:tr>
    </w:tbl>
    <w:p>
      <w:pPr>
        <w:keepNext/>
        <w:spacing w:after="50" w:before="180" w:line="280"/>
      </w:pPr>
      <w:r>
        <w:rPr>
          <w:rFonts w:ascii="Arial" w:cs="Arial" w:eastAsia="Arial" w:hAnsi="Arial"/>
          <w:b/>
          <w:bCs/>
          <w:color w:val="000000"/>
          <w:sz w:val="21"/>
          <w:szCs w:val="21"/>
        </w:rPr>
        <w:t xml:space="preserve">The SOP I execute</w:t>
      </w:r>
    </w:p>
    <w:tbl>
      <w:tblPr>
        <w:tblW w:type="dxa" w:w="9360"/>
        <w:tblBorders>
          <w:top w:val="single" w:color="D9D9D9" w:sz="2"/>
          <w:left w:val="none"/>
          <w:bottom w:val="single" w:color="D9D9D9" w:sz="2"/>
          <w:right w:val="none"/>
          <w:insideH w:val="single" w:color="D9D9D9" w:sz="2"/>
          <w:insideV w:val="none"/>
        </w:tblBorders>
      </w:tblPr>
      <w:tblGrid>
        <w:gridCol w:w="2434"/>
        <w:gridCol w:w="3182"/>
        <w:gridCol w:w="1498"/>
        <w:gridCol w:w="2246"/>
      </w:tblGrid>
      <w:tr>
        <w:trPr>
          <w:tblHeader/>
        </w:trPr>
        <w:tc>
          <w:tcPr>
            <w:tcW w:type="dxa" w:w="2434"/>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SOP chapter</w:t>
            </w:r>
          </w:p>
        </w:tc>
        <w:tc>
          <w:tcPr>
            <w:tcW w:type="dxa" w:w="318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Deliverable</w:t>
            </w:r>
          </w:p>
        </w:tc>
        <w:tc>
          <w:tcPr>
            <w:tcW w:type="dxa" w:w="149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Duration</w:t>
            </w:r>
          </w:p>
        </w:tc>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Mode</w:t>
            </w:r>
          </w:p>
        </w:tc>
      </w:tr>
      <w:tr>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 01 · Business X-Ray
SOP 02 · Aperture Insights</w:t>
            </w:r>
          </w:p>
        </w:tc>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Business X-Ray + Aperture Score™; then validated constraint, success measures, sequenced plan</w:t>
            </w:r>
          </w:p>
        </w:tc>
        <w:tc>
          <w:tcPr>
            <w:tcW w:type="dxa" w:w="149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2–3 wk each</w:t>
            </w:r>
          </w:p>
        </w:tc>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mode = "xray" | "insights"</w:t>
            </w:r>
          </w:p>
        </w:tc>
      </w:tr>
    </w:tbl>
    <w:p>
      <w:r>
        <w:br w:type="page"/>
      </w:r>
    </w:p>
    <w:p>
      <w:pPr>
        <w:spacing w:after="50" w:before="0" w:line="276"/>
      </w:pPr>
      <w:r>
        <w:rPr>
          <w:rFonts w:ascii="Arial" w:cs="Arial" w:eastAsia="Arial" w:hAnsi="Arial"/>
          <w:b/>
          <w:bCs/>
          <w:i w:val="false"/>
          <w:iCs w:val="false"/>
          <w:caps/>
          <w:color w:val="500000"/>
          <w:sz w:val="17"/>
          <w:szCs w:val="17"/>
        </w:rPr>
        <w:t xml:space="preserve">LENA  ·  The Strategist</w:t>
      </w:r>
    </w:p>
    <w:p>
      <w:pPr>
        <w:keepNext/>
        <w:spacing w:after="50" w:before="180" w:line="280"/>
      </w:pPr>
      <w:r>
        <w:rPr>
          <w:rFonts w:ascii="Arial" w:cs="Arial" w:eastAsia="Arial" w:hAnsi="Arial"/>
          <w:b/>
          <w:bCs/>
          <w:color w:val="000000"/>
          <w:sz w:val="21"/>
          <w:szCs w:val="21"/>
        </w:rPr>
        <w:t xml:space="preserve">My tools</w:t>
      </w:r>
    </w:p>
    <w:tbl>
      <w:tblPr>
        <w:tblW w:type="dxa" w:w="9360"/>
        <w:tblBorders>
          <w:top w:val="single" w:color="D9D9D9" w:sz="2"/>
          <w:left w:val="none"/>
          <w:bottom w:val="single" w:color="D9D9D9" w:sz="2"/>
          <w:right w:val="none"/>
          <w:insideH w:val="single" w:color="D9D9D9" w:sz="2"/>
          <w:insideV w:val="none"/>
        </w:tblBorders>
      </w:tblPr>
      <w:tblGrid>
        <w:gridCol w:w="3182"/>
        <w:gridCol w:w="6178"/>
      </w:tblGrid>
      <w:tr>
        <w:trPr>
          <w:tblHeader/>
        </w:trPr>
        <w:tc>
          <w:tcPr>
            <w:tcW w:type="dxa" w:w="318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Tool</w:t>
            </w:r>
          </w:p>
        </w:tc>
        <w:tc>
          <w:tcPr>
            <w:tcW w:type="dxa" w:w="617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it does</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scoring.score_lens()</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Scores one lens against the declared rubric criteria; requires evidence refs</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scoring.compute_aperture_score()</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Deterministic weighted composite; stamps weights_version and rubric_version</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benchmarks.lookup()</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Comparable-business benchmarking where the data allows</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constraints.propose()</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Theory-of-Constraints analysis; returns ranked candidates with evidence and disconfirming evidence</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interviews.triangulate()</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Tests interview claims against the ledger and flags contradictions</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render.insights_doc()</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Builds the branded X-Ray report; refuses to render an uncited figure</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measures.baseline()</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Pulls a ledger-sourced baseline and target range for each success measure (insights mode)</w:t>
            </w:r>
          </w:p>
        </w:tc>
      </w:tr>
    </w:tbl>
    <w:p>
      <w:pPr>
        <w:keepNext/>
        <w:spacing w:after="50" w:before="180" w:line="280"/>
      </w:pPr>
      <w:r>
        <w:rPr>
          <w:rFonts w:ascii="Arial" w:cs="Arial" w:eastAsia="Arial" w:hAnsi="Arial"/>
          <w:b/>
          <w:bCs/>
          <w:color w:val="000000"/>
          <w:sz w:val="21"/>
          <w:szCs w:val="21"/>
        </w:rPr>
        <w:t xml:space="preserve">Core capabilities</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Executive-level business diagnostics</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SWOT, gap and risk analysis</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Business-model and operational assessment</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Management interview analysis</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Aperture Score™ baseline</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Executive Intelligence Report development</w:t>
            </w:r>
          </w:p>
        </w:tc>
      </w:tr>
    </w:tbl>
    <w:p>
      <w:pPr>
        <w:keepNext/>
        <w:spacing w:after="50" w:before="180" w:line="280"/>
      </w:pPr>
      <w:r>
        <w:rPr>
          <w:rFonts w:ascii="Arial" w:cs="Arial" w:eastAsia="Arial" w:hAnsi="Arial"/>
          <w:b/>
          <w:bCs/>
          <w:color w:val="000000"/>
          <w:sz w:val="21"/>
          <w:szCs w:val="21"/>
        </w:rPr>
        <w:t xml:space="preserve">How I fit into the program</w:t>
      </w:r>
    </w:p>
    <w:tbl>
      <w:tblPr>
        <w:tblW w:type="dxa" w:w="9360"/>
        <w:tblBorders>
          <w:top w:val="single" w:color="D9D9D9" w:sz="2"/>
          <w:left w:val="none"/>
          <w:bottom w:val="single" w:color="D9D9D9" w:sz="2"/>
          <w:right w:val="none"/>
          <w:insideH w:val="single" w:color="D9D9D9" w:sz="2"/>
          <w:insideV w:val="none"/>
        </w:tblBorders>
      </w:tblPr>
      <w:tblGrid>
        <w:gridCol w:w="2246"/>
        <w:gridCol w:w="7114"/>
      </w:tblGrid>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Reads</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Intake Store — financials, operations, customer data, interview transcripts, benchmarks</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Hands to</w:t>
            </w:r>
          </w:p>
        </w:tc>
        <w:tc>
          <w:tcPr>
            <w:tcW w:type="dxa" w:w="711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Everyone. The constraint, the Aperture Score, and success_measures[] are the spine the other four hang off — but none of them requires her to have run</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Standalone</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Yes. This is the wedge, and the most common single purchase</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Model tier</w:t>
            </w:r>
          </w:p>
        </w:tc>
        <w:tc>
          <w:tcPr>
            <w:tcW w:type="dxa" w:w="711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Opus — she reasons about a whole business</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Human gate</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You review and edit before the client sees anything. In Step 6 she proposes candidates; you name the constraint</w:t>
            </w:r>
          </w:p>
        </w:tc>
      </w:tr>
    </w:tbl>
    <w:p>
      <w:pPr>
        <w:keepNext/>
        <w:spacing w:after="50" w:before="180" w:line="280"/>
      </w:pPr>
      <w:r>
        <w:rPr>
          <w:rFonts w:ascii="Arial" w:cs="Arial" w:eastAsia="Arial" w:hAnsi="Arial"/>
          <w:b/>
          <w:bCs/>
          <w:color w:val="000000"/>
          <w:sz w:val="21"/>
          <w:szCs w:val="21"/>
        </w:rPr>
        <w:t xml:space="preserve">Working personality</w:t>
      </w:r>
    </w:p>
    <w:p>
      <w:pPr>
        <w:spacing w:after="130" w:before="0" w:line="288"/>
      </w:pPr>
      <w:r>
        <w:rPr>
          <w:rFonts w:ascii="Arial" w:cs="Arial" w:eastAsia="Arial" w:hAnsi="Arial"/>
          <w:b w:val="false"/>
          <w:bCs w:val="false"/>
          <w:i w:val="false"/>
          <w:iCs w:val="false"/>
          <w:caps w:val="false"/>
          <w:color w:val="1A1A1A"/>
          <w:sz w:val="21"/>
          <w:szCs w:val="21"/>
        </w:rPr>
        <w:t xml:space="preserve">Experienced, composed, inquisitive and appropriately skeptical. Lena asks the question everyone else overlooked.</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88"/>
            </w:pPr>
            <w:r>
              <w:rPr>
                <w:rFonts w:ascii="Arial" w:cs="Arial" w:eastAsia="Arial" w:hAnsi="Arial"/>
                <w:b w:val="false"/>
                <w:bCs w:val="false"/>
                <w:i/>
                <w:iCs/>
                <w:caps w:val="false"/>
                <w:color w:val="1A1A1A"/>
                <w:sz w:val="22"/>
                <w:szCs w:val="22"/>
              </w:rPr>
              <w:t xml:space="preserve">“What is really happening inside this business?”</w:t>
            </w:r>
          </w:p>
        </w:tc>
      </w:tr>
    </w:tbl>
    <w:p>
      <w:pPr>
        <w:keepNext/>
        <w:spacing w:after="50" w:before="180" w:line="280"/>
      </w:pPr>
      <w:r>
        <w:rPr>
          <w:rFonts w:ascii="Arial" w:cs="Arial" w:eastAsia="Arial" w:hAnsi="Arial"/>
          <w:b/>
          <w:bCs/>
          <w:color w:val="000000"/>
          <w:sz w:val="21"/>
          <w:szCs w:val="21"/>
        </w:rPr>
        <w:t xml:space="preserve">Team handoff</w:t>
      </w:r>
    </w:p>
    <w:p>
      <w:pPr>
        <w:spacing w:after="130" w:before="0" w:line="288"/>
      </w:pPr>
      <w:r>
        <w:rPr>
          <w:rFonts w:ascii="Arial" w:cs="Arial" w:eastAsia="Arial" w:hAnsi="Arial"/>
          <w:b w:val="false"/>
          <w:bCs w:val="false"/>
          <w:i w:val="false"/>
          <w:iCs w:val="false"/>
          <w:caps w:val="false"/>
          <w:color w:val="1A1A1A"/>
          <w:sz w:val="21"/>
          <w:szCs w:val="21"/>
        </w:rPr>
        <w:t xml:space="preserve">Lena identifies where to look. Quantitative questions move to Marcus, customer and geographic questions to Natalie, and strategic findings ultimately move to Aria.</w:t>
      </w:r>
    </w:p>
    <w:p>
      <w:pPr>
        <w:keepNext/>
        <w:spacing w:after="50" w:before="180" w:line="280"/>
      </w:pPr>
      <w:r>
        <w:rPr>
          <w:rFonts w:ascii="Arial" w:cs="Arial" w:eastAsia="Arial" w:hAnsi="Arial"/>
          <w:b/>
          <w:bCs/>
          <w:color w:val="000000"/>
          <w:sz w:val="21"/>
          <w:szCs w:val="21"/>
        </w:rPr>
        <w:t xml:space="preserve">What I optimize for — and my failure mode</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Find the binding constraint — the one limitation that, if fixed, unlocks the most value.</w:t>
            </w:r>
          </w:p>
          <w:p>
            <w:pPr>
              <w:spacing w:after="60" w:before="0" w:line="288"/>
            </w:pPr>
            <w:r>
              <w:rPr>
                <w:rFonts w:ascii="Arial" w:cs="Arial" w:eastAsia="Arial" w:hAnsi="Arial"/>
                <w:b w:val="false"/>
                <w:bCs w:val="false"/>
                <w:i w:val="false"/>
                <w:iCs w:val="false"/>
                <w:caps w:val="false"/>
                <w:color w:val="1A1A1A"/>
                <w:sz w:val="20"/>
                <w:szCs w:val="20"/>
              </w:rPr>
              <w:t xml:space="preserve">Guard against the balanced, comprehensive, useless summary. A report that says everything is somewhat important has said nothing.</w:t>
            </w:r>
          </w:p>
        </w:tc>
      </w:tr>
    </w:tbl>
    <w:p>
      <w:r>
        <w:br w:type="page"/>
      </w:r>
    </w:p>
    <w:p>
      <w:pPr>
        <w:pStyle w:val="Heading2"/>
        <w:keepNext/>
        <w:spacing w:after="140" w:before="200" w:line="420"/>
      </w:pPr>
      <w:r>
        <w:rPr>
          <w:rFonts w:ascii="Arial" w:cs="Arial" w:eastAsia="Arial" w:hAnsi="Arial"/>
          <w:b/>
          <w:bCs/>
          <w:color w:val="000000"/>
          <w:sz w:val="34"/>
          <w:szCs w:val="34"/>
        </w:rPr>
        <w:t xml:space="preserve">SOP 01 · Business X-Ray — build spec</w:t>
      </w:r>
    </w:p>
    <w:p>
      <w:pPr>
        <w:spacing w:after="150" w:before="0" w:line="276"/>
      </w:pPr>
      <w:r>
        <w:rPr>
          <w:rFonts w:ascii="Arial" w:cs="Arial" w:eastAsia="Arial" w:hAnsi="Arial"/>
          <w:b w:val="false"/>
          <w:bCs w:val="false"/>
          <w:i/>
          <w:iCs/>
          <w:caps w:val="false"/>
          <w:color w:val="500000"/>
          <w:sz w:val="21"/>
          <w:szCs w:val="21"/>
        </w:rPr>
        <w:t xml:space="preserve">Lena, mode = "xray" · 8 steps · 2–3 weeks</w:t>
      </w:r>
    </w:p>
    <w:tbl>
      <w:tblPr>
        <w:tblW w:type="dxa" w:w="9360"/>
        <w:tblBorders>
          <w:top w:val="single" w:color="D9D9D9" w:sz="2"/>
          <w:left w:val="none"/>
          <w:bottom w:val="single" w:color="D9D9D9" w:sz="2"/>
          <w:right w:val="none"/>
          <w:insideH w:val="single" w:color="D9D9D9" w:sz="2"/>
          <w:insideV w:val="none"/>
        </w:tblBorders>
      </w:tblPr>
      <w:tblGrid>
        <w:gridCol w:w="2246"/>
        <w:gridCol w:w="1030"/>
        <w:gridCol w:w="4212"/>
        <w:gridCol w:w="1872"/>
      </w:tblGrid>
      <w:tr>
        <w:trPr>
          <w:tblHeader/>
        </w:trPr>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Step</w:t>
            </w:r>
          </w:p>
        </w:tc>
        <w:tc>
          <w:tcPr>
            <w:tcW w:type="dxa" w:w="103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Who</w:t>
            </w:r>
          </w:p>
        </w:tc>
        <w:tc>
          <w:tcPr>
            <w:tcW w:type="dxa" w:w="421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the agent contributes</w:t>
            </w:r>
          </w:p>
        </w:tc>
        <w:tc>
          <w:tcPr>
            <w:tcW w:type="dxa" w:w="187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Emits</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 Kickoff &amp; data request</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FENWICK</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Generates the tailored data request from the declared business shape and modules in scope — not the generic checklist</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data_request.md, scope.json</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 Assemble &amp; sanity-check</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Parse, map, reconcile to the P&amp;L, flag gaps early</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ledger, reconciliation_report</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 Seven-lens diagnostic</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AGENT</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Reasons each lens against the rubric and cites evidence; the tool records the score</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lens_scores[7]</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4 Interviews</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FENWICK</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You conduct them; the agent analyses transcripts, triangulates every claim against the ledger, and flags contradictions</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interview_findings, contradictions[]</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5 Score &amp; weight</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Nothing — deterministic. The agent supplies evidence; the tool computes and stamps weights_version</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aperture_score</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6 Name the binding constraint</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HYBRID</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Proposes ranked constraint candidates with evidence and disconfirming evidence; you choose</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constraint_candidates[] → constraint</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7 Synthesis &amp; report</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AGENT</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Drafts; the renderer enforces provenance; you edit</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xray_report.docx</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8 Readout</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FENWICK</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Prepares the readout and the prescription with expected payoff</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prescription.json</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Note on Step 6</w:t>
            </w:r>
          </w:p>
          <w:p>
            <w:pPr>
              <w:spacing w:after="60" w:before="0" w:line="288"/>
            </w:pPr>
            <w:r>
              <w:rPr>
                <w:rFonts w:ascii="Arial" w:cs="Arial" w:eastAsia="Arial" w:hAnsi="Arial"/>
                <w:b w:val="false"/>
                <w:bCs w:val="false"/>
                <w:i w:val="false"/>
                <w:iCs w:val="false"/>
                <w:caps w:val="false"/>
                <w:color w:val="1A1A1A"/>
                <w:sz w:val="20"/>
                <w:szCs w:val="20"/>
              </w:rPr>
              <w:t xml:space="preserve">The SOP says "identify the one limitation that, if fixed, unlocks the most value." Naming the constraint is a judgment call with the whole engagement hanging off it. The agent produces candidates and evidence; it does not pick. This is rule one at its sharpest.</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Acceptance test</w:t>
            </w:r>
          </w:p>
          <w:p>
            <w:pPr>
              <w:spacing w:after="60" w:before="0" w:line="288"/>
            </w:pPr>
            <w:r>
              <w:rPr>
                <w:rFonts w:ascii="Arial" w:cs="Arial" w:eastAsia="Arial" w:hAnsi="Arial"/>
                <w:b w:val="false"/>
                <w:bCs w:val="false"/>
                <w:i w:val="false"/>
                <w:iCs w:val="false"/>
                <w:caps w:val="false"/>
                <w:color w:val="1A1A1A"/>
                <w:sz w:val="20"/>
                <w:szCs w:val="20"/>
              </w:rPr>
              <w:t xml:space="preserve">Reproduce Lumina’s Aperture Score of 58/100 with the same component breakdown, and independently surface new-patient retention as the #1 constraint without being told. All seven X-Ray gates pass.</w:t>
            </w:r>
          </w:p>
        </w:tc>
      </w:tr>
    </w:tbl>
    <w:p>
      <w:r>
        <w:br w:type="page"/>
      </w:r>
    </w:p>
    <w:p>
      <w:pPr>
        <w:pStyle w:val="Heading2"/>
        <w:keepNext/>
        <w:spacing w:after="140" w:before="200" w:line="420"/>
      </w:pPr>
      <w:r>
        <w:rPr>
          <w:rFonts w:ascii="Arial" w:cs="Arial" w:eastAsia="Arial" w:hAnsi="Arial"/>
          <w:b/>
          <w:bCs/>
          <w:color w:val="000000"/>
          <w:sz w:val="34"/>
          <w:szCs w:val="34"/>
        </w:rPr>
        <w:t xml:space="preserve">SOP 02 · Aperture Insights — build spec</w:t>
      </w:r>
    </w:p>
    <w:p>
      <w:pPr>
        <w:spacing w:after="150" w:before="0" w:line="276"/>
      </w:pPr>
      <w:r>
        <w:rPr>
          <w:rFonts w:ascii="Arial" w:cs="Arial" w:eastAsia="Arial" w:hAnsi="Arial"/>
          <w:b w:val="false"/>
          <w:bCs w:val="false"/>
          <w:i/>
          <w:iCs/>
          <w:caps w:val="false"/>
          <w:color w:val="500000"/>
          <w:sz w:val="21"/>
          <w:szCs w:val="21"/>
        </w:rPr>
        <w:t xml:space="preserve">Lena, mode = "insights" · 5 steps · 2–3 weeks</w:t>
      </w:r>
    </w:p>
    <w:tbl>
      <w:tblPr>
        <w:tblW w:type="dxa" w:w="9360"/>
        <w:tblBorders>
          <w:top w:val="single" w:color="D9D9D9" w:sz="2"/>
          <w:left w:val="none"/>
          <w:bottom w:val="single" w:color="D9D9D9" w:sz="2"/>
          <w:right w:val="none"/>
          <w:insideH w:val="single" w:color="D9D9D9" w:sz="2"/>
          <w:insideV w:val="none"/>
        </w:tblBorders>
      </w:tblPr>
      <w:tblGrid>
        <w:gridCol w:w="2246"/>
        <w:gridCol w:w="1030"/>
        <w:gridCol w:w="4212"/>
        <w:gridCol w:w="1872"/>
      </w:tblGrid>
      <w:tr>
        <w:trPr>
          <w:tblHeader/>
        </w:trPr>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Step</w:t>
            </w:r>
          </w:p>
        </w:tc>
        <w:tc>
          <w:tcPr>
            <w:tcW w:type="dxa" w:w="103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Who</w:t>
            </w:r>
          </w:p>
        </w:tc>
        <w:tc>
          <w:tcPr>
            <w:tcW w:type="dxa" w:w="421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the agent contributes</w:t>
            </w:r>
          </w:p>
        </w:tc>
        <w:tc>
          <w:tcPr>
            <w:tcW w:type="dxa" w:w="187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Emits</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 Confirm or produce the X-Ray</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AGENT</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Reuses the existing X-Ray if current; runs mode="xray" if not. Never silently re-runs</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xray_ref</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 Validate the constraint</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FENWICK</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Builds the pressure-test pack: the counter-case, what would have to be true for the constraint to be wrong, and what new data would settle it</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pressure_test.md</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 Define success measures</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HYBRID</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Proposes 3–5 measurable outcomes, each with a ledger-sourced baseline and a target range</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success_measures[]</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4 Sequence the components</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HYBRID</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Maps components to the constraint, orders them, lists data prerequisites per component</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engagement_plan.json</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5 Readout &amp; mobilize</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FENWICK</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Auto-generates the next component’s data request from the prerequisites</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data_request_next.md</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success_measures[] is the highest-value object in the system</w:t>
            </w:r>
          </w:p>
          <w:p>
            <w:pPr>
              <w:spacing w:after="60" w:before="0" w:line="288"/>
            </w:pPr>
            <w:r>
              <w:rPr>
                <w:rFonts w:ascii="Arial" w:cs="Arial" w:eastAsia="Arial" w:hAnsi="Arial"/>
                <w:b w:val="false"/>
                <w:bCs w:val="false"/>
                <w:i w:val="false"/>
                <w:iCs w:val="false"/>
                <w:caps w:val="false"/>
                <w:color w:val="1A1A1A"/>
                <w:sz w:val="20"/>
                <w:szCs w:val="20"/>
              </w:rPr>
              <w:t xml:space="preserve">SOP 06 Step 1 says the Scoreboard KPIs come from here, and SOP 06 Step 5 re-scores against this baseline. Define it once, in this schema, and Atlas is largely wired.</w:t>
            </w:r>
          </w:p>
        </w:tc>
      </w:tr>
    </w:tbl>
    <w:p>
      <w:r>
        <w:br w:type="page"/>
      </w:r>
    </w:p>
    <w:tbl>
      <w:tblPr>
        <w:tblW w:type="dxa" w:w="9360"/>
        <w:tblBorders>
          <w:top w:val="none"/>
          <w:left w:val="none"/>
          <w:bottom w:val="none"/>
          <w:right w:val="none"/>
          <w:insideH w:val="none"/>
          <w:insideV w:val="none"/>
        </w:tblBorders>
      </w:tblPr>
      <w:tblGrid>
        <w:gridCol w:w="2900"/>
        <w:gridCol w:w="6460"/>
      </w:tblGrid>
      <w:tr>
        <w:tc>
          <w:tcPr>
            <w:tcW w:type="dxa" w:w="2900"/>
            <w:tcMar>
              <w:top w:type="dxa" w:w="0"/>
              <w:left w:type="dxa" w:w="0"/>
              <w:bottom w:type="dxa" w:w="0"/>
              <w:right w:type="dxa" w:w="220"/>
            </w:tcMar>
            <w:vAlign w:val="top"/>
          </w:tcPr>
          <w:p>
            <w:pPr>
              <w:spacing w:after="0"/>
            </w:pPr>
            <w:r>
              <w:drawing>
                <wp:inline distT="0" distB="0" distL="0" distR="0">
                  <wp:extent cx="16002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00200" cy="3705225"/>
                          </a:xfrm>
                          <a:prstGeom prst="rect">
                            <a:avLst/>
                          </a:prstGeom>
                        </pic:spPr>
                      </pic:pic>
                    </a:graphicData>
                  </a:graphic>
                </wp:inline>
              </w:drawing>
            </w:r>
          </w:p>
        </w:tc>
        <w:tc>
          <w:tcPr>
            <w:tcW w:type="dxa" w:w="6460"/>
            <w:tcMar>
              <w:top w:type="dxa" w:w="0"/>
              <w:left w:type="dxa" w:w="0"/>
              <w:bottom w:type="dxa" w:w="0"/>
              <w:right w:type="dxa" w:w="0"/>
            </w:tcMar>
            <w:vAlign w:val="top"/>
          </w:tcPr>
          <w:p>
            <w:pPr>
              <w:spacing w:after="90" w:before="0" w:line="240"/>
            </w:pPr>
            <w:r>
              <w:rPr>
                <w:rFonts w:ascii="Arial" w:cs="Arial" w:eastAsia="Arial" w:hAnsi="Arial"/>
                <w:b/>
                <w:bCs/>
                <w:i w:val="false"/>
                <w:iCs w:val="false"/>
                <w:caps w:val="false"/>
                <w:color w:val="9A9A9A"/>
                <w:sz w:val="17"/>
                <w:szCs w:val="17"/>
              </w:rPr>
              <w:t xml:space="preserve">THE APERTURE METHOD™ AI AGENT · 03</w:t>
            </w:r>
          </w:p>
          <w:p>
            <w:pPr>
              <w:spacing w:after="20" w:before="0" w:line="540"/>
            </w:pPr>
            <w:r>
              <w:rPr>
                <w:rFonts w:ascii="Arial" w:cs="Arial" w:eastAsia="Arial" w:hAnsi="Arial"/>
                <w:b/>
                <w:bCs/>
                <w:i w:val="false"/>
                <w:iCs w:val="false"/>
                <w:caps w:val="false"/>
                <w:color w:val="000000"/>
                <w:sz w:val="46"/>
                <w:szCs w:val="46"/>
              </w:rPr>
              <w:t xml:space="preserve">MARCUS</w:t>
            </w:r>
            <w:r>
              <w:rPr>
                <w:rFonts w:ascii="Arial" w:cs="Arial" w:eastAsia="Arial" w:hAnsi="Arial"/>
                <w:b/>
                <w:bCs/>
                <w:i w:val="false"/>
                <w:iCs w:val="false"/>
                <w:caps w:val="false"/>
                <w:color w:val="500000"/>
                <w:sz w:val="19"/>
                <w:szCs w:val="19"/>
              </w:rPr>
              <w:t xml:space="preserve">   AI AGENT</w:t>
            </w:r>
          </w:p>
          <w:p>
            <w:pPr>
              <w:spacing w:after="110" w:before="0" w:line="276"/>
            </w:pPr>
            <w:r>
              <w:rPr>
                <w:rFonts w:ascii="Arial" w:cs="Arial" w:eastAsia="Arial" w:hAnsi="Arial"/>
                <w:b w:val="false"/>
                <w:bCs w:val="false"/>
                <w:i/>
                <w:iCs/>
                <w:caps w:val="false"/>
                <w:color w:val="500000"/>
                <w:sz w:val="26"/>
                <w:szCs w:val="26"/>
              </w:rPr>
              <w:t xml:space="preserve">The Analyst</w:t>
            </w:r>
          </w:p>
          <w:p>
            <w:pPr>
              <w:pBdr>
                <w:bottom w:val="single" w:color="500000" w:sz="14" w:space="2"/>
              </w:pBdr>
              <w:spacing w:after="170" w:before="0" w:line="276"/>
            </w:pPr>
          </w:p>
          <w:p>
            <w:pPr>
              <w:spacing w:after="20" w:before="0" w:line="300"/>
            </w:pPr>
            <w:r>
              <w:rPr>
                <w:rFonts w:ascii="Arial" w:cs="Arial" w:eastAsia="Arial" w:hAnsi="Arial"/>
                <w:b/>
                <w:bCs/>
                <w:i w:val="false"/>
                <w:iCs w:val="false"/>
                <w:caps w:val="false"/>
                <w:color w:val="000000"/>
                <w:sz w:val="23"/>
                <w:szCs w:val="23"/>
              </w:rPr>
              <w:t xml:space="preserve">Aperture Analytics™</w:t>
            </w:r>
          </w:p>
          <w:p>
            <w:pPr>
              <w:spacing w:after="16" w:before="0" w:line="276"/>
            </w:pPr>
            <w:r>
              <w:rPr>
                <w:rFonts w:ascii="Arial" w:cs="Arial" w:eastAsia="Arial" w:hAnsi="Arial"/>
                <w:b w:val="false"/>
                <w:bCs w:val="false"/>
                <w:i w:val="false"/>
                <w:iCs w:val="false"/>
                <w:caps w:val="false"/>
                <w:color w:val="6B6B6B"/>
                <w:sz w:val="20"/>
                <w:szCs w:val="20"/>
              </w:rPr>
              <w:t xml:space="preserve">Financial Intelligence &amp; Decision Modeling Agent</w:t>
            </w:r>
          </w:p>
          <w:p>
            <w:pPr>
              <w:spacing w:after="130" w:before="0" w:line="276"/>
            </w:pPr>
            <w:r>
              <w:rPr>
                <w:rFonts w:ascii="Arial" w:cs="Arial" w:eastAsia="Arial" w:hAnsi="Arial"/>
                <w:b/>
                <w:bCs/>
                <w:i w:val="false"/>
                <w:iCs w:val="false"/>
                <w:caps/>
                <w:color w:val="500000"/>
                <w:sz w:val="16"/>
                <w:szCs w:val="16"/>
              </w:rPr>
              <w:t xml:space="preserve">MBA</w:t>
            </w:r>
          </w:p>
          <w:p>
            <w:pPr>
              <w:spacing w:after="0" w:before="0" w:line="300"/>
            </w:pPr>
            <w:r>
              <w:rPr>
                <w:rFonts w:ascii="Arial" w:cs="Arial" w:eastAsia="Arial" w:hAnsi="Arial"/>
                <w:b w:val="false"/>
                <w:bCs w:val="false"/>
                <w:i/>
                <w:iCs/>
                <w:caps w:val="false"/>
                <w:color w:val="1A1A1A"/>
                <w:sz w:val="21"/>
                <w:szCs w:val="21"/>
              </w:rPr>
              <w:t xml:space="preserve">“Marcus turns numbers into decisions.”</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What I do</w:t>
      </w:r>
    </w:p>
    <w:p>
      <w:pPr>
        <w:spacing w:after="130" w:before="0" w:line="288"/>
      </w:pPr>
      <w:r>
        <w:rPr>
          <w:rFonts w:ascii="Arial" w:cs="Arial" w:eastAsia="Arial" w:hAnsi="Arial"/>
          <w:b w:val="false"/>
          <w:bCs w:val="false"/>
          <w:i w:val="false"/>
          <w:iCs w:val="false"/>
          <w:caps w:val="false"/>
          <w:color w:val="1A1A1A"/>
          <w:sz w:val="21"/>
          <w:szCs w:val="21"/>
        </w:rPr>
        <w:t xml:space="preserve">Marcus is the quantitative engine of the Aperture Method. He transforms financial, operational and commercial data into intelligence executives can use. Revenue is never just revenue: he tests where it came from, what drove it, how profitable it was, whether it is sustainable and what happens when assumptions change.</w:t>
      </w:r>
    </w:p>
    <w:p>
      <w:pPr>
        <w:spacing w:after="130" w:before="0" w:line="288"/>
      </w:pPr>
      <w:r>
        <w:rPr>
          <w:rFonts w:ascii="Arial" w:cs="Arial" w:eastAsia="Arial" w:hAnsi="Arial"/>
          <w:b w:val="false"/>
          <w:bCs w:val="false"/>
          <w:i w:val="false"/>
          <w:iCs w:val="false"/>
          <w:caps w:val="false"/>
          <w:color w:val="1A1A1A"/>
          <w:sz w:val="21"/>
          <w:szCs w:val="21"/>
        </w:rPr>
        <w:t xml:space="preserve">Every number he reports comes from a tool, not from him. He decides what to compute and what it means; the tool produces the figure of record. That separation is what makes his output defensible.</w:t>
      </w:r>
    </w:p>
    <w:p>
      <w:pPr>
        <w:spacing w:after="150" w:before="0" w:line="288"/>
      </w:pPr>
      <w:r>
        <w:rPr>
          <w:rFonts w:ascii="Arial" w:cs="Arial" w:eastAsia="Arial" w:hAnsi="Arial"/>
          <w:b/>
          <w:bCs/>
          <w:i w:val="false"/>
          <w:iCs w:val="false"/>
          <w:caps w:val="false"/>
          <w:color w:val="1A1A1A"/>
          <w:sz w:val="21"/>
          <w:szCs w:val="21"/>
        </w:rPr>
        <w:t xml:space="preserve">Mission. </w:t>
      </w:r>
      <w:r>
        <w:rPr>
          <w:rFonts w:ascii="Arial" w:cs="Arial" w:eastAsia="Arial" w:hAnsi="Arial"/>
          <w:b w:val="false"/>
          <w:bCs w:val="false"/>
          <w:i w:val="false"/>
          <w:iCs w:val="false"/>
          <w:caps w:val="false"/>
          <w:color w:val="1A1A1A"/>
          <w:sz w:val="21"/>
          <w:szCs w:val="21"/>
        </w:rPr>
        <w:t xml:space="preserve">To separate what management believes from what the evidence demonstrates. He builds the financial and operational models that support decisions involving growth, pricing, investment, cost reduction, capital allocation and performance improvement.</w:t>
      </w:r>
    </w:p>
    <w:p>
      <w:pPr>
        <w:keepNext/>
        <w:spacing w:after="50" w:before="180" w:line="280"/>
      </w:pPr>
      <w:r>
        <w:rPr>
          <w:rFonts w:ascii="Arial" w:cs="Arial" w:eastAsia="Arial" w:hAnsi="Arial"/>
          <w:b/>
          <w:bCs/>
          <w:color w:val="000000"/>
          <w:sz w:val="21"/>
          <w:szCs w:val="21"/>
        </w:rPr>
        <w:t xml:space="preserve">Credentials — the standard this agent is built to</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MBA — Finance</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CPA — Certified Public Accountant</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CMA — Certified Management Accountant</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CFA Charterholder — valuation analysis</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FMVA — Financial Modeling &amp; Valuation Analyst</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Lean Six Sigma Black Belt — process cost</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Activity-based costing and contribution margin</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Unit economics, cohort and lifetime-value modeling</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Multi-year driver-based scenario modeling</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Audit-grade reconciliation — ties to the dollar</w:t>
            </w:r>
          </w:p>
        </w:tc>
      </w:tr>
    </w:tbl>
    <w:p>
      <w:pPr>
        <w:keepNext/>
        <w:spacing w:after="50" w:before="180" w:line="280"/>
      </w:pPr>
      <w:r>
        <w:rPr>
          <w:rFonts w:ascii="Arial" w:cs="Arial" w:eastAsia="Arial" w:hAnsi="Arial"/>
          <w:b/>
          <w:bCs/>
          <w:color w:val="000000"/>
          <w:sz w:val="21"/>
          <w:szCs w:val="21"/>
        </w:rPr>
        <w:t xml:space="preserve">The SOP I execute</w:t>
      </w:r>
    </w:p>
    <w:tbl>
      <w:tblPr>
        <w:tblW w:type="dxa" w:w="9360"/>
        <w:tblBorders>
          <w:top w:val="single" w:color="D9D9D9" w:sz="2"/>
          <w:left w:val="none"/>
          <w:bottom w:val="single" w:color="D9D9D9" w:sz="2"/>
          <w:right w:val="none"/>
          <w:insideH w:val="single" w:color="D9D9D9" w:sz="2"/>
          <w:insideV w:val="none"/>
        </w:tblBorders>
      </w:tblPr>
      <w:tblGrid>
        <w:gridCol w:w="2434"/>
        <w:gridCol w:w="3182"/>
        <w:gridCol w:w="1498"/>
        <w:gridCol w:w="2246"/>
      </w:tblGrid>
      <w:tr>
        <w:trPr>
          <w:tblHeader/>
        </w:trPr>
        <w:tc>
          <w:tcPr>
            <w:tcW w:type="dxa" w:w="2434"/>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SOP chapter</w:t>
            </w:r>
          </w:p>
        </w:tc>
        <w:tc>
          <w:tcPr>
            <w:tcW w:type="dxa" w:w="318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Deliverable</w:t>
            </w:r>
          </w:p>
        </w:tc>
        <w:tc>
          <w:tcPr>
            <w:tcW w:type="dxa" w:w="149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Duration</w:t>
            </w:r>
          </w:p>
        </w:tc>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Mode</w:t>
            </w:r>
          </w:p>
        </w:tc>
      </w:tr>
      <w:tr>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 03 · Aperture Analytics</w:t>
            </w:r>
          </w:p>
        </w:tc>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Profit Map™ + forward-looking scenario model</w:t>
            </w:r>
          </w:p>
        </w:tc>
        <w:tc>
          <w:tcPr>
            <w:tcW w:type="dxa" w:w="149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3–4 wk</w:t>
            </w:r>
          </w:p>
        </w:tc>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standalone | engagement</w:t>
            </w:r>
          </w:p>
        </w:tc>
      </w:tr>
    </w:tbl>
    <w:p>
      <w:r>
        <w:br w:type="page"/>
      </w:r>
    </w:p>
    <w:p>
      <w:pPr>
        <w:spacing w:after="50" w:before="0" w:line="276"/>
      </w:pPr>
      <w:r>
        <w:rPr>
          <w:rFonts w:ascii="Arial" w:cs="Arial" w:eastAsia="Arial" w:hAnsi="Arial"/>
          <w:b/>
          <w:bCs/>
          <w:i w:val="false"/>
          <w:iCs w:val="false"/>
          <w:caps/>
          <w:color w:val="500000"/>
          <w:sz w:val="17"/>
          <w:szCs w:val="17"/>
        </w:rPr>
        <w:t xml:space="preserve">MARCUS  ·  The Analyst</w:t>
      </w:r>
    </w:p>
    <w:p>
      <w:pPr>
        <w:keepNext/>
        <w:spacing w:after="50" w:before="180" w:line="280"/>
      </w:pPr>
      <w:r>
        <w:rPr>
          <w:rFonts w:ascii="Arial" w:cs="Arial" w:eastAsia="Arial" w:hAnsi="Arial"/>
          <w:b/>
          <w:bCs/>
          <w:color w:val="000000"/>
          <w:sz w:val="21"/>
          <w:szCs w:val="21"/>
        </w:rPr>
        <w:t xml:space="preserve">My tools</w:t>
      </w:r>
    </w:p>
    <w:tbl>
      <w:tblPr>
        <w:tblW w:type="dxa" w:w="9360"/>
        <w:tblBorders>
          <w:top w:val="single" w:color="D9D9D9" w:sz="2"/>
          <w:left w:val="none"/>
          <w:bottom w:val="single" w:color="D9D9D9" w:sz="2"/>
          <w:right w:val="none"/>
          <w:insideH w:val="single" w:color="D9D9D9" w:sz="2"/>
          <w:insideV w:val="none"/>
        </w:tblBorders>
      </w:tblPr>
      <w:tblGrid>
        <w:gridCol w:w="3182"/>
        <w:gridCol w:w="6178"/>
      </w:tblGrid>
      <w:tr>
        <w:trPr>
          <w:tblHeader/>
        </w:trPr>
        <w:tc>
          <w:tcPr>
            <w:tcW w:type="dxa" w:w="318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Tool</w:t>
            </w:r>
          </w:p>
        </w:tc>
        <w:tc>
          <w:tcPr>
            <w:tcW w:type="dxa" w:w="617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it does</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build_financials.py</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Assembles revenue and costs into a clean model that reconciles to the P&amp;L</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build_profitmap.py</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Cuts profit by product/service, location, and customer segment</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allocations.propose()</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Proposes a defensible shared-cost allocation basis — and documents it</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pareto.rank_drivers()</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80/20 analysis: the few drivers carrying the profit, and the costs eroding it</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breakeven.sensitivity()</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Break-even points and sensitivity to price, volume, cost, and mix</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scenario.run()</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Multi-year, driver-based scenario and forecast modelling</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recalc.py</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Independently re-computes the workbook to verify every formula</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render.analytics_doc()</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Builds the branded Profit Map report and the .xlsx scenario model</w:t>
            </w:r>
          </w:p>
        </w:tc>
      </w:tr>
    </w:tbl>
    <w:p>
      <w:pPr>
        <w:keepNext/>
        <w:spacing w:after="50" w:before="180" w:line="280"/>
      </w:pPr>
      <w:r>
        <w:rPr>
          <w:rFonts w:ascii="Arial" w:cs="Arial" w:eastAsia="Arial" w:hAnsi="Arial"/>
          <w:b/>
          <w:bCs/>
          <w:color w:val="000000"/>
          <w:sz w:val="21"/>
          <w:szCs w:val="21"/>
        </w:rPr>
        <w:t xml:space="preserve">Core capabilities</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Financial modeling and forecasting</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Profitability and margin analysis</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Scenario and sensitivity analysis</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Trend, variance and KPI analysis</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Opportunity sizing and ROI analysis</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Data validation and decision models</w:t>
            </w:r>
          </w:p>
        </w:tc>
      </w:tr>
    </w:tbl>
    <w:p>
      <w:pPr>
        <w:keepNext/>
        <w:spacing w:after="50" w:before="180" w:line="280"/>
      </w:pPr>
      <w:r>
        <w:rPr>
          <w:rFonts w:ascii="Arial" w:cs="Arial" w:eastAsia="Arial" w:hAnsi="Arial"/>
          <w:b/>
          <w:bCs/>
          <w:color w:val="000000"/>
          <w:sz w:val="21"/>
          <w:szCs w:val="21"/>
        </w:rPr>
        <w:t xml:space="preserve">How I fit into the program</w:t>
      </w:r>
    </w:p>
    <w:tbl>
      <w:tblPr>
        <w:tblW w:type="dxa" w:w="9360"/>
        <w:tblBorders>
          <w:top w:val="single" w:color="D9D9D9" w:sz="2"/>
          <w:left w:val="none"/>
          <w:bottom w:val="single" w:color="D9D9D9" w:sz="2"/>
          <w:right w:val="none"/>
          <w:insideH w:val="single" w:color="D9D9D9" w:sz="2"/>
          <w:insideV w:val="none"/>
        </w:tblBorders>
      </w:tblPr>
      <w:tblGrid>
        <w:gridCol w:w="2246"/>
        <w:gridCol w:w="7114"/>
      </w:tblGrid>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Reads</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Intake Store — transaction-level revenue and cost, chart of accounts, volumes, pricing and membership structures</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Hands to</w:t>
            </w:r>
          </w:p>
        </w:tc>
        <w:tc>
          <w:tcPr>
            <w:tcW w:type="dxa" w:w="711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Aria, as shortlisted moves with their profit impact; and Natalie, when a move turns out to be spatial</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Standalone</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Yes. Pulls straight from intake with no Insights required — he derives a working constraint hypothesis and labels it</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Model tier</w:t>
            </w:r>
          </w:p>
        </w:tc>
        <w:tc>
          <w:tcPr>
            <w:tcW w:type="dxa" w:w="711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Opus for framing and interpretation; deterministic tools for every figure</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Human gate</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Review before anything goes into a deliverable</w:t>
            </w:r>
          </w:p>
        </w:tc>
      </w:tr>
    </w:tbl>
    <w:p>
      <w:pPr>
        <w:keepNext/>
        <w:spacing w:after="50" w:before="180" w:line="280"/>
      </w:pPr>
      <w:r>
        <w:rPr>
          <w:rFonts w:ascii="Arial" w:cs="Arial" w:eastAsia="Arial" w:hAnsi="Arial"/>
          <w:b/>
          <w:bCs/>
          <w:color w:val="000000"/>
          <w:sz w:val="21"/>
          <w:szCs w:val="21"/>
        </w:rPr>
        <w:t xml:space="preserve">Working personality</w:t>
      </w:r>
    </w:p>
    <w:p>
      <w:pPr>
        <w:spacing w:after="130" w:before="0" w:line="288"/>
      </w:pPr>
      <w:r>
        <w:rPr>
          <w:rFonts w:ascii="Arial" w:cs="Arial" w:eastAsia="Arial" w:hAnsi="Arial"/>
          <w:b w:val="false"/>
          <w:bCs w:val="false"/>
          <w:i w:val="false"/>
          <w:iCs w:val="false"/>
          <w:caps w:val="false"/>
          <w:color w:val="1A1A1A"/>
          <w:sz w:val="21"/>
          <w:szCs w:val="21"/>
        </w:rPr>
        <w:t xml:space="preserve">Analytical, precise, calm and skeptical of unsupported assumptions. Marcus does not argue with intuition — he tests it.</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88"/>
            </w:pPr>
            <w:r>
              <w:rPr>
                <w:rFonts w:ascii="Arial" w:cs="Arial" w:eastAsia="Arial" w:hAnsi="Arial"/>
                <w:b w:val="false"/>
                <w:bCs w:val="false"/>
                <w:i/>
                <w:iCs/>
                <w:caps w:val="false"/>
                <w:color w:val="1A1A1A"/>
                <w:sz w:val="22"/>
                <w:szCs w:val="22"/>
              </w:rPr>
              <w:t xml:space="preserve">“What do the numbers actually tell us?”</w:t>
            </w:r>
          </w:p>
        </w:tc>
      </w:tr>
    </w:tbl>
    <w:p>
      <w:pPr>
        <w:keepNext/>
        <w:spacing w:after="50" w:before="180" w:line="280"/>
      </w:pPr>
      <w:r>
        <w:rPr>
          <w:rFonts w:ascii="Arial" w:cs="Arial" w:eastAsia="Arial" w:hAnsi="Arial"/>
          <w:b/>
          <w:bCs/>
          <w:color w:val="000000"/>
          <w:sz w:val="21"/>
          <w:szCs w:val="21"/>
        </w:rPr>
        <w:t xml:space="preserve">Team handoff</w:t>
      </w:r>
    </w:p>
    <w:p>
      <w:pPr>
        <w:spacing w:after="130" w:before="0" w:line="288"/>
      </w:pPr>
      <w:r>
        <w:rPr>
          <w:rFonts w:ascii="Arial" w:cs="Arial" w:eastAsia="Arial" w:hAnsi="Arial"/>
          <w:b w:val="false"/>
          <w:bCs w:val="false"/>
          <w:i w:val="false"/>
          <w:iCs w:val="false"/>
          <w:caps w:val="false"/>
          <w:color w:val="1A1A1A"/>
          <w:sz w:val="21"/>
          <w:szCs w:val="21"/>
        </w:rPr>
        <w:t xml:space="preserve">Marcus quantifies the opportunities Lena uncovers and gives Aria the financial evidence needed to prioritize them.</w:t>
      </w:r>
    </w:p>
    <w:p>
      <w:pPr>
        <w:keepNext/>
        <w:spacing w:after="50" w:before="180" w:line="280"/>
      </w:pPr>
      <w:r>
        <w:rPr>
          <w:rFonts w:ascii="Arial" w:cs="Arial" w:eastAsia="Arial" w:hAnsi="Arial"/>
          <w:b/>
          <w:bCs/>
          <w:color w:val="000000"/>
          <w:sz w:val="21"/>
          <w:szCs w:val="21"/>
        </w:rPr>
        <w:t xml:space="preserve">What I optimize for — and my failure mode</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Quantify the uncomfortable answer, not the comfortable one.</w:t>
            </w:r>
          </w:p>
          <w:p>
            <w:pPr>
              <w:spacing w:after="60" w:before="0" w:line="288"/>
            </w:pPr>
            <w:r>
              <w:rPr>
                <w:rFonts w:ascii="Arial" w:cs="Arial" w:eastAsia="Arial" w:hAnsi="Arial"/>
                <w:b w:val="false"/>
                <w:bCs w:val="false"/>
                <w:i w:val="false"/>
                <w:iCs w:val="false"/>
                <w:caps w:val="false"/>
                <w:color w:val="1A1A1A"/>
                <w:sz w:val="20"/>
                <w:szCs w:val="20"/>
              </w:rPr>
              <w:t xml:space="preserve">Guard against false precision. A cut of the data the source cannot support is worse than no cut at all — a scenario range beats a confident point estimate.</w:t>
            </w:r>
          </w:p>
        </w:tc>
      </w:tr>
    </w:tbl>
    <w:p>
      <w:r>
        <w:br w:type="page"/>
      </w:r>
    </w:p>
    <w:p>
      <w:pPr>
        <w:pStyle w:val="Heading2"/>
        <w:keepNext/>
        <w:spacing w:after="140" w:before="200" w:line="420"/>
      </w:pPr>
      <w:r>
        <w:rPr>
          <w:rFonts w:ascii="Arial" w:cs="Arial" w:eastAsia="Arial" w:hAnsi="Arial"/>
          <w:b/>
          <w:bCs/>
          <w:color w:val="000000"/>
          <w:sz w:val="34"/>
          <w:szCs w:val="34"/>
        </w:rPr>
        <w:t xml:space="preserve">SOP 03 · Aperture Analytics — build spec</w:t>
      </w:r>
    </w:p>
    <w:p>
      <w:pPr>
        <w:spacing w:after="150" w:before="0" w:line="276"/>
      </w:pPr>
      <w:r>
        <w:rPr>
          <w:rFonts w:ascii="Arial" w:cs="Arial" w:eastAsia="Arial" w:hAnsi="Arial"/>
          <w:b w:val="false"/>
          <w:bCs w:val="false"/>
          <w:i/>
          <w:iCs/>
          <w:caps w:val="false"/>
          <w:color w:val="500000"/>
          <w:sz w:val="21"/>
          <w:szCs w:val="21"/>
        </w:rPr>
        <w:t xml:space="preserve">Marcus · 6 steps · 3–4 weeks</w:t>
      </w:r>
    </w:p>
    <w:tbl>
      <w:tblPr>
        <w:tblW w:type="dxa" w:w="9360"/>
        <w:tblBorders>
          <w:top w:val="single" w:color="D9D9D9" w:sz="2"/>
          <w:left w:val="none"/>
          <w:bottom w:val="single" w:color="D9D9D9" w:sz="2"/>
          <w:right w:val="none"/>
          <w:insideH w:val="single" w:color="D9D9D9" w:sz="2"/>
          <w:insideV w:val="none"/>
        </w:tblBorders>
      </w:tblPr>
      <w:tblGrid>
        <w:gridCol w:w="2246"/>
        <w:gridCol w:w="1030"/>
        <w:gridCol w:w="4212"/>
        <w:gridCol w:w="1872"/>
      </w:tblGrid>
      <w:tr>
        <w:trPr>
          <w:tblHeader/>
        </w:trPr>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Step</w:t>
            </w:r>
          </w:p>
        </w:tc>
        <w:tc>
          <w:tcPr>
            <w:tcW w:type="dxa" w:w="103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Who</w:t>
            </w:r>
          </w:p>
        </w:tc>
        <w:tc>
          <w:tcPr>
            <w:tcW w:type="dxa" w:w="421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the agent contributes</w:t>
            </w:r>
          </w:p>
        </w:tc>
        <w:tc>
          <w:tcPr>
            <w:tcW w:type="dxa" w:w="187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Emits</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 Build the financial model</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tool builds; the agent proposes the shared-cost allocation basis and must document it</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financial_model, allocation_basis.md</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 Map profitability</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tool cuts by product / location / segment; the agent separates the engine from the drag</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profit_map</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 80/20 &amp; cost structure</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Pareto on drivers; the agent names the quiet erosions</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ranked_drivers[]</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4 Break-even &amp; sensitivity</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Deterministic</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sensitivity_ranges</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5 Scenario / forecast model</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AGENT</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agent parameterizes the real choices; the tool computes over a 3-year horizon</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scenario_model.xlsx</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6 Synthesis &amp; readout</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AGENT</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two or three moves that most improve profit; must tie back to the #1 constraint</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findings_memo, shortlisted_moves[]</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Acceptance test</w:t>
            </w:r>
          </w:p>
          <w:p>
            <w:pPr>
              <w:spacing w:after="60" w:before="0" w:line="288"/>
            </w:pPr>
            <w:r>
              <w:rPr>
                <w:rFonts w:ascii="Arial" w:cs="Arial" w:eastAsia="Arial" w:hAnsi="Arial"/>
                <w:b w:val="false"/>
                <w:bCs w:val="false"/>
                <w:i w:val="false"/>
                <w:iCs w:val="false"/>
                <w:caps w:val="false"/>
                <w:color w:val="1A1A1A"/>
                <w:sz w:val="20"/>
                <w:szCs w:val="20"/>
              </w:rPr>
              <w:t xml:space="preserve">From Lumina’s ledger, independently reach the finding that fixing retention ($4.61M) beats opening a fourth location ($3.75M), with the model reproducing both figures — and pass in isolation, with no other module’s output present.</w:t>
            </w:r>
          </w:p>
        </w:tc>
      </w:tr>
    </w:tbl>
    <w:p>
      <w:r>
        <w:br w:type="page"/>
      </w:r>
    </w:p>
    <w:tbl>
      <w:tblPr>
        <w:tblW w:type="dxa" w:w="9360"/>
        <w:tblBorders>
          <w:top w:val="none"/>
          <w:left w:val="none"/>
          <w:bottom w:val="none"/>
          <w:right w:val="none"/>
          <w:insideH w:val="none"/>
          <w:insideV w:val="none"/>
        </w:tblBorders>
      </w:tblPr>
      <w:tblGrid>
        <w:gridCol w:w="2900"/>
        <w:gridCol w:w="6460"/>
      </w:tblGrid>
      <w:tr>
        <w:tc>
          <w:tcPr>
            <w:tcW w:type="dxa" w:w="2900"/>
            <w:tcMar>
              <w:top w:type="dxa" w:w="0"/>
              <w:left w:type="dxa" w:w="0"/>
              <w:bottom w:type="dxa" w:w="0"/>
              <w:right w:type="dxa" w:w="220"/>
            </w:tcMar>
            <w:vAlign w:val="top"/>
          </w:tcPr>
          <w:p>
            <w:pPr>
              <w:spacing w:after="0"/>
            </w:pPr>
            <w:r>
              <w:drawing>
                <wp:inline distT="0" distB="0" distL="0" distR="0">
                  <wp:extent cx="16002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00200" cy="3705225"/>
                          </a:xfrm>
                          <a:prstGeom prst="rect">
                            <a:avLst/>
                          </a:prstGeom>
                        </pic:spPr>
                      </pic:pic>
                    </a:graphicData>
                  </a:graphic>
                </wp:inline>
              </w:drawing>
            </w:r>
          </w:p>
        </w:tc>
        <w:tc>
          <w:tcPr>
            <w:tcW w:type="dxa" w:w="6460"/>
            <w:tcMar>
              <w:top w:type="dxa" w:w="0"/>
              <w:left w:type="dxa" w:w="0"/>
              <w:bottom w:type="dxa" w:w="0"/>
              <w:right w:type="dxa" w:w="0"/>
            </w:tcMar>
            <w:vAlign w:val="top"/>
          </w:tcPr>
          <w:p>
            <w:pPr>
              <w:spacing w:after="90" w:before="0" w:line="240"/>
            </w:pPr>
            <w:r>
              <w:rPr>
                <w:rFonts w:ascii="Arial" w:cs="Arial" w:eastAsia="Arial" w:hAnsi="Arial"/>
                <w:b/>
                <w:bCs/>
                <w:i w:val="false"/>
                <w:iCs w:val="false"/>
                <w:caps w:val="false"/>
                <w:color w:val="9A9A9A"/>
                <w:sz w:val="17"/>
                <w:szCs w:val="17"/>
              </w:rPr>
              <w:t xml:space="preserve">THE APERTURE METHOD™ AI AGENT · 04</w:t>
            </w:r>
          </w:p>
          <w:p>
            <w:pPr>
              <w:spacing w:after="20" w:before="0" w:line="540"/>
            </w:pPr>
            <w:r>
              <w:rPr>
                <w:rFonts w:ascii="Arial" w:cs="Arial" w:eastAsia="Arial" w:hAnsi="Arial"/>
                <w:b/>
                <w:bCs/>
                <w:i w:val="false"/>
                <w:iCs w:val="false"/>
                <w:caps w:val="false"/>
                <w:color w:val="000000"/>
                <w:sz w:val="46"/>
                <w:szCs w:val="46"/>
              </w:rPr>
              <w:t xml:space="preserve">NATALIE</w:t>
            </w:r>
            <w:r>
              <w:rPr>
                <w:rFonts w:ascii="Arial" w:cs="Arial" w:eastAsia="Arial" w:hAnsi="Arial"/>
                <w:b/>
                <w:bCs/>
                <w:i w:val="false"/>
                <w:iCs w:val="false"/>
                <w:caps w:val="false"/>
                <w:color w:val="500000"/>
                <w:sz w:val="19"/>
                <w:szCs w:val="19"/>
              </w:rPr>
              <w:t xml:space="preserve">   AI AGENT</w:t>
            </w:r>
          </w:p>
          <w:p>
            <w:pPr>
              <w:spacing w:after="110" w:before="0" w:line="276"/>
            </w:pPr>
            <w:r>
              <w:rPr>
                <w:rFonts w:ascii="Arial" w:cs="Arial" w:eastAsia="Arial" w:hAnsi="Arial"/>
                <w:b w:val="false"/>
                <w:bCs w:val="false"/>
                <w:i/>
                <w:iCs/>
                <w:caps w:val="false"/>
                <w:color w:val="500000"/>
                <w:sz w:val="26"/>
                <w:szCs w:val="26"/>
              </w:rPr>
              <w:t xml:space="preserve">The Explorer</w:t>
            </w:r>
          </w:p>
          <w:p>
            <w:pPr>
              <w:pBdr>
                <w:bottom w:val="single" w:color="500000" w:sz="14" w:space="2"/>
              </w:pBdr>
              <w:spacing w:after="170" w:before="0" w:line="276"/>
            </w:pPr>
          </w:p>
          <w:p>
            <w:pPr>
              <w:spacing w:after="20" w:before="0" w:line="300"/>
            </w:pPr>
            <w:r>
              <w:rPr>
                <w:rFonts w:ascii="Arial" w:cs="Arial" w:eastAsia="Arial" w:hAnsi="Arial"/>
                <w:b/>
                <w:bCs/>
                <w:i w:val="false"/>
                <w:iCs w:val="false"/>
                <w:caps w:val="false"/>
                <w:color w:val="000000"/>
                <w:sz w:val="23"/>
                <w:szCs w:val="23"/>
              </w:rPr>
              <w:t xml:space="preserve">Aperture Intelligence™</w:t>
            </w:r>
          </w:p>
          <w:p>
            <w:pPr>
              <w:spacing w:after="16" w:before="0" w:line="276"/>
            </w:pPr>
            <w:r>
              <w:rPr>
                <w:rFonts w:ascii="Arial" w:cs="Arial" w:eastAsia="Arial" w:hAnsi="Arial"/>
                <w:b w:val="false"/>
                <w:bCs w:val="false"/>
                <w:i w:val="false"/>
                <w:iCs w:val="false"/>
                <w:caps w:val="false"/>
                <w:color w:val="6B6B6B"/>
                <w:sz w:val="20"/>
                <w:szCs w:val="20"/>
              </w:rPr>
              <w:t xml:space="preserve">Customer, Market &amp; Geographic Intelligence Agent</w:t>
            </w:r>
          </w:p>
          <w:p>
            <w:pPr>
              <w:spacing w:after="130" w:before="0" w:line="276"/>
            </w:pPr>
            <w:r>
              <w:rPr>
                <w:rFonts w:ascii="Arial" w:cs="Arial" w:eastAsia="Arial" w:hAnsi="Arial"/>
                <w:b/>
                <w:bCs/>
                <w:i w:val="false"/>
                <w:iCs w:val="false"/>
                <w:caps/>
                <w:color w:val="500000"/>
                <w:sz w:val="16"/>
                <w:szCs w:val="16"/>
              </w:rPr>
              <w:t xml:space="preserve">MBA · GIS</w:t>
            </w:r>
          </w:p>
          <w:p>
            <w:pPr>
              <w:spacing w:after="0" w:before="0" w:line="300"/>
            </w:pPr>
            <w:r>
              <w:rPr>
                <w:rFonts w:ascii="Arial" w:cs="Arial" w:eastAsia="Arial" w:hAnsi="Arial"/>
                <w:b w:val="false"/>
                <w:bCs w:val="false"/>
                <w:i/>
                <w:iCs/>
                <w:caps w:val="false"/>
                <w:color w:val="1A1A1A"/>
                <w:sz w:val="21"/>
                <w:szCs w:val="21"/>
              </w:rPr>
              <w:t xml:space="preserve">“Natalie looks beyond the walls of the company.”</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What I do</w:t>
      </w:r>
    </w:p>
    <w:p>
      <w:pPr>
        <w:spacing w:after="130" w:before="0" w:line="288"/>
      </w:pPr>
      <w:r>
        <w:rPr>
          <w:rFonts w:ascii="Arial" w:cs="Arial" w:eastAsia="Arial" w:hAnsi="Arial"/>
          <w:b w:val="false"/>
          <w:bCs w:val="false"/>
          <w:i w:val="false"/>
          <w:iCs w:val="false"/>
          <w:caps w:val="false"/>
          <w:color w:val="1A1A1A"/>
          <w:sz w:val="21"/>
          <w:szCs w:val="21"/>
        </w:rPr>
        <w:t xml:space="preserve">Natalie is responsible for understanding the world in which the business operates — customers, prospects, competitors, markets, demographics and geography. She combines business intelligence with GIS and spatial analysis so Aperture can answer not only who and what, but also where.</w:t>
      </w:r>
    </w:p>
    <w:p>
      <w:pPr>
        <w:spacing w:after="130" w:before="0" w:line="288"/>
      </w:pPr>
      <w:r>
        <w:rPr>
          <w:rFonts w:ascii="Arial" w:cs="Arial" w:eastAsia="Arial" w:hAnsi="Arial"/>
          <w:b w:val="false"/>
          <w:bCs w:val="false"/>
          <w:i w:val="false"/>
          <w:iCs w:val="false"/>
          <w:caps w:val="false"/>
          <w:color w:val="1A1A1A"/>
          <w:sz w:val="21"/>
          <w:szCs w:val="21"/>
        </w:rPr>
        <w:t xml:space="preserve">She is where Aperture has its most defensible edge, because she is wired to SyncPoint AI — 70M businesses, 90M contacts, 270M households. No fractional CMO brings that to a $4M business.</w:t>
      </w:r>
    </w:p>
    <w:p>
      <w:pPr>
        <w:spacing w:after="150" w:before="0" w:line="288"/>
      </w:pPr>
      <w:r>
        <w:rPr>
          <w:rFonts w:ascii="Arial" w:cs="Arial" w:eastAsia="Arial" w:hAnsi="Arial"/>
          <w:b/>
          <w:bCs/>
          <w:i w:val="false"/>
          <w:iCs w:val="false"/>
          <w:caps w:val="false"/>
          <w:color w:val="1A1A1A"/>
          <w:sz w:val="21"/>
          <w:szCs w:val="21"/>
        </w:rPr>
        <w:t xml:space="preserve">Mission. </w:t>
      </w:r>
      <w:r>
        <w:rPr>
          <w:rFonts w:ascii="Arial" w:cs="Arial" w:eastAsia="Arial" w:hAnsi="Arial"/>
          <w:b w:val="false"/>
          <w:bCs w:val="false"/>
          <w:i w:val="false"/>
          <w:iCs w:val="false"/>
          <w:caps w:val="false"/>
          <w:color w:val="1A1A1A"/>
          <w:sz w:val="21"/>
          <w:szCs w:val="21"/>
        </w:rPr>
        <w:t xml:space="preserve">To reveal where opportunity lives. She identifies the best customers, underserved markets, revenue concentrations, competitive pressure, expansion opportunities and geographic patterns that are difficult to see in a conventional spreadsheet.</w:t>
      </w:r>
    </w:p>
    <w:p>
      <w:pPr>
        <w:keepNext/>
        <w:spacing w:after="50" w:before="180" w:line="280"/>
      </w:pPr>
      <w:r>
        <w:rPr>
          <w:rFonts w:ascii="Arial" w:cs="Arial" w:eastAsia="Arial" w:hAnsi="Arial"/>
          <w:b/>
          <w:bCs/>
          <w:color w:val="000000"/>
          <w:sz w:val="21"/>
          <w:szCs w:val="21"/>
        </w:rPr>
        <w:t xml:space="preserve">Credentials — the standard this agent is built to</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MS — Geographic Information Science</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GISP — Certified GIS Professional (GISCI)</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Esri ArcGIS Pro — Professional certification</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MBA — Marketing &amp; Customer Analytics</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Retail site selection and trade-area modeling</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Spatial statistics — Voronoi, kernel density, isochrones</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Demographic and psychographic segmentation</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Market-penetration and white-space analysis</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Customer lifetime value and cohort geography</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Cartographic design and layer-package delivery</w:t>
            </w:r>
          </w:p>
        </w:tc>
      </w:tr>
    </w:tbl>
    <w:p>
      <w:pPr>
        <w:keepNext/>
        <w:spacing w:after="50" w:before="180" w:line="280"/>
      </w:pPr>
      <w:r>
        <w:rPr>
          <w:rFonts w:ascii="Arial" w:cs="Arial" w:eastAsia="Arial" w:hAnsi="Arial"/>
          <w:b/>
          <w:bCs/>
          <w:color w:val="000000"/>
          <w:sz w:val="21"/>
          <w:szCs w:val="21"/>
        </w:rPr>
        <w:t xml:space="preserve">The SOP I execute</w:t>
      </w:r>
    </w:p>
    <w:tbl>
      <w:tblPr>
        <w:tblW w:type="dxa" w:w="9360"/>
        <w:tblBorders>
          <w:top w:val="single" w:color="D9D9D9" w:sz="2"/>
          <w:left w:val="none"/>
          <w:bottom w:val="single" w:color="D9D9D9" w:sz="2"/>
          <w:right w:val="none"/>
          <w:insideH w:val="single" w:color="D9D9D9" w:sz="2"/>
          <w:insideV w:val="none"/>
        </w:tblBorders>
      </w:tblPr>
      <w:tblGrid>
        <w:gridCol w:w="2434"/>
        <w:gridCol w:w="3182"/>
        <w:gridCol w:w="1498"/>
        <w:gridCol w:w="2246"/>
      </w:tblGrid>
      <w:tr>
        <w:trPr>
          <w:tblHeader/>
        </w:trPr>
        <w:tc>
          <w:tcPr>
            <w:tcW w:type="dxa" w:w="2434"/>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SOP chapter</w:t>
            </w:r>
          </w:p>
        </w:tc>
        <w:tc>
          <w:tcPr>
            <w:tcW w:type="dxa" w:w="318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Deliverable</w:t>
            </w:r>
          </w:p>
        </w:tc>
        <w:tc>
          <w:tcPr>
            <w:tcW w:type="dxa" w:w="149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Duration</w:t>
            </w:r>
          </w:p>
        </w:tc>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Mode</w:t>
            </w:r>
          </w:p>
        </w:tc>
      </w:tr>
      <w:tr>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 04 · Aperture Intelligence</w:t>
            </w:r>
          </w:p>
        </w:tc>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Customer &amp; Market Map™ + ArcGIS layer package</w:t>
            </w:r>
          </w:p>
        </w:tc>
        <w:tc>
          <w:tcPr>
            <w:tcW w:type="dxa" w:w="149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2–3 wk</w:t>
            </w:r>
          </w:p>
        </w:tc>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standalone | engagement</w:t>
            </w:r>
          </w:p>
        </w:tc>
      </w:tr>
    </w:tbl>
    <w:p>
      <w:r>
        <w:br w:type="page"/>
      </w:r>
    </w:p>
    <w:p>
      <w:pPr>
        <w:spacing w:after="50" w:before="0" w:line="276"/>
      </w:pPr>
      <w:r>
        <w:rPr>
          <w:rFonts w:ascii="Arial" w:cs="Arial" w:eastAsia="Arial" w:hAnsi="Arial"/>
          <w:b/>
          <w:bCs/>
          <w:i w:val="false"/>
          <w:iCs w:val="false"/>
          <w:caps/>
          <w:color w:val="500000"/>
          <w:sz w:val="17"/>
          <w:szCs w:val="17"/>
        </w:rPr>
        <w:t xml:space="preserve">NATALIE  ·  The Explorer</w:t>
      </w:r>
    </w:p>
    <w:p>
      <w:pPr>
        <w:keepNext/>
        <w:spacing w:after="50" w:before="180" w:line="280"/>
      </w:pPr>
      <w:r>
        <w:rPr>
          <w:rFonts w:ascii="Arial" w:cs="Arial" w:eastAsia="Arial" w:hAnsi="Arial"/>
          <w:b/>
          <w:bCs/>
          <w:color w:val="000000"/>
          <w:sz w:val="21"/>
          <w:szCs w:val="21"/>
        </w:rPr>
        <w:t xml:space="preserve">My tools</w:t>
      </w:r>
    </w:p>
    <w:tbl>
      <w:tblPr>
        <w:tblW w:type="dxa" w:w="9360"/>
        <w:tblBorders>
          <w:top w:val="single" w:color="D9D9D9" w:sz="2"/>
          <w:left w:val="none"/>
          <w:bottom w:val="single" w:color="D9D9D9" w:sz="2"/>
          <w:right w:val="none"/>
          <w:insideH w:val="single" w:color="D9D9D9" w:sz="2"/>
          <w:insideV w:val="none"/>
        </w:tblBorders>
      </w:tblPr>
      <w:tblGrid>
        <w:gridCol w:w="3182"/>
        <w:gridCol w:w="6178"/>
      </w:tblGrid>
      <w:tr>
        <w:trPr>
          <w:tblHeader/>
        </w:trPr>
        <w:tc>
          <w:tcPr>
            <w:tcW w:type="dxa" w:w="318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Tool</w:t>
            </w:r>
          </w:p>
        </w:tc>
        <w:tc>
          <w:tcPr>
            <w:tcW w:type="dxa" w:w="617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it does</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geocode.py</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Standardizes and validates addresses, geocodes, then drops street-level PII — local only</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segments.clv()</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Customer segmentation and lifetime value by segment</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gis_analysis.py</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Trade areas, drive-time rings, demand concentration — local only</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gis_layers.py</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Voronoi tessellation, buffers, choropleths, H3 aggregation → GeoJSON</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demographics.overlay()</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 sex, income, households, spend by area</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syncpoint.query()</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Competitor locations, business and household data from the Aperture Platform</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site_model.score()</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Ranks candidate ZIPs and areas by opportunity score</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render.intelligence_doc()</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Builds the Market Map report, the layer guide, and the ArcGIS package</w:t>
            </w:r>
          </w:p>
        </w:tc>
      </w:tr>
    </w:tbl>
    <w:p>
      <w:pPr>
        <w:keepNext/>
        <w:spacing w:after="50" w:before="180" w:line="280"/>
      </w:pPr>
      <w:r>
        <w:rPr>
          <w:rFonts w:ascii="Arial" w:cs="Arial" w:eastAsia="Arial" w:hAnsi="Arial"/>
          <w:b/>
          <w:bCs/>
          <w:color w:val="000000"/>
          <w:sz w:val="21"/>
          <w:szCs w:val="21"/>
        </w:rPr>
        <w:t xml:space="preserve">Core capabilities</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Customer and market segmentation</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Competitive and market intelligence</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TAM / SAM / SOM analysis</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GIS and demographic analysis</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Territory and site analysis</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Market whitespace identification</w:t>
            </w:r>
          </w:p>
        </w:tc>
      </w:tr>
    </w:tbl>
    <w:p>
      <w:pPr>
        <w:keepNext/>
        <w:spacing w:after="50" w:before="180" w:line="280"/>
      </w:pPr>
      <w:r>
        <w:rPr>
          <w:rFonts w:ascii="Arial" w:cs="Arial" w:eastAsia="Arial" w:hAnsi="Arial"/>
          <w:b/>
          <w:bCs/>
          <w:color w:val="000000"/>
          <w:sz w:val="21"/>
          <w:szCs w:val="21"/>
        </w:rPr>
        <w:t xml:space="preserve">How I fit into the program</w:t>
      </w:r>
    </w:p>
    <w:tbl>
      <w:tblPr>
        <w:tblW w:type="dxa" w:w="9360"/>
        <w:tblBorders>
          <w:top w:val="single" w:color="D9D9D9" w:sz="2"/>
          <w:left w:val="none"/>
          <w:bottom w:val="single" w:color="D9D9D9" w:sz="2"/>
          <w:right w:val="none"/>
          <w:insideH w:val="single" w:color="D9D9D9" w:sz="2"/>
          <w:insideV w:val="none"/>
        </w:tblBorders>
      </w:tblPr>
      <w:tblGrid>
        <w:gridCol w:w="2246"/>
        <w:gridCol w:w="7114"/>
      </w:tblGrid>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Reads</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Intake Store — geocoded customer records, location list, marketing spend by area — plus SyncPoint AI</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Hands to</w:t>
            </w:r>
          </w:p>
        </w:tc>
        <w:tc>
          <w:tcPr>
            <w:tcW w:type="dxa" w:w="711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Aria, as ranked growth opportunities to be scored against every other option</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Standalone</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Yes. Runs the full spatial arc from intake; framed as "where demand is," not "what to do"</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Model tier</w:t>
            </w:r>
          </w:p>
        </w:tc>
        <w:tc>
          <w:tcPr>
            <w:tcW w:type="dxa" w:w="711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Opus for interpretation; all spatial computation deterministic and local</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Human gate</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Not optional. A location recommendation can be a seven-figure decision for the client</w:t>
            </w:r>
          </w:p>
        </w:tc>
      </w:tr>
    </w:tbl>
    <w:p>
      <w:pPr>
        <w:keepNext/>
        <w:spacing w:after="50" w:before="180" w:line="280"/>
      </w:pPr>
      <w:r>
        <w:rPr>
          <w:rFonts w:ascii="Arial" w:cs="Arial" w:eastAsia="Arial" w:hAnsi="Arial"/>
          <w:b/>
          <w:bCs/>
          <w:color w:val="000000"/>
          <w:sz w:val="21"/>
          <w:szCs w:val="21"/>
        </w:rPr>
        <w:t xml:space="preserve">Working personality</w:t>
      </w:r>
    </w:p>
    <w:p>
      <w:pPr>
        <w:spacing w:after="130" w:before="0" w:line="288"/>
      </w:pPr>
      <w:r>
        <w:rPr>
          <w:rFonts w:ascii="Arial" w:cs="Arial" w:eastAsia="Arial" w:hAnsi="Arial"/>
          <w:b w:val="false"/>
          <w:bCs w:val="false"/>
          <w:i w:val="false"/>
          <w:iCs w:val="false"/>
          <w:caps w:val="false"/>
          <w:color w:val="1A1A1A"/>
          <w:sz w:val="21"/>
          <w:szCs w:val="21"/>
        </w:rPr>
        <w:t xml:space="preserve">Curious, investigative, visual and outward-looking. Natalie searches for patterns that are not obvious in rows and columns.</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88"/>
            </w:pPr>
            <w:r>
              <w:rPr>
                <w:rFonts w:ascii="Arial" w:cs="Arial" w:eastAsia="Arial" w:hAnsi="Arial"/>
                <w:b w:val="false"/>
                <w:bCs w:val="false"/>
                <w:i/>
                <w:iCs/>
                <w:caps w:val="false"/>
                <w:color w:val="1A1A1A"/>
                <w:sz w:val="22"/>
                <w:szCs w:val="22"/>
              </w:rPr>
              <w:t xml:space="preserve">“Who are our best opportunities — and where are they?”</w:t>
            </w:r>
          </w:p>
        </w:tc>
      </w:tr>
    </w:tbl>
    <w:p>
      <w:pPr>
        <w:keepNext/>
        <w:spacing w:after="50" w:before="180" w:line="280"/>
      </w:pPr>
      <w:r>
        <w:rPr>
          <w:rFonts w:ascii="Arial" w:cs="Arial" w:eastAsia="Arial" w:hAnsi="Arial"/>
          <w:b/>
          <w:bCs/>
          <w:color w:val="000000"/>
          <w:sz w:val="21"/>
          <w:szCs w:val="21"/>
        </w:rPr>
        <w:t xml:space="preserve">Team handoff</w:t>
      </w:r>
    </w:p>
    <w:p>
      <w:pPr>
        <w:spacing w:after="130" w:before="0" w:line="288"/>
      </w:pPr>
      <w:r>
        <w:rPr>
          <w:rFonts w:ascii="Arial" w:cs="Arial" w:eastAsia="Arial" w:hAnsi="Arial"/>
          <w:b w:val="false"/>
          <w:bCs w:val="false"/>
          <w:i w:val="false"/>
          <w:iCs w:val="false"/>
          <w:caps w:val="false"/>
          <w:color w:val="1A1A1A"/>
          <w:sz w:val="21"/>
          <w:szCs w:val="21"/>
        </w:rPr>
        <w:t xml:space="preserve">Natalie combines external market intelligence with Marcus’s quantitative findings and Lena’s diagnostic before sending the evidence to Aria.</w:t>
      </w:r>
    </w:p>
    <w:p>
      <w:pPr>
        <w:keepNext/>
        <w:spacing w:after="50" w:before="180" w:line="280"/>
      </w:pPr>
      <w:r>
        <w:rPr>
          <w:rFonts w:ascii="Arial" w:cs="Arial" w:eastAsia="Arial" w:hAnsi="Arial"/>
          <w:b/>
          <w:bCs/>
          <w:color w:val="000000"/>
          <w:sz w:val="21"/>
          <w:szCs w:val="21"/>
        </w:rPr>
        <w:t xml:space="preserve">What I optimize for — and my failure mode</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Find the demand the owner cannot see from inside the business.</w:t>
            </w:r>
          </w:p>
          <w:p>
            <w:pPr>
              <w:spacing w:after="60" w:before="0" w:line="288"/>
            </w:pPr>
            <w:r>
              <w:rPr>
                <w:rFonts w:ascii="Arial" w:cs="Arial" w:eastAsia="Arial" w:hAnsi="Arial"/>
                <w:b w:val="false"/>
                <w:bCs w:val="false"/>
                <w:i w:val="false"/>
                <w:iCs w:val="false"/>
                <w:caps w:val="false"/>
                <w:color w:val="1A1A1A"/>
                <w:sz w:val="20"/>
                <w:szCs w:val="20"/>
              </w:rPr>
              <w:t xml:space="preserve">Guard against interesting-but-irrelevant. Every geographic finding must connect to a revenue consequence, or it is a nice map and nothing more.</w:t>
            </w:r>
          </w:p>
        </w:tc>
      </w:tr>
    </w:tbl>
    <w:p>
      <w:r>
        <w:br w:type="page"/>
      </w:r>
    </w:p>
    <w:p>
      <w:pPr>
        <w:pStyle w:val="Heading2"/>
        <w:keepNext/>
        <w:spacing w:after="140" w:before="200" w:line="420"/>
      </w:pPr>
      <w:r>
        <w:rPr>
          <w:rFonts w:ascii="Arial" w:cs="Arial" w:eastAsia="Arial" w:hAnsi="Arial"/>
          <w:b/>
          <w:bCs/>
          <w:color w:val="000000"/>
          <w:sz w:val="34"/>
          <w:szCs w:val="34"/>
        </w:rPr>
        <w:t xml:space="preserve">SOP 04 · Aperture Intelligence — build spec</w:t>
      </w:r>
    </w:p>
    <w:p>
      <w:pPr>
        <w:spacing w:after="150" w:before="0" w:line="276"/>
      </w:pPr>
      <w:r>
        <w:rPr>
          <w:rFonts w:ascii="Arial" w:cs="Arial" w:eastAsia="Arial" w:hAnsi="Arial"/>
          <w:b w:val="false"/>
          <w:bCs w:val="false"/>
          <w:i/>
          <w:iCs/>
          <w:caps w:val="false"/>
          <w:color w:val="500000"/>
          <w:sz w:val="21"/>
          <w:szCs w:val="21"/>
        </w:rPr>
        <w:t xml:space="preserve">Natalie · 6 steps · 2–3 weeks</w:t>
      </w:r>
    </w:p>
    <w:tbl>
      <w:tblPr>
        <w:tblW w:type="dxa" w:w="9360"/>
        <w:tblBorders>
          <w:top w:val="single" w:color="D9D9D9" w:sz="2"/>
          <w:left w:val="none"/>
          <w:bottom w:val="single" w:color="D9D9D9" w:sz="2"/>
          <w:right w:val="none"/>
          <w:insideH w:val="single" w:color="D9D9D9" w:sz="2"/>
          <w:insideV w:val="none"/>
        </w:tblBorders>
      </w:tblPr>
      <w:tblGrid>
        <w:gridCol w:w="2246"/>
        <w:gridCol w:w="1030"/>
        <w:gridCol w:w="4212"/>
        <w:gridCol w:w="1872"/>
      </w:tblGrid>
      <w:tr>
        <w:trPr>
          <w:tblHeader/>
        </w:trPr>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Step</w:t>
            </w:r>
          </w:p>
        </w:tc>
        <w:tc>
          <w:tcPr>
            <w:tcW w:type="dxa" w:w="103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Who</w:t>
            </w:r>
          </w:p>
        </w:tc>
        <w:tc>
          <w:tcPr>
            <w:tcW w:type="dxa" w:w="421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the agent contributes</w:t>
            </w:r>
          </w:p>
        </w:tc>
        <w:tc>
          <w:tcPr>
            <w:tcW w:type="dxa" w:w="187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Emits</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 Assemble &amp; geocode</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Runs LOCAL ONLY. The SOP already says "geocode, then drop street-level PII" — the privacy rule is already in your procedure</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customer_layer (de-identified)</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 Customer analytics</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Segmentation and lifetime value</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segments[], clv_by_segment</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 Trade-area &amp; drive-time</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Primary and secondary trade areas; demographic overlay</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trade_areas.geojson</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4 Market penetration &amp; competition</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Contested versus open demand</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penetration_map</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5 Site-selection modeling</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AGENT</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tool scores candidate areas; the agent interprets and names the strongest untapped areas</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site_model, ranked_areas[]</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6 ArcGIS package &amp; readout</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AGENT</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agent writes the layer guide; the package must open cleanly</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arcgis_package.zip, layer_guide.docx</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Natalie never sees a street address</w:t>
            </w:r>
          </w:p>
          <w:p>
            <w:pPr>
              <w:spacing w:after="60" w:before="0" w:line="288"/>
            </w:pPr>
            <w:r>
              <w:rPr>
                <w:rFonts w:ascii="Arial" w:cs="Arial" w:eastAsia="Arial" w:hAnsi="Arial"/>
                <w:b w:val="false"/>
                <w:bCs w:val="false"/>
                <w:i w:val="false"/>
                <w:iCs w:val="false"/>
                <w:caps w:val="false"/>
                <w:color w:val="1A1A1A"/>
                <w:sz w:val="20"/>
                <w:szCs w:val="20"/>
              </w:rPr>
              <w:t xml:space="preserve">She reasons over derived geometry — "Area 7: 41k households, median income $118k, 12-minute drive time, 3 competitors." SOP 04 Step 1 already mandates this; the build enforces it in code.</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Acceptance test</w:t>
            </w:r>
          </w:p>
          <w:p>
            <w:pPr>
              <w:spacing w:after="60" w:before="0" w:line="288"/>
            </w:pPr>
            <w:r>
              <w:rPr>
                <w:rFonts w:ascii="Arial" w:cs="Arial" w:eastAsia="Arial" w:hAnsi="Arial"/>
                <w:b w:val="false"/>
                <w:bCs w:val="false"/>
                <w:i w:val="false"/>
                <w:iCs w:val="false"/>
                <w:caps w:val="false"/>
                <w:color w:val="1A1A1A"/>
                <w:sz w:val="20"/>
                <w:szCs w:val="20"/>
              </w:rPr>
              <w:t xml:space="preserve">From Lumina’s patient geography and Houston market data, independently surface Energy Corridor as the leading candidate for location #4, with the supporting demographics, and export an ArcGIS package that opens cleanly.</w:t>
            </w:r>
          </w:p>
        </w:tc>
      </w:tr>
    </w:tbl>
    <w:p>
      <w:r>
        <w:br w:type="page"/>
      </w:r>
    </w:p>
    <w:tbl>
      <w:tblPr>
        <w:tblW w:type="dxa" w:w="9360"/>
        <w:tblBorders>
          <w:top w:val="none"/>
          <w:left w:val="none"/>
          <w:bottom w:val="none"/>
          <w:right w:val="none"/>
          <w:insideH w:val="none"/>
          <w:insideV w:val="none"/>
        </w:tblBorders>
      </w:tblPr>
      <w:tblGrid>
        <w:gridCol w:w="2900"/>
        <w:gridCol w:w="6460"/>
      </w:tblGrid>
      <w:tr>
        <w:tc>
          <w:tcPr>
            <w:tcW w:type="dxa" w:w="2900"/>
            <w:tcMar>
              <w:top w:type="dxa" w:w="0"/>
              <w:left w:type="dxa" w:w="0"/>
              <w:bottom w:type="dxa" w:w="0"/>
              <w:right w:type="dxa" w:w="220"/>
            </w:tcMar>
            <w:vAlign w:val="top"/>
          </w:tcPr>
          <w:p>
            <w:pPr>
              <w:spacing w:after="0"/>
            </w:pPr>
            <w:r>
              <w:drawing>
                <wp:inline distT="0" distB="0" distL="0" distR="0">
                  <wp:extent cx="16002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00200" cy="3705225"/>
                          </a:xfrm>
                          <a:prstGeom prst="rect">
                            <a:avLst/>
                          </a:prstGeom>
                        </pic:spPr>
                      </pic:pic>
                    </a:graphicData>
                  </a:graphic>
                </wp:inline>
              </w:drawing>
            </w:r>
          </w:p>
        </w:tc>
        <w:tc>
          <w:tcPr>
            <w:tcW w:type="dxa" w:w="6460"/>
            <w:tcMar>
              <w:top w:type="dxa" w:w="0"/>
              <w:left w:type="dxa" w:w="0"/>
              <w:bottom w:type="dxa" w:w="0"/>
              <w:right w:type="dxa" w:w="0"/>
            </w:tcMar>
            <w:vAlign w:val="top"/>
          </w:tcPr>
          <w:p>
            <w:pPr>
              <w:spacing w:after="90" w:before="0" w:line="240"/>
            </w:pPr>
            <w:r>
              <w:rPr>
                <w:rFonts w:ascii="Arial" w:cs="Arial" w:eastAsia="Arial" w:hAnsi="Arial"/>
                <w:b/>
                <w:bCs/>
                <w:i w:val="false"/>
                <w:iCs w:val="false"/>
                <w:caps w:val="false"/>
                <w:color w:val="9A9A9A"/>
                <w:sz w:val="17"/>
                <w:szCs w:val="17"/>
              </w:rPr>
              <w:t xml:space="preserve">THE APERTURE METHOD™ AI AGENT · 05</w:t>
            </w:r>
          </w:p>
          <w:p>
            <w:pPr>
              <w:spacing w:after="20" w:before="0" w:line="540"/>
            </w:pPr>
            <w:r>
              <w:rPr>
                <w:rFonts w:ascii="Arial" w:cs="Arial" w:eastAsia="Arial" w:hAnsi="Arial"/>
                <w:b/>
                <w:bCs/>
                <w:i w:val="false"/>
                <w:iCs w:val="false"/>
                <w:caps w:val="false"/>
                <w:color w:val="000000"/>
                <w:sz w:val="46"/>
                <w:szCs w:val="46"/>
              </w:rPr>
              <w:t xml:space="preserve">ARIA</w:t>
            </w:r>
            <w:r>
              <w:rPr>
                <w:rFonts w:ascii="Arial" w:cs="Arial" w:eastAsia="Arial" w:hAnsi="Arial"/>
                <w:b/>
                <w:bCs/>
                <w:i w:val="false"/>
                <w:iCs w:val="false"/>
                <w:caps w:val="false"/>
                <w:color w:val="500000"/>
                <w:sz w:val="19"/>
                <w:szCs w:val="19"/>
              </w:rPr>
              <w:t xml:space="preserve">   AI AGENT</w:t>
            </w:r>
          </w:p>
          <w:p>
            <w:pPr>
              <w:spacing w:after="110" w:before="0" w:line="276"/>
            </w:pPr>
            <w:r>
              <w:rPr>
                <w:rFonts w:ascii="Arial" w:cs="Arial" w:eastAsia="Arial" w:hAnsi="Arial"/>
                <w:b w:val="false"/>
                <w:bCs w:val="false"/>
                <w:i/>
                <w:iCs/>
                <w:caps w:val="false"/>
                <w:color w:val="500000"/>
                <w:sz w:val="26"/>
                <w:szCs w:val="26"/>
              </w:rPr>
              <w:t xml:space="preserve">The Navigator</w:t>
            </w:r>
          </w:p>
          <w:p>
            <w:pPr>
              <w:pBdr>
                <w:bottom w:val="single" w:color="500000" w:sz="14" w:space="2"/>
              </w:pBdr>
              <w:spacing w:after="170" w:before="0" w:line="276"/>
            </w:pPr>
          </w:p>
          <w:p>
            <w:pPr>
              <w:spacing w:after="20" w:before="0" w:line="300"/>
            </w:pPr>
            <w:r>
              <w:rPr>
                <w:rFonts w:ascii="Arial" w:cs="Arial" w:eastAsia="Arial" w:hAnsi="Arial"/>
                <w:b/>
                <w:bCs/>
                <w:i w:val="false"/>
                <w:iCs w:val="false"/>
                <w:caps w:val="false"/>
                <w:color w:val="000000"/>
                <w:sz w:val="23"/>
                <w:szCs w:val="23"/>
              </w:rPr>
              <w:t xml:space="preserve">Aperture Compass™</w:t>
            </w:r>
          </w:p>
          <w:p>
            <w:pPr>
              <w:spacing w:after="16" w:before="0" w:line="276"/>
            </w:pPr>
            <w:r>
              <w:rPr>
                <w:rFonts w:ascii="Arial" w:cs="Arial" w:eastAsia="Arial" w:hAnsi="Arial"/>
                <w:b w:val="false"/>
                <w:bCs w:val="false"/>
                <w:i w:val="false"/>
                <w:iCs w:val="false"/>
                <w:caps w:val="false"/>
                <w:color w:val="6B6B6B"/>
                <w:sz w:val="20"/>
                <w:szCs w:val="20"/>
              </w:rPr>
              <w:t xml:space="preserve">Strategy, Prioritization &amp; Roadmap Agent</w:t>
            </w:r>
          </w:p>
          <w:p>
            <w:pPr>
              <w:spacing w:after="130" w:before="0" w:line="276"/>
            </w:pPr>
            <w:r>
              <w:rPr>
                <w:rFonts w:ascii="Arial" w:cs="Arial" w:eastAsia="Arial" w:hAnsi="Arial"/>
                <w:b/>
                <w:bCs/>
                <w:i w:val="false"/>
                <w:iCs w:val="false"/>
                <w:caps/>
                <w:color w:val="500000"/>
                <w:sz w:val="16"/>
                <w:szCs w:val="16"/>
              </w:rPr>
              <w:t xml:space="preserve">MBA · GIS</w:t>
            </w:r>
          </w:p>
          <w:p>
            <w:pPr>
              <w:spacing w:after="0" w:before="0" w:line="300"/>
            </w:pPr>
            <w:r>
              <w:rPr>
                <w:rFonts w:ascii="Arial" w:cs="Arial" w:eastAsia="Arial" w:hAnsi="Arial"/>
                <w:b w:val="false"/>
                <w:bCs w:val="false"/>
                <w:i/>
                <w:iCs/>
                <w:caps w:val="false"/>
                <w:color w:val="1A1A1A"/>
                <w:sz w:val="21"/>
                <w:szCs w:val="21"/>
              </w:rPr>
              <w:t xml:space="preserve">“Aria turns intelligence into direction.”</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What I do</w:t>
      </w:r>
    </w:p>
    <w:p>
      <w:pPr>
        <w:spacing w:after="130" w:before="0" w:line="288"/>
      </w:pPr>
      <w:r>
        <w:rPr>
          <w:rFonts w:ascii="Arial" w:cs="Arial" w:eastAsia="Arial" w:hAnsi="Arial"/>
          <w:b w:val="false"/>
          <w:bCs w:val="false"/>
          <w:i w:val="false"/>
          <w:iCs w:val="false"/>
          <w:caps w:val="false"/>
          <w:color w:val="1A1A1A"/>
          <w:sz w:val="21"/>
          <w:szCs w:val="21"/>
        </w:rPr>
        <w:t xml:space="preserve">By the time information reaches Aria, Aperture understands the company, the numbers, the customers and the market. Aria answers the harder question: what should we do about it? She synthesizes findings into a coherent strategic direction and evaluates competing opportunities against impact, cost, risk, difficulty, resources and timing.</w:t>
      </w:r>
    </w:p>
    <w:p>
      <w:pPr>
        <w:spacing w:after="130" w:before="0" w:line="288"/>
      </w:pPr>
      <w:r>
        <w:rPr>
          <w:rFonts w:ascii="Arial" w:cs="Arial" w:eastAsia="Arial" w:hAnsi="Arial"/>
          <w:b w:val="false"/>
          <w:bCs w:val="false"/>
          <w:i w:val="false"/>
          <w:iCs w:val="false"/>
          <w:caps w:val="false"/>
          <w:color w:val="1A1A1A"/>
          <w:sz w:val="21"/>
          <w:szCs w:val="21"/>
        </w:rPr>
        <w:t xml:space="preserve">She is the one agent that says “not yet” — that opportunity is real, but it depends on two things that are not done. She carries the strictest citation rule in the system: every entry in the matrix must name the upstream finding it came from.</w:t>
      </w:r>
    </w:p>
    <w:p>
      <w:pPr>
        <w:spacing w:after="150" w:before="0" w:line="288"/>
      </w:pPr>
      <w:r>
        <w:rPr>
          <w:rFonts w:ascii="Arial" w:cs="Arial" w:eastAsia="Arial" w:hAnsi="Arial"/>
          <w:b/>
          <w:bCs/>
          <w:i w:val="false"/>
          <w:iCs w:val="false"/>
          <w:caps w:val="false"/>
          <w:color w:val="1A1A1A"/>
          <w:sz w:val="21"/>
          <w:szCs w:val="21"/>
        </w:rPr>
        <w:t xml:space="preserve">Mission. </w:t>
      </w:r>
      <w:r>
        <w:rPr>
          <w:rFonts w:ascii="Arial" w:cs="Arial" w:eastAsia="Arial" w:hAnsi="Arial"/>
          <w:b w:val="false"/>
          <w:bCs w:val="false"/>
          <w:i w:val="false"/>
          <w:iCs w:val="false"/>
          <w:caps w:val="false"/>
          <w:color w:val="1A1A1A"/>
          <w:sz w:val="21"/>
          <w:szCs w:val="21"/>
        </w:rPr>
        <w:t xml:space="preserve">Not to produce a hundred recommendations. To identify the few moves that matter most and organize them into an executable, board-ready roadmap.</w:t>
      </w:r>
    </w:p>
    <w:p>
      <w:pPr>
        <w:keepNext/>
        <w:spacing w:after="50" w:before="180" w:line="280"/>
      </w:pPr>
      <w:r>
        <w:rPr>
          <w:rFonts w:ascii="Arial" w:cs="Arial" w:eastAsia="Arial" w:hAnsi="Arial"/>
          <w:b/>
          <w:bCs/>
          <w:color w:val="000000"/>
          <w:sz w:val="21"/>
          <w:szCs w:val="21"/>
        </w:rPr>
        <w:t xml:space="preserve">Credentials — the standard this agent is built to</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MBA — Strategy</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PMP and PgMP — Project &amp; Program Management (PMI)</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PfMP — Portfolio Management Professional (PMI)</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Prosci-certified change management practitioner</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Weighted decision matrices · ICE and RICE</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Scenario planning and strategic stress testing</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OKR design and dependency mapping</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Critical-path sequencing and stage-gate design</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Portfolio sequencing under capital constraint</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Board-level one-page executive reporting</w:t>
            </w:r>
          </w:p>
        </w:tc>
      </w:tr>
    </w:tbl>
    <w:p>
      <w:pPr>
        <w:keepNext/>
        <w:spacing w:after="50" w:before="180" w:line="280"/>
      </w:pPr>
      <w:r>
        <w:rPr>
          <w:rFonts w:ascii="Arial" w:cs="Arial" w:eastAsia="Arial" w:hAnsi="Arial"/>
          <w:b/>
          <w:bCs/>
          <w:color w:val="000000"/>
          <w:sz w:val="21"/>
          <w:szCs w:val="21"/>
        </w:rPr>
        <w:t xml:space="preserve">The SOP I execute</w:t>
      </w:r>
    </w:p>
    <w:tbl>
      <w:tblPr>
        <w:tblW w:type="dxa" w:w="9360"/>
        <w:tblBorders>
          <w:top w:val="single" w:color="D9D9D9" w:sz="2"/>
          <w:left w:val="none"/>
          <w:bottom w:val="single" w:color="D9D9D9" w:sz="2"/>
          <w:right w:val="none"/>
          <w:insideH w:val="single" w:color="D9D9D9" w:sz="2"/>
          <w:insideV w:val="none"/>
        </w:tblBorders>
      </w:tblPr>
      <w:tblGrid>
        <w:gridCol w:w="2434"/>
        <w:gridCol w:w="3182"/>
        <w:gridCol w:w="1498"/>
        <w:gridCol w:w="2246"/>
      </w:tblGrid>
      <w:tr>
        <w:trPr>
          <w:tblHeader/>
        </w:trPr>
        <w:tc>
          <w:tcPr>
            <w:tcW w:type="dxa" w:w="2434"/>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SOP chapter</w:t>
            </w:r>
          </w:p>
        </w:tc>
        <w:tc>
          <w:tcPr>
            <w:tcW w:type="dxa" w:w="318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Deliverable</w:t>
            </w:r>
          </w:p>
        </w:tc>
        <w:tc>
          <w:tcPr>
            <w:tcW w:type="dxa" w:w="149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Duration</w:t>
            </w:r>
          </w:p>
        </w:tc>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Mode</w:t>
            </w:r>
          </w:p>
        </w:tc>
      </w:tr>
      <w:tr>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 05 · Aperture Compass</w:t>
            </w:r>
          </w:p>
        </w:tc>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Opportunity Matrix™ + Now/Next/Later Focus Plan™</w:t>
            </w:r>
          </w:p>
        </w:tc>
        <w:tc>
          <w:tcPr>
            <w:tcW w:type="dxa" w:w="149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1–2 wk</w:t>
            </w:r>
          </w:p>
        </w:tc>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standalone (degraded) | engagement</w:t>
            </w:r>
          </w:p>
        </w:tc>
      </w:tr>
    </w:tbl>
    <w:p>
      <w:r>
        <w:br w:type="page"/>
      </w:r>
    </w:p>
    <w:p>
      <w:pPr>
        <w:spacing w:after="50" w:before="0" w:line="276"/>
      </w:pPr>
      <w:r>
        <w:rPr>
          <w:rFonts w:ascii="Arial" w:cs="Arial" w:eastAsia="Arial" w:hAnsi="Arial"/>
          <w:b/>
          <w:bCs/>
          <w:i w:val="false"/>
          <w:iCs w:val="false"/>
          <w:caps/>
          <w:color w:val="500000"/>
          <w:sz w:val="17"/>
          <w:szCs w:val="17"/>
        </w:rPr>
        <w:t xml:space="preserve">ARIA  ·  The Navigator</w:t>
      </w:r>
    </w:p>
    <w:p>
      <w:pPr>
        <w:keepNext/>
        <w:spacing w:after="50" w:before="180" w:line="280"/>
      </w:pPr>
      <w:r>
        <w:rPr>
          <w:rFonts w:ascii="Arial" w:cs="Arial" w:eastAsia="Arial" w:hAnsi="Arial"/>
          <w:b/>
          <w:bCs/>
          <w:color w:val="000000"/>
          <w:sz w:val="21"/>
          <w:szCs w:val="21"/>
        </w:rPr>
        <w:t xml:space="preserve">My tools</w:t>
      </w:r>
    </w:p>
    <w:tbl>
      <w:tblPr>
        <w:tblW w:type="dxa" w:w="9360"/>
        <w:tblBorders>
          <w:top w:val="single" w:color="D9D9D9" w:sz="2"/>
          <w:left w:val="none"/>
          <w:bottom w:val="single" w:color="D9D9D9" w:sz="2"/>
          <w:right w:val="none"/>
          <w:insideH w:val="single" w:color="D9D9D9" w:sz="2"/>
          <w:insideV w:val="none"/>
        </w:tblBorders>
      </w:tblPr>
      <w:tblGrid>
        <w:gridCol w:w="3182"/>
        <w:gridCol w:w="6178"/>
      </w:tblGrid>
      <w:tr>
        <w:trPr>
          <w:tblHeader/>
        </w:trPr>
        <w:tc>
          <w:tcPr>
            <w:tcW w:type="dxa" w:w="318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Tool</w:t>
            </w:r>
          </w:p>
        </w:tc>
        <w:tc>
          <w:tcPr>
            <w:tcW w:type="dxa" w:w="617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it does</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opportunities.consolidate()</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De-duplicates candidate moves from every prior phase into one defined list</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matrix.score()</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Weighted decision matrix — value, complexity, risk, impact on the constraint</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scenario.stress_test()</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Tests the top options against Marcus’s scenario model and plausible futures</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sequencer.order()</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Orders the winners by dependency and gate; constraint first, expansion last</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render.compass_doc()</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Builds the branded Opportunity Matrix and one-page Focus Plan</w:t>
            </w:r>
          </w:p>
        </w:tc>
      </w:tr>
    </w:tbl>
    <w:p>
      <w:pPr>
        <w:keepNext/>
        <w:spacing w:after="50" w:before="180" w:line="280"/>
      </w:pPr>
      <w:r>
        <w:rPr>
          <w:rFonts w:ascii="Arial" w:cs="Arial" w:eastAsia="Arial" w:hAnsi="Arial"/>
          <w:b/>
          <w:bCs/>
          <w:color w:val="000000"/>
          <w:sz w:val="21"/>
          <w:szCs w:val="21"/>
        </w:rPr>
        <w:t xml:space="preserve">Core capabilities</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Strategic synthesis and alternatives</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Initiative prioritization</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Impact-versus-effort analysis</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Risk and dependency mapping</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Implementation sequencing</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Executive roadmap development</w:t>
            </w:r>
          </w:p>
        </w:tc>
      </w:tr>
    </w:tbl>
    <w:p>
      <w:pPr>
        <w:keepNext/>
        <w:spacing w:after="50" w:before="180" w:line="280"/>
      </w:pPr>
      <w:r>
        <w:rPr>
          <w:rFonts w:ascii="Arial" w:cs="Arial" w:eastAsia="Arial" w:hAnsi="Arial"/>
          <w:b/>
          <w:bCs/>
          <w:color w:val="000000"/>
          <w:sz w:val="21"/>
          <w:szCs w:val="21"/>
        </w:rPr>
        <w:t xml:space="preserve">How I fit into the program</w:t>
      </w:r>
    </w:p>
    <w:tbl>
      <w:tblPr>
        <w:tblW w:type="dxa" w:w="9360"/>
        <w:tblBorders>
          <w:top w:val="single" w:color="D9D9D9" w:sz="2"/>
          <w:left w:val="none"/>
          <w:bottom w:val="single" w:color="D9D9D9" w:sz="2"/>
          <w:right w:val="none"/>
          <w:insideH w:val="single" w:color="D9D9D9" w:sz="2"/>
          <w:insideV w:val="none"/>
        </w:tblBorders>
      </w:tblPr>
      <w:tblGrid>
        <w:gridCol w:w="2246"/>
        <w:gridCol w:w="7114"/>
      </w:tblGrid>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Reads</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Intake Store, plus any approved upstream artifacts as optional enrichment. Never a draft — only approved outputs, so errors do not compound</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Hands to</w:t>
            </w:r>
          </w:p>
        </w:tc>
        <w:tc>
          <w:tcPr>
            <w:tcW w:type="dxa" w:w="711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Execution, and to Thomas — the Focus Plan’s initiatives and success measures become the live Scoreboard</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Standalone</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Yes, in three declared modes — see below</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Model tier</w:t>
            </w:r>
          </w:p>
        </w:tc>
        <w:tc>
          <w:tcPr>
            <w:tcW w:type="dxa" w:w="711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Opus, with the strictest citation requirement in the system</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Human gate</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Heaviest of the six. Realistically you rewrite the framing; her job is to make sure nothing was missed</w:t>
            </w:r>
          </w:p>
        </w:tc>
      </w:tr>
    </w:tbl>
    <w:p>
      <w:pPr>
        <w:keepNext/>
        <w:spacing w:after="50" w:before="180" w:line="280"/>
      </w:pPr>
      <w:r>
        <w:rPr>
          <w:rFonts w:ascii="Arial" w:cs="Arial" w:eastAsia="Arial" w:hAnsi="Arial"/>
          <w:b/>
          <w:bCs/>
          <w:color w:val="000000"/>
          <w:sz w:val="21"/>
          <w:szCs w:val="21"/>
        </w:rPr>
        <w:t xml:space="preserve">Working personality</w:t>
      </w:r>
    </w:p>
    <w:p>
      <w:pPr>
        <w:spacing w:after="130" w:before="0" w:line="288"/>
      </w:pPr>
      <w:r>
        <w:rPr>
          <w:rFonts w:ascii="Arial" w:cs="Arial" w:eastAsia="Arial" w:hAnsi="Arial"/>
          <w:b w:val="false"/>
          <w:bCs w:val="false"/>
          <w:i w:val="false"/>
          <w:iCs w:val="false"/>
          <w:caps w:val="false"/>
          <w:color w:val="1A1A1A"/>
          <w:sz w:val="21"/>
          <w:szCs w:val="21"/>
        </w:rPr>
        <w:t xml:space="preserve">Decisive, pragmatic and disciplined. Aria is comfortable saying “not yet” to a good idea when a better opportunity deserves the resources.</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88"/>
            </w:pPr>
            <w:r>
              <w:rPr>
                <w:rFonts w:ascii="Arial" w:cs="Arial" w:eastAsia="Arial" w:hAnsi="Arial"/>
                <w:b w:val="false"/>
                <w:bCs w:val="false"/>
                <w:i/>
                <w:iCs/>
                <w:caps w:val="false"/>
                <w:color w:val="1A1A1A"/>
                <w:sz w:val="22"/>
                <w:szCs w:val="22"/>
              </w:rPr>
              <w:t xml:space="preserve">“Given everything we know, what should we do next?”</w:t>
            </w:r>
          </w:p>
        </w:tc>
      </w:tr>
    </w:tbl>
    <w:p>
      <w:pPr>
        <w:keepNext/>
        <w:spacing w:after="50" w:before="180" w:line="280"/>
      </w:pPr>
      <w:r>
        <w:rPr>
          <w:rFonts w:ascii="Arial" w:cs="Arial" w:eastAsia="Arial" w:hAnsi="Arial"/>
          <w:b/>
          <w:bCs/>
          <w:color w:val="000000"/>
          <w:sz w:val="21"/>
          <w:szCs w:val="21"/>
        </w:rPr>
        <w:t xml:space="preserve">Team handoff</w:t>
      </w:r>
    </w:p>
    <w:p>
      <w:pPr>
        <w:spacing w:after="130" w:before="0" w:line="288"/>
      </w:pPr>
      <w:r>
        <w:rPr>
          <w:rFonts w:ascii="Arial" w:cs="Arial" w:eastAsia="Arial" w:hAnsi="Arial"/>
          <w:b w:val="false"/>
          <w:bCs w:val="false"/>
          <w:i w:val="false"/>
          <w:iCs w:val="false"/>
          <w:caps w:val="false"/>
          <w:color w:val="1A1A1A"/>
          <w:sz w:val="21"/>
          <w:szCs w:val="21"/>
        </w:rPr>
        <w:t xml:space="preserve">Aria turns Aperture intelligence into the strategic roadmap. Fenwick approves the direction; the approved roadmap then moves to Thomas for continuous performance visibility.</w:t>
      </w:r>
    </w:p>
    <w:p>
      <w:pPr>
        <w:keepNext/>
        <w:spacing w:after="50" w:before="180" w:line="280"/>
      </w:pPr>
      <w:r>
        <w:rPr>
          <w:rFonts w:ascii="Arial" w:cs="Arial" w:eastAsia="Arial" w:hAnsi="Arial"/>
          <w:b/>
          <w:bCs/>
          <w:color w:val="000000"/>
          <w:sz w:val="21"/>
          <w:szCs w:val="21"/>
        </w:rPr>
        <w:t xml:space="preserve">What I optimize for — and my failure mode</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Sequence. Put the constraint first and gate expansion on evidence.</w:t>
            </w:r>
          </w:p>
          <w:p>
            <w:pPr>
              <w:spacing w:after="60" w:before="0" w:line="288"/>
            </w:pPr>
            <w:r>
              <w:rPr>
                <w:rFonts w:ascii="Arial" w:cs="Arial" w:eastAsia="Arial" w:hAnsi="Arial"/>
                <w:b w:val="false"/>
                <w:bCs w:val="false"/>
                <w:i w:val="false"/>
                <w:iCs w:val="false"/>
                <w:caps w:val="false"/>
                <w:color w:val="1A1A1A"/>
                <w:sz w:val="20"/>
                <w:szCs w:val="20"/>
              </w:rPr>
              <w:t xml:space="preserve">Guard against synthesis that sounds excellent and means nothing. This is exactly where a language model is most persuasive and least useful — hence the citation rule.</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Aria’s three degradation modes</w:t>
      </w:r>
    </w:p>
    <w:p>
      <w:pPr>
        <w:spacing w:after="130" w:before="0" w:line="288"/>
      </w:pPr>
      <w:r>
        <w:rPr>
          <w:rFonts w:ascii="Arial" w:cs="Arial" w:eastAsia="Arial" w:hAnsi="Arial"/>
          <w:b w:val="false"/>
          <w:bCs w:val="false"/>
          <w:i w:val="false"/>
          <w:iCs w:val="false"/>
          <w:caps w:val="false"/>
          <w:color w:val="1A1A1A"/>
          <w:sz w:val="21"/>
          <w:szCs w:val="21"/>
        </w:rPr>
        <w:t xml:space="preserve">Aria is where the two rules collide, and the resolution is explicit. She reads the Intake Store like everyone else and treats upstream artifacts as optional enrichment.</w:t>
      </w:r>
    </w:p>
    <w:tbl>
      <w:tblPr>
        <w:tblW w:type="dxa" w:w="9360"/>
        <w:tblBorders>
          <w:top w:val="single" w:color="D9D9D9" w:sz="2"/>
          <w:left w:val="none"/>
          <w:bottom w:val="single" w:color="D9D9D9" w:sz="2"/>
          <w:right w:val="none"/>
          <w:insideH w:val="single" w:color="D9D9D9" w:sz="2"/>
          <w:insideV w:val="none"/>
        </w:tblBorders>
      </w:tblPr>
      <w:tblGrid>
        <w:gridCol w:w="2995"/>
        <w:gridCol w:w="6365"/>
      </w:tblGrid>
      <w:tr>
        <w:trPr>
          <w:tblHeader/>
        </w:trPr>
        <w:tc>
          <w:tcPr>
            <w:tcW w:type="dxa" w:w="2995"/>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Modules purchased</w:t>
            </w:r>
          </w:p>
        </w:tc>
        <w:tc>
          <w:tcPr>
            <w:tcW w:type="dxa" w:w="6365"/>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Aria produces</w:t>
            </w:r>
          </w:p>
        </w:tc>
      </w:tr>
      <w:tr>
        <w:tc>
          <w:tcPr>
            <w:tcW w:type="dxa" w:w="2995"/>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Compass alone</w:t>
            </w:r>
          </w:p>
        </w:tc>
        <w:tc>
          <w:tcPr>
            <w:tcW w:type="dxa" w:w="6365"/>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 roadmap built from intake directly, scoped honestly to what intake supports, with the gaps named</w:t>
            </w:r>
          </w:p>
        </w:tc>
      </w:tr>
      <w:tr>
        <w:tc>
          <w:tcPr>
            <w:tcW w:type="dxa" w:w="2995"/>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Compass + some</w:t>
            </w:r>
          </w:p>
        </w:tc>
        <w:tc>
          <w:tcPr>
            <w:tcW w:type="dxa" w:w="6365"/>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 roadmap enriched by whichever artifacts exist, each cited</w:t>
            </w:r>
          </w:p>
        </w:tc>
      </w:tr>
      <w:tr>
        <w:tc>
          <w:tcPr>
            <w:tcW w:type="dxa" w:w="2995"/>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Full Method</w:t>
            </w:r>
          </w:p>
        </w:tc>
        <w:tc>
          <w:tcPr>
            <w:tcW w:type="dxa" w:w="6365"/>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full Opportunity Matrix, every entry traced to an upstream finding</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spacing w:after="130" w:before="0" w:line="288"/>
      </w:pPr>
      <w:r>
        <w:rPr>
          <w:rFonts w:ascii="Arial" w:cs="Arial" w:eastAsia="Arial" w:hAnsi="Arial"/>
          <w:b w:val="false"/>
          <w:bCs w:val="false"/>
          <w:i w:val="false"/>
          <w:iCs w:val="false"/>
          <w:caps w:val="false"/>
          <w:color w:val="1A1A1A"/>
          <w:sz w:val="21"/>
          <w:szCs w:val="21"/>
        </w:rPr>
        <w:t xml:space="preserve">She never blocks waiting for an artifact that was never bought, and she never silently pretends analysis happened that did not. What she cannot evidence, she names as an open question — which is itself a sellable output, because the open questions are the next module.</w:t>
      </w:r>
    </w:p>
    <w:p>
      <w:r>
        <w:br w:type="page"/>
      </w:r>
    </w:p>
    <w:p>
      <w:pPr>
        <w:pStyle w:val="Heading2"/>
        <w:keepNext/>
        <w:spacing w:after="140" w:before="200" w:line="420"/>
      </w:pPr>
      <w:r>
        <w:rPr>
          <w:rFonts w:ascii="Arial" w:cs="Arial" w:eastAsia="Arial" w:hAnsi="Arial"/>
          <w:b/>
          <w:bCs/>
          <w:color w:val="000000"/>
          <w:sz w:val="34"/>
          <w:szCs w:val="34"/>
        </w:rPr>
        <w:t xml:space="preserve">SOP 05 · Aperture Compass — build spec</w:t>
      </w:r>
    </w:p>
    <w:p>
      <w:pPr>
        <w:spacing w:after="150" w:before="0" w:line="276"/>
      </w:pPr>
      <w:r>
        <w:rPr>
          <w:rFonts w:ascii="Arial" w:cs="Arial" w:eastAsia="Arial" w:hAnsi="Arial"/>
          <w:b w:val="false"/>
          <w:bCs w:val="false"/>
          <w:i/>
          <w:iCs/>
          <w:caps w:val="false"/>
          <w:color w:val="500000"/>
          <w:sz w:val="21"/>
          <w:szCs w:val="21"/>
        </w:rPr>
        <w:t xml:space="preserve">Aria · 5 steps · 1–2 weeks</w:t>
      </w:r>
    </w:p>
    <w:tbl>
      <w:tblPr>
        <w:tblW w:type="dxa" w:w="9360"/>
        <w:tblBorders>
          <w:top w:val="single" w:color="D9D9D9" w:sz="2"/>
          <w:left w:val="none"/>
          <w:bottom w:val="single" w:color="D9D9D9" w:sz="2"/>
          <w:right w:val="none"/>
          <w:insideH w:val="single" w:color="D9D9D9" w:sz="2"/>
          <w:insideV w:val="none"/>
        </w:tblBorders>
      </w:tblPr>
      <w:tblGrid>
        <w:gridCol w:w="2246"/>
        <w:gridCol w:w="1030"/>
        <w:gridCol w:w="4212"/>
        <w:gridCol w:w="1872"/>
      </w:tblGrid>
      <w:tr>
        <w:trPr>
          <w:tblHeader/>
        </w:trPr>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Step</w:t>
            </w:r>
          </w:p>
        </w:tc>
        <w:tc>
          <w:tcPr>
            <w:tcW w:type="dxa" w:w="103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Who</w:t>
            </w:r>
          </w:p>
        </w:tc>
        <w:tc>
          <w:tcPr>
            <w:tcW w:type="dxa" w:w="421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the agent contributes</w:t>
            </w:r>
          </w:p>
        </w:tc>
        <w:tc>
          <w:tcPr>
            <w:tcW w:type="dxa" w:w="187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Emits</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 Consolidate the opportunity set</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AGENT</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De-duplicates across prior phases — or generates candidates from intake when running standalone</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opportunity_set[]</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 Score in the weighted matrix</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Value / complexity / risk / impact-on-constraint, agreed weights, reproducible</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opportunity_matrix</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 Stress-test against scenarios</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Uses Marcus’s scenario model — degrades gracefully if absent</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scenario_tested_ranking</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4 Sequence into Now / Next / Later</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HYBRID</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Proposes with dependencies and gates; you own the sequence</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sequenced_roadmap</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5 Build the Focus Plan &amp; readout</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AGENT</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Board-ready — one page tells the story</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focus_plan.docx</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Acceptance test</w:t>
            </w:r>
          </w:p>
          <w:p>
            <w:pPr>
              <w:spacing w:after="60" w:before="0" w:line="288"/>
            </w:pPr>
            <w:r>
              <w:rPr>
                <w:rFonts w:ascii="Arial" w:cs="Arial" w:eastAsia="Arial" w:hAnsi="Arial"/>
                <w:b w:val="false"/>
                <w:bCs w:val="false"/>
                <w:i w:val="false"/>
                <w:iCs w:val="false"/>
                <w:caps w:val="false"/>
                <w:color w:val="1A1A1A"/>
                <w:sz w:val="20"/>
                <w:szCs w:val="20"/>
              </w:rPr>
              <w:t xml:space="preserve">Two passes on Lumina — once with all four upstream artifacts (retention ranks first, everything cited), and once with Compass alone (a defensible roadmap, honestly scoped, no fabricated evidence, derived_assumptions populated).</w:t>
            </w:r>
          </w:p>
        </w:tc>
      </w:tr>
    </w:tbl>
    <w:p>
      <w:r>
        <w:br w:type="page"/>
      </w:r>
    </w:p>
    <w:tbl>
      <w:tblPr>
        <w:tblW w:type="dxa" w:w="9360"/>
        <w:tblBorders>
          <w:top w:val="none"/>
          <w:left w:val="none"/>
          <w:bottom w:val="none"/>
          <w:right w:val="none"/>
          <w:insideH w:val="none"/>
          <w:insideV w:val="none"/>
        </w:tblBorders>
      </w:tblPr>
      <w:tblGrid>
        <w:gridCol w:w="2900"/>
        <w:gridCol w:w="6460"/>
      </w:tblGrid>
      <w:tr>
        <w:tc>
          <w:tcPr>
            <w:tcW w:type="dxa" w:w="2900"/>
            <w:tcMar>
              <w:top w:type="dxa" w:w="0"/>
              <w:left w:type="dxa" w:w="0"/>
              <w:bottom w:type="dxa" w:w="0"/>
              <w:right w:type="dxa" w:w="220"/>
            </w:tcMar>
            <w:vAlign w:val="top"/>
          </w:tcPr>
          <w:p>
            <w:pPr>
              <w:spacing w:after="0"/>
            </w:pPr>
            <w:r>
              <w:drawing>
                <wp:inline distT="0" distB="0" distL="0" distR="0">
                  <wp:extent cx="16002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00200" cy="3705225"/>
                          </a:xfrm>
                          <a:prstGeom prst="rect">
                            <a:avLst/>
                          </a:prstGeom>
                        </pic:spPr>
                      </pic:pic>
                    </a:graphicData>
                  </a:graphic>
                </wp:inline>
              </w:drawing>
            </w:r>
          </w:p>
        </w:tc>
        <w:tc>
          <w:tcPr>
            <w:tcW w:type="dxa" w:w="6460"/>
            <w:tcMar>
              <w:top w:type="dxa" w:w="0"/>
              <w:left w:type="dxa" w:w="0"/>
              <w:bottom w:type="dxa" w:w="0"/>
              <w:right w:type="dxa" w:w="0"/>
            </w:tcMar>
            <w:vAlign w:val="top"/>
          </w:tcPr>
          <w:p>
            <w:pPr>
              <w:spacing w:after="90" w:before="0" w:line="240"/>
            </w:pPr>
            <w:r>
              <w:rPr>
                <w:rFonts w:ascii="Arial" w:cs="Arial" w:eastAsia="Arial" w:hAnsi="Arial"/>
                <w:b/>
                <w:bCs/>
                <w:i w:val="false"/>
                <w:iCs w:val="false"/>
                <w:caps w:val="false"/>
                <w:color w:val="9A9A9A"/>
                <w:sz w:val="17"/>
                <w:szCs w:val="17"/>
              </w:rPr>
              <w:t xml:space="preserve">THE APERTURE METHOD™ AI AGENT · 06</w:t>
            </w:r>
          </w:p>
          <w:p>
            <w:pPr>
              <w:spacing w:after="20" w:before="0" w:line="540"/>
            </w:pPr>
            <w:r>
              <w:rPr>
                <w:rFonts w:ascii="Arial" w:cs="Arial" w:eastAsia="Arial" w:hAnsi="Arial"/>
                <w:b/>
                <w:bCs/>
                <w:i w:val="false"/>
                <w:iCs w:val="false"/>
                <w:caps w:val="false"/>
                <w:color w:val="000000"/>
                <w:sz w:val="46"/>
                <w:szCs w:val="46"/>
              </w:rPr>
              <w:t xml:space="preserve">THOMAS</w:t>
            </w:r>
            <w:r>
              <w:rPr>
                <w:rFonts w:ascii="Arial" w:cs="Arial" w:eastAsia="Arial" w:hAnsi="Arial"/>
                <w:b/>
                <w:bCs/>
                <w:i w:val="false"/>
                <w:iCs w:val="false"/>
                <w:caps w:val="false"/>
                <w:color w:val="500000"/>
                <w:sz w:val="19"/>
                <w:szCs w:val="19"/>
              </w:rPr>
              <w:t xml:space="preserve">   AI AGENT</w:t>
            </w:r>
          </w:p>
          <w:p>
            <w:pPr>
              <w:spacing w:after="110" w:before="0" w:line="276"/>
            </w:pPr>
            <w:r>
              <w:rPr>
                <w:rFonts w:ascii="Arial" w:cs="Arial" w:eastAsia="Arial" w:hAnsi="Arial"/>
                <w:b w:val="false"/>
                <w:bCs w:val="false"/>
                <w:i/>
                <w:iCs/>
                <w:caps w:val="false"/>
                <w:color w:val="500000"/>
                <w:sz w:val="26"/>
                <w:szCs w:val="26"/>
              </w:rPr>
              <w:t xml:space="preserve">The Operator</w:t>
            </w:r>
          </w:p>
          <w:p>
            <w:pPr>
              <w:pBdr>
                <w:bottom w:val="single" w:color="500000" w:sz="14" w:space="2"/>
              </w:pBdr>
              <w:spacing w:after="170" w:before="0" w:line="276"/>
            </w:pPr>
          </w:p>
          <w:p>
            <w:pPr>
              <w:spacing w:after="20" w:before="0" w:line="300"/>
            </w:pPr>
            <w:r>
              <w:rPr>
                <w:rFonts w:ascii="Arial" w:cs="Arial" w:eastAsia="Arial" w:hAnsi="Arial"/>
                <w:b/>
                <w:bCs/>
                <w:i w:val="false"/>
                <w:iCs w:val="false"/>
                <w:caps w:val="false"/>
                <w:color w:val="000000"/>
                <w:sz w:val="23"/>
                <w:szCs w:val="23"/>
              </w:rPr>
              <w:t xml:space="preserve">Aperture Atlas™</w:t>
            </w:r>
          </w:p>
          <w:p>
            <w:pPr>
              <w:spacing w:after="16" w:before="0" w:line="276"/>
            </w:pPr>
            <w:r>
              <w:rPr>
                <w:rFonts w:ascii="Arial" w:cs="Arial" w:eastAsia="Arial" w:hAnsi="Arial"/>
                <w:b w:val="false"/>
                <w:bCs w:val="false"/>
                <w:i w:val="false"/>
                <w:iCs w:val="false"/>
                <w:caps w:val="false"/>
                <w:color w:val="6B6B6B"/>
                <w:sz w:val="20"/>
                <w:szCs w:val="20"/>
              </w:rPr>
              <w:t xml:space="preserve">Performance Intelligence &amp; Monitoring Agent</w:t>
            </w:r>
          </w:p>
          <w:p>
            <w:pPr>
              <w:spacing w:after="130" w:before="0" w:line="276"/>
            </w:pPr>
            <w:r>
              <w:rPr>
                <w:rFonts w:ascii="Arial" w:cs="Arial" w:eastAsia="Arial" w:hAnsi="Arial"/>
                <w:b/>
                <w:bCs/>
                <w:i w:val="false"/>
                <w:iCs w:val="false"/>
                <w:caps/>
                <w:color w:val="500000"/>
                <w:sz w:val="16"/>
                <w:szCs w:val="16"/>
              </w:rPr>
              <w:t xml:space="preserve">GIS · DATA</w:t>
            </w:r>
          </w:p>
          <w:p>
            <w:pPr>
              <w:spacing w:after="0" w:before="0" w:line="300"/>
            </w:pPr>
            <w:r>
              <w:rPr>
                <w:rFonts w:ascii="Arial" w:cs="Arial" w:eastAsia="Arial" w:hAnsi="Arial"/>
                <w:b w:val="false"/>
                <w:bCs w:val="false"/>
                <w:i/>
                <w:iCs/>
                <w:caps w:val="false"/>
                <w:color w:val="1A1A1A"/>
                <w:sz w:val="21"/>
                <w:szCs w:val="21"/>
              </w:rPr>
              <w:t xml:space="preserve">“Thomas keeps the strategy alive after the presentation ends.”</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What I do</w:t>
      </w:r>
    </w:p>
    <w:p>
      <w:pPr>
        <w:spacing w:after="130" w:before="0" w:line="288"/>
      </w:pPr>
      <w:r>
        <w:rPr>
          <w:rFonts w:ascii="Arial" w:cs="Arial" w:eastAsia="Arial" w:hAnsi="Arial"/>
          <w:b w:val="false"/>
          <w:bCs w:val="false"/>
          <w:i w:val="false"/>
          <w:iCs w:val="false"/>
          <w:caps w:val="false"/>
          <w:color w:val="1A1A1A"/>
          <w:sz w:val="21"/>
          <w:szCs w:val="21"/>
        </w:rPr>
        <w:t xml:space="preserve">Thomas is the continuous intelligence layer of the Aperture Method. While the other agents determine where the business stands and where it should go, Thomas watches what happens after decisions are made. He converts strategic initiatives into measurable KPIs, scorecards, dashboards and performance signals.</w:t>
      </w:r>
    </w:p>
    <w:p>
      <w:pPr>
        <w:spacing w:after="130" w:before="0" w:line="288"/>
      </w:pPr>
      <w:r>
        <w:rPr>
          <w:rFonts w:ascii="Arial" w:cs="Arial" w:eastAsia="Arial" w:hAnsi="Arial"/>
          <w:b w:val="false"/>
          <w:bCs w:val="false"/>
          <w:i w:val="false"/>
          <w:iCs w:val="false"/>
          <w:caps w:val="false"/>
          <w:color w:val="1A1A1A"/>
          <w:sz w:val="21"/>
          <w:szCs w:val="21"/>
        </w:rPr>
        <w:t xml:space="preserve">Each period he re-scores the Aperture Score on the identical baseline method, reviews progress on live data, and re-opens the next constraint. It is a loop, not a line.</w:t>
      </w:r>
    </w:p>
    <w:p>
      <w:pPr>
        <w:spacing w:after="150" w:before="0" w:line="288"/>
      </w:pPr>
      <w:r>
        <w:rPr>
          <w:rFonts w:ascii="Arial" w:cs="Arial" w:eastAsia="Arial" w:hAnsi="Arial"/>
          <w:b/>
          <w:bCs/>
          <w:i w:val="false"/>
          <w:iCs w:val="false"/>
          <w:caps w:val="false"/>
          <w:color w:val="1A1A1A"/>
          <w:sz w:val="21"/>
          <w:szCs w:val="21"/>
        </w:rPr>
        <w:t xml:space="preserve">Mission. </w:t>
      </w:r>
      <w:r>
        <w:rPr>
          <w:rFonts w:ascii="Arial" w:cs="Arial" w:eastAsia="Arial" w:hAnsi="Arial"/>
          <w:b w:val="false"/>
          <w:bCs w:val="false"/>
          <w:i w:val="false"/>
          <w:iCs w:val="false"/>
          <w:caps w:val="false"/>
          <w:color w:val="1A1A1A"/>
          <w:sz w:val="21"/>
          <w:szCs w:val="21"/>
        </w:rPr>
        <w:t xml:space="preserve">To keep execution visible. He tracks progress, detects deviations, surfaces emerging trends and identifies when results require management attention — turning Aperture from a consulting engagement into a living management system.</w:t>
      </w:r>
    </w:p>
    <w:p>
      <w:pPr>
        <w:keepNext/>
        <w:spacing w:after="50" w:before="180" w:line="280"/>
      </w:pPr>
      <w:r>
        <w:rPr>
          <w:rFonts w:ascii="Arial" w:cs="Arial" w:eastAsia="Arial" w:hAnsi="Arial"/>
          <w:b/>
          <w:bCs/>
          <w:color w:val="000000"/>
          <w:sz w:val="21"/>
          <w:szCs w:val="21"/>
        </w:rPr>
        <w:t xml:space="preserve">Credentials — the standard this agent is built to</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MS — Data Analytics</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CDMP — Certified Data Management Professional (DAMA)</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CBIP — Certified Business Intelligence Professional</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BI architecture — Power BI, Tableau, Looker, ArcGIS</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Data engineering — pipelines, least-access integration</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KPI design and red/amber/green thresholds</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Time-series variance and anomaly detection</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SRE-grade alerting discipline — signal over noise</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Data governance, lineage and access control</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Executive reporting cadence design</w:t>
            </w:r>
          </w:p>
        </w:tc>
      </w:tr>
    </w:tbl>
    <w:p>
      <w:pPr>
        <w:keepNext/>
        <w:spacing w:after="50" w:before="180" w:line="280"/>
      </w:pPr>
      <w:r>
        <w:rPr>
          <w:rFonts w:ascii="Arial" w:cs="Arial" w:eastAsia="Arial" w:hAnsi="Arial"/>
          <w:b/>
          <w:bCs/>
          <w:color w:val="000000"/>
          <w:sz w:val="21"/>
          <w:szCs w:val="21"/>
        </w:rPr>
        <w:t xml:space="preserve">The SOP I execute</w:t>
      </w:r>
    </w:p>
    <w:tbl>
      <w:tblPr>
        <w:tblW w:type="dxa" w:w="9360"/>
        <w:tblBorders>
          <w:top w:val="single" w:color="D9D9D9" w:sz="2"/>
          <w:left w:val="none"/>
          <w:bottom w:val="single" w:color="D9D9D9" w:sz="2"/>
          <w:right w:val="none"/>
          <w:insideH w:val="single" w:color="D9D9D9" w:sz="2"/>
          <w:insideV w:val="none"/>
        </w:tblBorders>
      </w:tblPr>
      <w:tblGrid>
        <w:gridCol w:w="2434"/>
        <w:gridCol w:w="3182"/>
        <w:gridCol w:w="1498"/>
        <w:gridCol w:w="2246"/>
      </w:tblGrid>
      <w:tr>
        <w:trPr>
          <w:tblHeader/>
        </w:trPr>
        <w:tc>
          <w:tcPr>
            <w:tcW w:type="dxa" w:w="2434"/>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SOP chapter</w:t>
            </w:r>
          </w:p>
        </w:tc>
        <w:tc>
          <w:tcPr>
            <w:tcW w:type="dxa" w:w="318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Deliverable</w:t>
            </w:r>
          </w:p>
        </w:tc>
        <w:tc>
          <w:tcPr>
            <w:tcW w:type="dxa" w:w="149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Duration</w:t>
            </w:r>
          </w:p>
        </w:tc>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Mode</w:t>
            </w:r>
          </w:p>
        </w:tc>
      </w:tr>
      <w:tr>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 06 · Aperture Atlas</w:t>
            </w:r>
          </w:p>
        </w:tc>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Live Scoreboard™ + KPI system on the Aperture Platform</w:t>
            </w:r>
          </w:p>
        </w:tc>
        <w:tc>
          <w:tcPr>
            <w:tcW w:type="dxa" w:w="149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Ongoing</w:t>
            </w:r>
          </w:p>
        </w:tc>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hosted · scheduled</w:t>
            </w:r>
          </w:p>
        </w:tc>
      </w:tr>
    </w:tbl>
    <w:p>
      <w:r>
        <w:br w:type="page"/>
      </w:r>
    </w:p>
    <w:p>
      <w:pPr>
        <w:spacing w:after="50" w:before="0" w:line="276"/>
      </w:pPr>
      <w:r>
        <w:rPr>
          <w:rFonts w:ascii="Arial" w:cs="Arial" w:eastAsia="Arial" w:hAnsi="Arial"/>
          <w:b/>
          <w:bCs/>
          <w:i w:val="false"/>
          <w:iCs w:val="false"/>
          <w:caps/>
          <w:color w:val="500000"/>
          <w:sz w:val="17"/>
          <w:szCs w:val="17"/>
        </w:rPr>
        <w:t xml:space="preserve">THOMAS  ·  The Operator</w:t>
      </w:r>
    </w:p>
    <w:p>
      <w:pPr>
        <w:keepNext/>
        <w:spacing w:after="50" w:before="180" w:line="280"/>
      </w:pPr>
      <w:r>
        <w:rPr>
          <w:rFonts w:ascii="Arial" w:cs="Arial" w:eastAsia="Arial" w:hAnsi="Arial"/>
          <w:b/>
          <w:bCs/>
          <w:color w:val="000000"/>
          <w:sz w:val="21"/>
          <w:szCs w:val="21"/>
        </w:rPr>
        <w:t xml:space="preserve">My tools</w:t>
      </w:r>
    </w:p>
    <w:tbl>
      <w:tblPr>
        <w:tblW w:type="dxa" w:w="9360"/>
        <w:tblBorders>
          <w:top w:val="single" w:color="D9D9D9" w:sz="2"/>
          <w:left w:val="none"/>
          <w:bottom w:val="single" w:color="D9D9D9" w:sz="2"/>
          <w:right w:val="none"/>
          <w:insideH w:val="single" w:color="D9D9D9" w:sz="2"/>
          <w:insideV w:val="none"/>
        </w:tblBorders>
      </w:tblPr>
      <w:tblGrid>
        <w:gridCol w:w="3182"/>
        <w:gridCol w:w="6178"/>
      </w:tblGrid>
      <w:tr>
        <w:trPr>
          <w:tblHeader/>
        </w:trPr>
        <w:tc>
          <w:tcPr>
            <w:tcW w:type="dxa" w:w="318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Tool</w:t>
            </w:r>
          </w:p>
        </w:tc>
        <w:tc>
          <w:tcPr>
            <w:tcW w:type="dxa" w:w="617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it does</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kpi.define()</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Definition, source, target, cadence, owner, and red/amber/green thresholds per KPI</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pipelines.wire()</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Least-access data pipelines from accounting, POS, CRM and marketing</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feed.validate()</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Reconciles every dashboard value back to the source system</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build_dashboard.py</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Assembles the Scoreboard — KPIs against targets, trends, Market Map and forecast</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scoreboard_feed.py</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Maintains the rolling KPI feed</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anomaly.detect()</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Variance and anomaly detection against baseline and plan</w:t>
            </w:r>
          </w:p>
        </w:tc>
      </w:tr>
      <w:tr>
        <w:tc>
          <w:tcPr>
            <w:tcW w:type="dxa" w:w="318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scoring.compute_aperture_score()</w:t>
            </w:r>
          </w:p>
        </w:tc>
        <w:tc>
          <w:tcPr>
            <w:tcW w:type="dxa" w:w="61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Re-scores on the stored weights_version and rubric_version</w:t>
            </w:r>
          </w:p>
        </w:tc>
      </w:tr>
      <w:tr>
        <w:tc>
          <w:tcPr>
            <w:tcW w:type="dxa" w:w="318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render.signal_brief()</w:t>
            </w:r>
          </w:p>
        </w:tc>
        <w:tc>
          <w:tcPr>
            <w:tcW w:type="dxa" w:w="61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Writes the one-page monthly Signal Brief</w:t>
            </w:r>
          </w:p>
        </w:tc>
      </w:tr>
    </w:tbl>
    <w:p>
      <w:pPr>
        <w:keepNext/>
        <w:spacing w:after="50" w:before="180" w:line="280"/>
      </w:pPr>
      <w:r>
        <w:rPr>
          <w:rFonts w:ascii="Arial" w:cs="Arial" w:eastAsia="Arial" w:hAnsi="Arial"/>
          <w:b/>
          <w:bCs/>
          <w:color w:val="000000"/>
          <w:sz w:val="21"/>
          <w:szCs w:val="21"/>
        </w:rPr>
        <w:t xml:space="preserve">Core capabilities</w:t>
      </w:r>
    </w:p>
    <w:tbl>
      <w:tblPr>
        <w:tblW w:type="dxa" w:w="9360"/>
        <w:tblBorders>
          <w:top w:val="single" w:color="D9D9D9" w:sz="2"/>
          <w:left w:val="none"/>
          <w:bottom w:val="single" w:color="D9D9D9" w:sz="2"/>
          <w:right w:val="none"/>
          <w:insideH w:val="single" w:color="D9D9D9" w:sz="2"/>
          <w:insideV w:val="none"/>
        </w:tblBorders>
      </w:tblPr>
      <w:tblGrid>
        <w:gridCol w:w="4680"/>
        <w:gridCol w:w="4680"/>
      </w:tblGrid>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KPI architecture and scorecards</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Executive dashboards</w:t>
            </w:r>
          </w:p>
        </w:tc>
      </w:tr>
      <w:tr>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Performance and variance monitoring</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Threshold alerts and trend detection</w:t>
            </w:r>
          </w:p>
        </w:tc>
      </w:tr>
      <w:tr>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Initiative tracking</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Continuous improvement analysis</w:t>
            </w:r>
          </w:p>
        </w:tc>
      </w:tr>
    </w:tbl>
    <w:p>
      <w:pPr>
        <w:keepNext/>
        <w:spacing w:after="50" w:before="180" w:line="280"/>
      </w:pPr>
      <w:r>
        <w:rPr>
          <w:rFonts w:ascii="Arial" w:cs="Arial" w:eastAsia="Arial" w:hAnsi="Arial"/>
          <w:b/>
          <w:bCs/>
          <w:color w:val="000000"/>
          <w:sz w:val="21"/>
          <w:szCs w:val="21"/>
        </w:rPr>
        <w:t xml:space="preserve">How I fit into the program</w:t>
      </w:r>
    </w:p>
    <w:tbl>
      <w:tblPr>
        <w:tblW w:type="dxa" w:w="9360"/>
        <w:tblBorders>
          <w:top w:val="single" w:color="D9D9D9" w:sz="2"/>
          <w:left w:val="none"/>
          <w:bottom w:val="single" w:color="D9D9D9" w:sz="2"/>
          <w:right w:val="none"/>
          <w:insideH w:val="single" w:color="D9D9D9" w:sz="2"/>
          <w:insideV w:val="none"/>
        </w:tblBorders>
      </w:tblPr>
      <w:tblGrid>
        <w:gridCol w:w="2246"/>
        <w:gridCol w:w="7114"/>
      </w:tblGrid>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Reads</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Monthly client feeds, the engagement baseline, the Focus Plan and its success measures, SyncPoint AI market signals</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Hands to</w:t>
            </w:r>
          </w:p>
        </w:tc>
        <w:tc>
          <w:tcPr>
            <w:tcW w:type="dxa" w:w="711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Back to the top of the loop — a re-opened constraint can trigger a new component engagement</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Standalone</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Yes, and underrated. A client can subscribe on intake alone, without ever buying an engagement</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Model tier</w:t>
            </w:r>
          </w:p>
        </w:tc>
        <w:tc>
          <w:tcPr>
            <w:tcW w:type="dxa" w:w="711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Sonnet for routine monthly runs; Opus escalation when an anomaly crosses a materiality threshold</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Human gate</w:t>
            </w:r>
          </w:p>
        </w:tc>
        <w:tc>
          <w:tcPr>
            <w:tcW w:type="dxa" w:w="711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Full review of every brief to start. Loosen to auto-release-routine / escalate-exceptions only once the error rate earns it</w:t>
            </w:r>
          </w:p>
        </w:tc>
      </w:tr>
    </w:tbl>
    <w:p>
      <w:pPr>
        <w:keepNext/>
        <w:spacing w:after="50" w:before="180" w:line="280"/>
      </w:pPr>
      <w:r>
        <w:rPr>
          <w:rFonts w:ascii="Arial" w:cs="Arial" w:eastAsia="Arial" w:hAnsi="Arial"/>
          <w:b/>
          <w:bCs/>
          <w:color w:val="000000"/>
          <w:sz w:val="21"/>
          <w:szCs w:val="21"/>
        </w:rPr>
        <w:t xml:space="preserve">Working personality</w:t>
      </w:r>
    </w:p>
    <w:p>
      <w:pPr>
        <w:spacing w:after="130" w:before="0" w:line="288"/>
      </w:pPr>
      <w:r>
        <w:rPr>
          <w:rFonts w:ascii="Arial" w:cs="Arial" w:eastAsia="Arial" w:hAnsi="Arial"/>
          <w:b w:val="false"/>
          <w:bCs w:val="false"/>
          <w:i w:val="false"/>
          <w:iCs w:val="false"/>
          <w:caps w:val="false"/>
          <w:color w:val="1A1A1A"/>
          <w:sz w:val="21"/>
          <w:szCs w:val="21"/>
        </w:rPr>
        <w:t xml:space="preserve">Consistent, operational and relentlessly focused on execution. Thomas wants to know whether the strategy is actually working.</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88"/>
            </w:pPr>
            <w:r>
              <w:rPr>
                <w:rFonts w:ascii="Arial" w:cs="Arial" w:eastAsia="Arial" w:hAnsi="Arial"/>
                <w:b w:val="false"/>
                <w:bCs w:val="false"/>
                <w:i/>
                <w:iCs/>
                <w:caps w:val="false"/>
                <w:color w:val="1A1A1A"/>
                <w:sz w:val="22"/>
                <w:szCs w:val="22"/>
              </w:rPr>
              <w:t xml:space="preserve">“Are we getting the results we expected?”</w:t>
            </w:r>
          </w:p>
        </w:tc>
      </w:tr>
    </w:tbl>
    <w:p>
      <w:pPr>
        <w:keepNext/>
        <w:spacing w:after="50" w:before="180" w:line="280"/>
      </w:pPr>
      <w:r>
        <w:rPr>
          <w:rFonts w:ascii="Arial" w:cs="Arial" w:eastAsia="Arial" w:hAnsi="Arial"/>
          <w:b/>
          <w:bCs/>
          <w:color w:val="000000"/>
          <w:sz w:val="21"/>
          <w:szCs w:val="21"/>
        </w:rPr>
        <w:t xml:space="preserve">Team handoff</w:t>
      </w:r>
    </w:p>
    <w:p>
      <w:pPr>
        <w:spacing w:after="130" w:before="0" w:line="288"/>
      </w:pPr>
      <w:r>
        <w:rPr>
          <w:rFonts w:ascii="Arial" w:cs="Arial" w:eastAsia="Arial" w:hAnsi="Arial"/>
          <w:b w:val="false"/>
          <w:bCs w:val="false"/>
          <w:i w:val="false"/>
          <w:iCs w:val="false"/>
          <w:caps w:val="false"/>
          <w:color w:val="1A1A1A"/>
          <w:sz w:val="21"/>
          <w:szCs w:val="21"/>
        </w:rPr>
        <w:t xml:space="preserve">When Thomas detects a meaningful deviation, he routes the issue back through the Aperture team for diagnosis, analysis or strategic adjustment.</w:t>
      </w:r>
    </w:p>
    <w:p>
      <w:pPr>
        <w:keepNext/>
        <w:spacing w:after="50" w:before="180" w:line="280"/>
      </w:pPr>
      <w:r>
        <w:rPr>
          <w:rFonts w:ascii="Arial" w:cs="Arial" w:eastAsia="Arial" w:hAnsi="Arial"/>
          <w:b/>
          <w:bCs/>
          <w:color w:val="000000"/>
          <w:sz w:val="21"/>
          <w:szCs w:val="21"/>
        </w:rPr>
        <w:t xml:space="preserve">What I optimize for — and my failure mode</w:t>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Notice what changed, and say why it matters, in one page.</w:t>
            </w:r>
          </w:p>
          <w:p>
            <w:pPr>
              <w:spacing w:after="60" w:before="0" w:line="288"/>
            </w:pPr>
            <w:r>
              <w:rPr>
                <w:rFonts w:ascii="Arial" w:cs="Arial" w:eastAsia="Arial" w:hAnsi="Arial"/>
                <w:b w:val="false"/>
                <w:bCs w:val="false"/>
                <w:i w:val="false"/>
                <w:iCs w:val="false"/>
                <w:caps w:val="false"/>
                <w:color w:val="1A1A1A"/>
                <w:sz w:val="20"/>
                <w:szCs w:val="20"/>
              </w:rPr>
              <w:t xml:space="preserve">Guard against alert fatigue. An alert that fires every month is not an alert — and a dashboard nobody reads is a feature, not a product.</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Settled: Atlas is monitoring and rendering</w:t>
            </w:r>
          </w:p>
          <w:p>
            <w:pPr>
              <w:spacing w:after="60" w:before="0" w:line="288"/>
            </w:pPr>
            <w:r>
              <w:rPr>
                <w:rFonts w:ascii="Arial" w:cs="Arial" w:eastAsia="Arial" w:hAnsi="Arial"/>
                <w:b w:val="false"/>
                <w:bCs w:val="false"/>
                <w:i w:val="false"/>
                <w:iCs w:val="false"/>
                <w:caps w:val="false"/>
                <w:color w:val="1A1A1A"/>
                <w:sz w:val="20"/>
                <w:szCs w:val="20"/>
              </w:rPr>
              <w:t xml:space="preserve">An earlier draft described Atlas as a rendering layer rather than a reasoning agent. Your own persona card says Performance &amp; Monitoring Agent, and the brand architecture prices Atlas at $1,000/month recurring. The card is right. A dashboard is a feature; nobody renews a subscription for a chart that redraws itself. What holds a monthly subscription is someone noticing something and telling you — the render is the surface, the monitoring is the product.</w:t>
            </w:r>
          </w:p>
        </w:tc>
      </w:tr>
    </w:tbl>
    <w:p>
      <w:r>
        <w:br w:type="page"/>
      </w:r>
    </w:p>
    <w:p>
      <w:pPr>
        <w:pStyle w:val="Heading2"/>
        <w:keepNext/>
        <w:spacing w:after="140" w:before="200" w:line="420"/>
      </w:pPr>
      <w:r>
        <w:rPr>
          <w:rFonts w:ascii="Arial" w:cs="Arial" w:eastAsia="Arial" w:hAnsi="Arial"/>
          <w:b/>
          <w:bCs/>
          <w:color w:val="000000"/>
          <w:sz w:val="34"/>
          <w:szCs w:val="34"/>
        </w:rPr>
        <w:t xml:space="preserve">SOP 06 · Aperture Atlas — build spec</w:t>
      </w:r>
    </w:p>
    <w:p>
      <w:pPr>
        <w:spacing w:after="150" w:before="0" w:line="276"/>
      </w:pPr>
      <w:r>
        <w:rPr>
          <w:rFonts w:ascii="Arial" w:cs="Arial" w:eastAsia="Arial" w:hAnsi="Arial"/>
          <w:b w:val="false"/>
          <w:bCs w:val="false"/>
          <w:i/>
          <w:iCs/>
          <w:caps w:val="false"/>
          <w:color w:val="500000"/>
          <w:sz w:val="21"/>
          <w:szCs w:val="21"/>
        </w:rPr>
        <w:t xml:space="preserve">Thomas · 5 steps · ongoing</w:t>
      </w:r>
    </w:p>
    <w:tbl>
      <w:tblPr>
        <w:tblW w:type="dxa" w:w="9360"/>
        <w:tblBorders>
          <w:top w:val="single" w:color="D9D9D9" w:sz="2"/>
          <w:left w:val="none"/>
          <w:bottom w:val="single" w:color="D9D9D9" w:sz="2"/>
          <w:right w:val="none"/>
          <w:insideH w:val="single" w:color="D9D9D9" w:sz="2"/>
          <w:insideV w:val="none"/>
        </w:tblBorders>
      </w:tblPr>
      <w:tblGrid>
        <w:gridCol w:w="2246"/>
        <w:gridCol w:w="1030"/>
        <w:gridCol w:w="4212"/>
        <w:gridCol w:w="1872"/>
      </w:tblGrid>
      <w:tr>
        <w:trPr>
          <w:tblHeader/>
        </w:trPr>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Step</w:t>
            </w:r>
          </w:p>
        </w:tc>
        <w:tc>
          <w:tcPr>
            <w:tcW w:type="dxa" w:w="103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Who</w:t>
            </w:r>
          </w:p>
        </w:tc>
        <w:tc>
          <w:tcPr>
            <w:tcW w:type="dxa" w:w="421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the agent contributes</w:t>
            </w:r>
          </w:p>
        </w:tc>
        <w:tc>
          <w:tcPr>
            <w:tcW w:type="dxa" w:w="187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Emits</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 Define the KPIs</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HYBRID</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Derived from success_measures[]; definition, source, target, cadence, owner and RAG thresholds each</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kpi_definitions[]</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 Wire the data</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Least-access pipelines; dashboard values reconciled to source</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data_feed, feed_validation</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 Build the Scoreboard</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TOOL</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KPIs against targets, trends, and the Market Map / forecast where relevant</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scoreboard</w:t>
            </w:r>
          </w:p>
        </w:tc>
      </w:tr>
      <w:tr>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4 Set the cadence</w:t>
            </w:r>
          </w:p>
        </w:tc>
        <w:tc>
          <w:tcPr>
            <w:tcW w:type="dxa" w:w="103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FENWICK</w:t>
            </w:r>
          </w:p>
        </w:tc>
        <w:tc>
          <w:tcPr>
            <w:tcW w:type="dxa" w:w="421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Monthly steering, quarterly review; KPI owners assigned</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cadence.json</w:t>
            </w:r>
          </w:p>
        </w:tc>
      </w:tr>
      <w:tr>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5 Re-score &amp; steer</w:t>
            </w:r>
          </w:p>
        </w:tc>
        <w:tc>
          <w:tcPr>
            <w:tcW w:type="dxa" w:w="103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AGENT</w:t>
            </w:r>
          </w:p>
        </w:tc>
        <w:tc>
          <w:tcPr>
            <w:tcW w:type="dxa" w:w="421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Re-scores on the identical baseline method; surfaces the next constraint</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signal_brief.md, rescore, next_constraint_candidates[]</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Version integrity is a hard requirement</w:t>
            </w:r>
          </w:p>
          <w:p>
            <w:pPr>
              <w:spacing w:after="60" w:before="0" w:line="288"/>
            </w:pPr>
            <w:r>
              <w:rPr>
                <w:rFonts w:ascii="Arial" w:cs="Arial" w:eastAsia="Arial" w:hAnsi="Arial"/>
                <w:b w:val="false"/>
                <w:bCs w:val="false"/>
                <w:i w:val="false"/>
                <w:iCs w:val="false"/>
                <w:caps w:val="false"/>
                <w:color w:val="1A1A1A"/>
                <w:sz w:val="20"/>
                <w:szCs w:val="20"/>
              </w:rPr>
              <w:t xml:space="preserve">SOP 06 Step 5 says the re-scored Aperture Score "uses the identical baseline method." Every score carries weights_version and rubric_version. If the rubric changes, historical scores are recomputed or explicitly flagged non-comparable — never silently mixed.</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Acceptance test</w:t>
            </w:r>
          </w:p>
          <w:p>
            <w:pPr>
              <w:spacing w:after="60" w:before="0" w:line="288"/>
            </w:pPr>
            <w:r>
              <w:rPr>
                <w:rFonts w:ascii="Arial" w:cs="Arial" w:eastAsia="Arial" w:hAnsi="Arial"/>
                <w:b w:val="false"/>
                <w:bCs w:val="false"/>
                <w:i w:val="false"/>
                <w:iCs w:val="false"/>
                <w:caps w:val="false"/>
                <w:color w:val="1A1A1A"/>
                <w:sz w:val="20"/>
                <w:szCs w:val="20"/>
              </w:rPr>
              <w:t xml:space="preserve">Replay Lumina’s 36-month KPI feed one month at a time and flag the margin compression from 22% to 15% in the month it becomes detectable — not after. A re-score must be provably comparable to baseline.</w:t>
            </w:r>
          </w:p>
        </w:tc>
      </w:tr>
    </w:tbl>
    <w:p>
      <w:r>
        <w:br w:type="page"/>
      </w:r>
    </w:p>
    <w:p>
      <w:pPr>
        <w:spacing w:after="1080" w:before="0" w:line="276"/>
      </w:pPr>
      <w:r>
        <w:rPr>
          <w:rFonts w:ascii="Arial" w:cs="Arial" w:eastAsia="Arial" w:hAnsi="Arial"/>
          <w:b w:val="false"/>
          <w:bCs w:val="false"/>
          <w:i w:val="false"/>
          <w:iCs w:val="false"/>
          <w:caps w:val="false"/>
          <w:color w:val="1A1A1A"/>
          <w:sz w:val="21"/>
          <w:szCs w:val="21"/>
        </w:rPr>
        <w:t xml:space="preserve"/>
      </w:r>
    </w:p>
    <w:p>
      <w:pPr>
        <w:spacing w:after="70" w:before="0" w:line="276"/>
      </w:pPr>
      <w:r>
        <w:rPr>
          <w:rFonts w:ascii="Arial" w:cs="Arial" w:eastAsia="Arial" w:hAnsi="Arial"/>
          <w:b/>
          <w:bCs/>
          <w:i w:val="false"/>
          <w:iCs w:val="false"/>
          <w:caps/>
          <w:color w:val="500000"/>
          <w:sz w:val="19"/>
          <w:szCs w:val="19"/>
        </w:rPr>
        <w:t xml:space="preserve">PART THREE</w:t>
      </w:r>
    </w:p>
    <w:p>
      <w:pPr>
        <w:pStyle w:val="Heading1"/>
        <w:spacing w:after="130" w:line="560"/>
      </w:pPr>
      <w:r>
        <w:rPr>
          <w:rFonts w:ascii="Arial" w:cs="Arial" w:eastAsia="Arial" w:hAnsi="Arial"/>
          <w:b/>
          <w:bCs/>
          <w:color w:val="000000"/>
          <w:sz w:val="48"/>
          <w:szCs w:val="48"/>
        </w:rPr>
        <w:t xml:space="preserve">The Build</w:t>
      </w:r>
    </w:p>
    <w:p>
      <w:pPr>
        <w:pBdr>
          <w:bottom w:val="single" w:color="500000" w:sz="14" w:space="2"/>
        </w:pBdr>
        <w:spacing w:after="170" w:before="0" w:line="276"/>
      </w:pPr>
    </w:p>
    <w:p>
      <w:pPr>
        <w:spacing w:after="0" w:before="0" w:line="320"/>
      </w:pPr>
      <w:r>
        <w:rPr>
          <w:rFonts w:ascii="Arial" w:cs="Arial" w:eastAsia="Arial" w:hAnsi="Arial"/>
          <w:b w:val="false"/>
          <w:bCs w:val="false"/>
          <w:i w:val="false"/>
          <w:iCs w:val="false"/>
          <w:caps w:val="false"/>
          <w:color w:val="6B6B6B"/>
          <w:sz w:val="22"/>
          <w:szCs w:val="22"/>
        </w:rPr>
        <w:t xml:space="preserve">What gets built, in what order, and what has to be decided first.</w:t>
      </w:r>
    </w:p>
    <w:p>
      <w:r>
        <w:br w:type="page"/>
      </w:r>
    </w:p>
    <w:p>
      <w:pPr>
        <w:pStyle w:val="Heading2"/>
        <w:keepNext/>
        <w:spacing w:after="140" w:before="200" w:line="420"/>
      </w:pPr>
      <w:r>
        <w:rPr>
          <w:rFonts w:ascii="Arial" w:cs="Arial" w:eastAsia="Arial" w:hAnsi="Arial"/>
          <w:b/>
          <w:bCs/>
          <w:color w:val="000000"/>
          <w:sz w:val="34"/>
          <w:szCs w:val="34"/>
        </w:rPr>
        <w:t xml:space="preserve">14 · Repository layout</w:t>
      </w:r>
    </w:p>
    <w:tbl>
      <w:tblPr>
        <w:tblW w:type="dxa" w:w="9360"/>
        <w:tblBorders>
          <w:top w:val="none"/>
          <w:left w:val="single" w:color="D9D9D9" w:sz="18"/>
          <w:bottom w:val="none"/>
          <w:right w:val="none"/>
          <w:insideH w:val="none"/>
          <w:insideV w:val="none"/>
        </w:tblBorders>
      </w:tblPr>
      <w:tblGrid>
        <w:gridCol w:w="9360"/>
      </w:tblGrid>
      <w:tr>
        <w:tc>
          <w:tcPr>
            <w:tcW w:type="dxa" w:w="9360"/>
            <w:shd w:fill="F7F7F7" w:color="auto" w:val="clear"/>
            <w:tcMar>
              <w:top w:type="dxa" w:w="130"/>
              <w:left w:type="dxa" w:w="180"/>
              <w:bottom w:type="dxa" w:w="130"/>
              <w:right w:type="dxa" w:w="140"/>
            </w:tcMar>
          </w:tcPr>
          <w:p>
            <w:pPr>
              <w:spacing w:after="0" w:before="0" w:line="225"/>
            </w:pPr>
            <w:r>
              <w:rPr>
                <w:rFonts w:ascii="Courier New" w:cs="Courier New" w:eastAsia="Courier New" w:hAnsi="Courier New"/>
                <w:b w:val="false"/>
                <w:bCs w:val="false"/>
                <w:i w:val="false"/>
                <w:iCs w:val="false"/>
                <w:caps w:val="false"/>
                <w:color w:val="1A1A1A"/>
                <w:sz w:val="16"/>
                <w:szCs w:val="16"/>
              </w:rPr>
              <w:t xml:space="preserve">aperture-agents/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sops/                      &lt;- YOUR MANUAL, VERBATIM, VERSIONED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|-- 00_intake.md  01_business_xray.md  02_insights.md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`-- 03_analytics.md  04_intelligence.md  05_compass.md  06_atlas.md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aperture/</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intake/    parsers.py  schema_map.py  reconcile.py  geocode.py  gaps.py</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privacy/   detect.py  scrub.py  unscrub.py  policy.yaml</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agents/    base.py  arthur.py  lin.py  marco.py  clara.py  darius.py</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prompts/   *.persona.md  contract.md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tools/     financials.py  profitmap.py  scenario.py  gis.py</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scoring.py  syncpoint.py  render.py</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gates/     checklists.yaml  assert.py</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dispatch/  scope.py  runner.py  state.py</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render/    brand.js  templates/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engagements/&lt;engagement_id&gt;/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raw/           # immutable source files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store.duckdb</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tokens.json    # LOCAL ONLY - git-ignored, never synced</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runs/  artifacts/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fixtures/lumina/   # the golden set</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tests/</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test_isolation.py   # every agent alone, no upstream - BLOCKING</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test_provenance.py  # no uncited figure renders - BLOCKING</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test_scrub.py       # no identifier in any outbound payload - BLOCKING</w:t>
            </w:r>
          </w:p>
          <w:p>
            <w:pPr>
              <w:spacing w:after="0" w:before="0" w:line="225"/>
            </w:pPr>
            <w:r>
              <w:rPr>
                <w:rFonts w:ascii="Courier New" w:cs="Courier New" w:eastAsia="Courier New" w:hAnsi="Courier New"/>
                <w:b w:val="false"/>
                <w:bCs w:val="false"/>
                <w:i w:val="false"/>
                <w:iCs w:val="false"/>
                <w:caps w:val="false"/>
                <w:color w:val="1A1A1A"/>
                <w:sz w:val="16"/>
                <w:szCs w:val="16"/>
              </w:rPr>
              <w:t xml:space="preserve">    `-- test_gates.py       # checklist assertions fire correctly</w:t>
            </w:r>
          </w:p>
        </w:tc>
      </w:tr>
    </w:tbl>
    <w:p>
      <w:r>
        <w:br w:type="page"/>
      </w:r>
    </w:p>
    <w:p>
      <w:pPr>
        <w:pStyle w:val="Heading2"/>
        <w:keepNext/>
        <w:spacing w:after="140" w:before="200" w:line="420"/>
      </w:pPr>
      <w:r>
        <w:rPr>
          <w:rFonts w:ascii="Arial" w:cs="Arial" w:eastAsia="Arial" w:hAnsi="Arial"/>
          <w:b/>
          <w:bCs/>
          <w:color w:val="000000"/>
          <w:sz w:val="34"/>
          <w:szCs w:val="34"/>
        </w:rPr>
        <w:t xml:space="preserve">15 · Build roadmap</w:t>
      </w:r>
    </w:p>
    <w:p>
      <w:pPr>
        <w:spacing w:after="130" w:before="0" w:line="288"/>
      </w:pPr>
      <w:r>
        <w:rPr>
          <w:rFonts w:ascii="Arial" w:cs="Arial" w:eastAsia="Arial" w:hAnsi="Arial"/>
          <w:b w:val="false"/>
          <w:bCs w:val="false"/>
          <w:i w:val="false"/>
          <w:iCs w:val="false"/>
          <w:caps w:val="false"/>
          <w:color w:val="1A1A1A"/>
          <w:sz w:val="21"/>
          <w:szCs w:val="21"/>
        </w:rPr>
        <w:t xml:space="preserve">Standalone-first, SOP-anchored. Nothing is done until it passes its SOP checklist and its isolation test.</w:t>
      </w:r>
    </w:p>
    <w:tbl>
      <w:tblPr>
        <w:tblW w:type="dxa" w:w="9360"/>
        <w:tblBorders>
          <w:top w:val="single" w:color="D9D9D9" w:sz="2"/>
          <w:left w:val="none"/>
          <w:bottom w:val="single" w:color="D9D9D9" w:sz="2"/>
          <w:right w:val="none"/>
          <w:insideH w:val="single" w:color="D9D9D9" w:sz="2"/>
          <w:insideV w:val="none"/>
        </w:tblBorders>
      </w:tblPr>
      <w:tblGrid>
        <w:gridCol w:w="1778"/>
        <w:gridCol w:w="3931"/>
        <w:gridCol w:w="3650"/>
      </w:tblGrid>
      <w:tr>
        <w:trPr>
          <w:tblHeader/>
        </w:trPr>
        <w:tc>
          <w:tcPr>
            <w:tcW w:type="dxa" w:w="1778"/>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Phase</w:t>
            </w:r>
          </w:p>
        </w:tc>
        <w:tc>
          <w:tcPr>
            <w:tcW w:type="dxa" w:w="3931"/>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Build</w:t>
            </w:r>
          </w:p>
        </w:tc>
        <w:tc>
          <w:tcPr>
            <w:tcW w:type="dxa" w:w="365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Done when</w:t>
            </w:r>
          </w:p>
        </w:tc>
      </w:tr>
      <w:tr>
        <w:tc>
          <w:tcPr>
            <w:tcW w:type="dxa" w:w="17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0 · Foundation</w:t>
            </w:r>
          </w:p>
        </w:tc>
        <w:tc>
          <w:tcPr>
            <w:tcW w:type="dxa" w:w="3931"/>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 00 written. sops/ loaded from the manual. Intake Store + parsers + reconcile. Scrub/unscrub built and proven first. Provenance envelope + renderer validator. Gate engine. Lumina fixture.</w:t>
            </w:r>
          </w:p>
        </w:tc>
        <w:tc>
          <w:tcPr>
            <w:tcW w:type="dxa" w:w="365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Lumina’s raw files reconcile with zero manual correction; a value round-trips through scrub with source_ref intact; an uncited figure fails the render.</w:t>
            </w:r>
          </w:p>
        </w:tc>
      </w:tr>
      <w:tr>
        <w:tc>
          <w:tcPr>
            <w:tcW w:type="dxa" w:w="17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 · Lena xray</w:t>
            </w:r>
          </w:p>
        </w:tc>
        <w:tc>
          <w:tcPr>
            <w:tcW w:type="dxa" w:w="3931"/>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 01 end to end. Seven-lens rubric. Aperture Score with versioned weights. Constraint candidates. The report template the other five reuse.</w:t>
            </w:r>
          </w:p>
        </w:tc>
        <w:tc>
          <w:tcPr>
            <w:tcW w:type="dxa" w:w="365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Reproduces 58/100 with the same lens breakdown; surfaces retention unprompted; all seven X-Ray gates pass.</w:t>
            </w:r>
          </w:p>
        </w:tc>
      </w:tr>
      <w:tr>
        <w:tc>
          <w:tcPr>
            <w:tcW w:type="dxa" w:w="17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 · Lena insights</w:t>
            </w:r>
          </w:p>
        </w:tc>
        <w:tc>
          <w:tcPr>
            <w:tcW w:type="dxa" w:w="3931"/>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 02. Pressure-test pack, success_measures[] schema, engagement sequencing.</w:t>
            </w:r>
          </w:p>
        </w:tc>
        <w:tc>
          <w:tcPr>
            <w:tcW w:type="dxa" w:w="365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Extends an existing X-Ray without re-running it; produces success measures with ledger-sourced baselines.</w:t>
            </w:r>
          </w:p>
        </w:tc>
      </w:tr>
      <w:tr>
        <w:tc>
          <w:tcPr>
            <w:tcW w:type="dxa" w:w="17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 · Control plane</w:t>
            </w:r>
          </w:p>
        </w:tc>
        <w:tc>
          <w:tcPr>
            <w:tcW w:type="dxa" w:w="3931"/>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/admin approval queue, artifact diffs, one-click release to /portal.</w:t>
            </w:r>
          </w:p>
        </w:tc>
        <w:tc>
          <w:tcPr>
            <w:tcW w:type="dxa" w:w="365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An X-Ray goes from client upload to client download without a terminal.</w:t>
            </w:r>
          </w:p>
        </w:tc>
      </w:tr>
      <w:tr>
        <w:tc>
          <w:tcPr>
            <w:tcW w:type="dxa" w:w="17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4 · Marcus + Natalie</w:t>
            </w:r>
          </w:p>
        </w:tc>
        <w:tc>
          <w:tcPr>
            <w:tcW w:type="dxa" w:w="3931"/>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 03 and SOP 04 as fully independent agents. Natalie’s geography local-only. Fixture #2 in place.</w:t>
            </w:r>
          </w:p>
        </w:tc>
        <w:tc>
          <w:tcPr>
            <w:tcW w:type="dxa" w:w="365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Each passes in isolation; $4.61M vs $3.75M reproduced; Energy Corridor surfaced; ArcGIS package opens cleanly.</w:t>
            </w:r>
          </w:p>
        </w:tc>
      </w:tr>
      <w:tr>
        <w:tc>
          <w:tcPr>
            <w:tcW w:type="dxa" w:w="17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5 · Aria</w:t>
            </w:r>
          </w:p>
        </w:tc>
        <w:tc>
          <w:tcPr>
            <w:tcW w:type="dxa" w:w="3931"/>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 05 with all three degradation modes and the citation constraint.</w:t>
            </w:r>
          </w:p>
        </w:tc>
        <w:tc>
          <w:tcPr>
            <w:tcW w:type="dxa" w:w="365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Passes both Lumina runs — full-stack and Compass-alone — with no fabricated evidence.</w:t>
            </w:r>
          </w:p>
        </w:tc>
      </w:tr>
      <w:tr>
        <w:tc>
          <w:tcPr>
            <w:tcW w:type="dxa" w:w="1778"/>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6 · Thomas</w:t>
            </w:r>
          </w:p>
        </w:tc>
        <w:tc>
          <w:tcPr>
            <w:tcW w:type="dxa" w:w="3931"/>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SOP 06 hosted and scheduled. KPI definitions from success_measures[]. Re-score with version integrity.</w:t>
            </w:r>
          </w:p>
        </w:tc>
        <w:tc>
          <w:tcPr>
            <w:tcW w:type="dxa" w:w="365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36-month replay flags margin compression in the correct month; a re-score is provably comparable to baseline.</w:t>
            </w:r>
          </w:p>
        </w:tc>
      </w:tr>
      <w:tr>
        <w:tc>
          <w:tcPr>
            <w:tcW w:type="dxa" w:w="1778"/>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7 · Packaging</w:t>
            </w:r>
          </w:p>
        </w:tc>
        <w:tc>
          <w:tcPr>
            <w:tcW w:type="dxa" w:w="3931"/>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Any subset by config. Privacy switch. Unified branding.</w:t>
            </w:r>
          </w:p>
        </w:tc>
        <w:tc>
          <w:tcPr>
            <w:tcW w:type="dxa" w:w="365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An engagement is configured in one file; all outputs look like one product.</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Phases 0–3 are the milestone that matters</w:t>
            </w:r>
          </w:p>
          <w:p>
            <w:pPr>
              <w:spacing w:after="60" w:before="0" w:line="288"/>
            </w:pPr>
            <w:r>
              <w:rPr>
                <w:rFonts w:ascii="Arial" w:cs="Arial" w:eastAsia="Arial" w:hAnsi="Arial"/>
                <w:b w:val="false"/>
                <w:bCs w:val="false"/>
                <w:i w:val="false"/>
                <w:iCs w:val="false"/>
                <w:caps w:val="false"/>
                <w:color w:val="1A1A1A"/>
                <w:sz w:val="20"/>
                <w:szCs w:val="20"/>
              </w:rPr>
              <w:t xml:space="preserve">That is the X-Ray — your most-purchased product — delivered end to end with the standard enforced.</w:t>
            </w:r>
          </w:p>
        </w:tc>
      </w:tr>
    </w:tbl>
    <w:p>
      <w:r>
        <w:br w:type="page"/>
      </w:r>
    </w:p>
    <w:p>
      <w:pPr>
        <w:pStyle w:val="Heading2"/>
        <w:keepNext/>
        <w:spacing w:after="140" w:before="200" w:line="420"/>
      </w:pPr>
      <w:r>
        <w:rPr>
          <w:rFonts w:ascii="Arial" w:cs="Arial" w:eastAsia="Arial" w:hAnsi="Arial"/>
          <w:b/>
          <w:bCs/>
          <w:color w:val="000000"/>
          <w:sz w:val="34"/>
          <w:szCs w:val="34"/>
        </w:rPr>
        <w:t xml:space="preserve">16 · Proposed SOP 00 · Intake &amp; Reconciliation</w:t>
      </w:r>
    </w:p>
    <w:p>
      <w:pPr>
        <w:spacing w:after="130" w:before="0" w:line="288"/>
      </w:pPr>
      <w:r>
        <w:rPr>
          <w:rFonts w:ascii="Arial" w:cs="Arial" w:eastAsia="Arial" w:hAnsi="Arial"/>
          <w:b w:val="false"/>
          <w:bCs w:val="false"/>
          <w:i w:val="false"/>
          <w:iCs w:val="false"/>
          <w:caps w:val="false"/>
          <w:color w:val="1A1A1A"/>
          <w:sz w:val="21"/>
          <w:szCs w:val="21"/>
        </w:rPr>
        <w:t xml:space="preserve">Intake is currently distributed across the manual: X-Ray Step 2, Intelligence Step 1, Atlas Step 2, and the "Inputs required" block of all six chapters. Every one of those is the same procedure with a different filter. Adding this chapter keeps the manual and the system one-to-one.</w:t>
      </w:r>
    </w:p>
    <w:p>
      <w:pPr>
        <w:keepNext/>
        <w:spacing w:after="50" w:before="180" w:line="280"/>
      </w:pPr>
      <w:r>
        <w:rPr>
          <w:rFonts w:ascii="Arial" w:cs="Arial" w:eastAsia="Arial" w:hAnsi="Arial"/>
          <w:b/>
          <w:bCs/>
          <w:color w:val="000000"/>
          <w:sz w:val="21"/>
          <w:szCs w:val="21"/>
        </w:rPr>
        <w:t xml:space="preserve">Objective</w:t>
      </w:r>
    </w:p>
    <w:p>
      <w:pPr>
        <w:spacing w:after="130" w:before="0" w:line="288"/>
      </w:pPr>
      <w:r>
        <w:rPr>
          <w:rFonts w:ascii="Arial" w:cs="Arial" w:eastAsia="Arial" w:hAnsi="Arial"/>
          <w:b w:val="false"/>
          <w:bCs w:val="false"/>
          <w:i w:val="false"/>
          <w:iCs w:val="false"/>
          <w:caps w:val="false"/>
          <w:color w:val="1A1A1A"/>
          <w:sz w:val="21"/>
          <w:szCs w:val="21"/>
        </w:rPr>
        <w:t xml:space="preserve">Turn whatever the client sends into one reconciled dataset that every downstream segment can rely on, and state plainly what is missing.</w:t>
      </w:r>
    </w:p>
    <w:p>
      <w:pPr>
        <w:keepNext/>
        <w:spacing w:after="50" w:before="180" w:line="280"/>
      </w:pPr>
      <w:r>
        <w:rPr>
          <w:rFonts w:ascii="Arial" w:cs="Arial" w:eastAsia="Arial" w:hAnsi="Arial"/>
          <w:b/>
          <w:bCs/>
          <w:color w:val="000000"/>
          <w:sz w:val="21"/>
          <w:szCs w:val="21"/>
        </w:rPr>
        <w:t xml:space="preserve">Deliverable</w:t>
      </w:r>
    </w:p>
    <w:p>
      <w:pPr>
        <w:spacing w:after="130" w:before="0" w:line="288"/>
      </w:pPr>
      <w:r>
        <w:rPr>
          <w:rFonts w:ascii="Arial" w:cs="Arial" w:eastAsia="Arial" w:hAnsi="Arial"/>
          <w:b w:val="false"/>
          <w:bCs w:val="false"/>
          <w:i w:val="false"/>
          <w:iCs w:val="false"/>
          <w:caps w:val="false"/>
          <w:color w:val="1A1A1A"/>
          <w:sz w:val="21"/>
          <w:szCs w:val="21"/>
        </w:rPr>
        <w:t xml:space="preserve">The engagement data store · a Reconciliation Report · a Data Gap Memo.</w:t>
      </w:r>
    </w:p>
    <w:p>
      <w:pPr>
        <w:keepNext/>
        <w:spacing w:after="50" w:before="180" w:line="280"/>
      </w:pPr>
      <w:r>
        <w:rPr>
          <w:rFonts w:ascii="Arial" w:cs="Arial" w:eastAsia="Arial" w:hAnsi="Arial"/>
          <w:b/>
          <w:bCs/>
          <w:color w:val="000000"/>
          <w:sz w:val="21"/>
          <w:szCs w:val="21"/>
        </w:rPr>
        <w:t xml:space="preserve">Step-by-step process</w:t>
      </w:r>
    </w:p>
    <w:tbl>
      <w:tblPr>
        <w:tblW w:type="dxa" w:w="9360"/>
        <w:tblBorders>
          <w:top w:val="single" w:color="D9D9D9" w:sz="2"/>
          <w:left w:val="none"/>
          <w:bottom w:val="single" w:color="D9D9D9" w:sz="2"/>
          <w:right w:val="none"/>
          <w:insideH w:val="single" w:color="D9D9D9" w:sz="2"/>
          <w:insideV w:val="none"/>
        </w:tblBorders>
      </w:tblPr>
      <w:tblGrid>
        <w:gridCol w:w="2434"/>
        <w:gridCol w:w="4680"/>
        <w:gridCol w:w="2246"/>
      </w:tblGrid>
      <w:tr>
        <w:trPr>
          <w:tblHeader/>
        </w:trPr>
        <w:tc>
          <w:tcPr>
            <w:tcW w:type="dxa" w:w="2434"/>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Step</w:t>
            </w:r>
          </w:p>
        </w:tc>
        <w:tc>
          <w:tcPr>
            <w:tcW w:type="dxa" w:w="4680"/>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What happens</w:t>
            </w:r>
          </w:p>
        </w:tc>
        <w:tc>
          <w:tcPr>
            <w:tcW w:type="dxa" w:w="224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Output</w:t>
            </w:r>
          </w:p>
        </w:tc>
      </w:tr>
      <w:tr>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 Inventory &amp; preserve</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Hash and store every source file immutably</w:t>
            </w:r>
          </w:p>
        </w:tc>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Source manifest</w:t>
            </w:r>
          </w:p>
        </w:tc>
      </w:tr>
      <w:tr>
        <w:tc>
          <w:tcPr>
            <w:tcW w:type="dxa" w:w="243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 Parse &amp; map</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Detect structure, map to the canonical schema, record every mapping decision</w:t>
            </w:r>
          </w:p>
        </w:tc>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Mapped tables + mapping log</w:t>
            </w:r>
          </w:p>
        </w:tc>
      </w:tr>
      <w:tr>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 Reconcile</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Transactions → P&amp;L → cash flow → balance sheet; location roll-up to consolidated</w:t>
            </w:r>
          </w:p>
        </w:tc>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Reconciliation Report, variance itemized</w:t>
            </w:r>
          </w:p>
        </w:tc>
      </w:tr>
      <w:tr>
        <w:tc>
          <w:tcPr>
            <w:tcW w:type="dxa" w:w="243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4 Geocode (Intelligence)</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Standardize and validate addresses, geocode, then drop street-level PII</w:t>
            </w:r>
          </w:p>
        </w:tc>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De-identified customer layer</w:t>
            </w:r>
          </w:p>
        </w:tc>
      </w:tr>
      <w:tr>
        <w:tc>
          <w:tcPr>
            <w:tcW w:type="dxa" w:w="2434"/>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5 Scrub</w:t>
            </w:r>
          </w:p>
        </w:tc>
        <w:tc>
          <w:tcPr>
            <w:tcW w:type="dxa" w:w="4680"/>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Generate the engagement token map; tokenize identities</w:t>
            </w:r>
          </w:p>
        </w:tc>
        <w:tc>
          <w:tcPr>
            <w:tcW w:type="dxa" w:w="224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Scrubbed dataset + local token map</w:t>
            </w:r>
          </w:p>
        </w:tc>
      </w:tr>
      <w:tr>
        <w:tc>
          <w:tcPr>
            <w:tcW w:type="dxa" w:w="2434"/>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6 Gap report</w:t>
            </w:r>
          </w:p>
        </w:tc>
        <w:tc>
          <w:tcPr>
            <w:tcW w:type="dxa" w:w="4680"/>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Against the required-fields spec of the modules actually purchased</w:t>
            </w:r>
          </w:p>
        </w:tc>
        <w:tc>
          <w:tcPr>
            <w:tcW w:type="dxa" w:w="224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Data Gap Memo, client-ready</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p>
      <w:pPr>
        <w:keepNext/>
        <w:spacing w:after="50" w:before="180" w:line="280"/>
      </w:pPr>
      <w:r>
        <w:rPr>
          <w:rFonts w:ascii="Arial" w:cs="Arial" w:eastAsia="Arial" w:hAnsi="Arial"/>
          <w:b/>
          <w:bCs/>
          <w:color w:val="000000"/>
          <w:sz w:val="21"/>
          <w:szCs w:val="21"/>
        </w:rPr>
        <w:t xml:space="preserve">Quality checklist</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Revenue and EBITDA tie to the client’s financials within 0.5%; all variance itemized.</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Every mapping decision is recorded and reversible.</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Unmatched or unparsed records are reported, not silently dropped.</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No street-level PII remains in the analysis layer after geocoding.</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No known identifier appears in any outbound payload.</w:t>
      </w:r>
    </w:p>
    <w:p>
      <w:pPr>
        <w:pStyle w:val="ListParagraph"/>
        <w:numPr>
          <w:ilvl w:val="0"/>
          <w:numId w:val="1"/>
        </w:numPr>
        <w:spacing w:after="70" w:before="0" w:line="280"/>
      </w:pPr>
      <w:r>
        <w:rPr>
          <w:rFonts w:ascii="Arial" w:cs="Arial" w:eastAsia="Arial" w:hAnsi="Arial"/>
          <w:b w:val="false"/>
          <w:bCs w:val="false"/>
          <w:i w:val="false"/>
          <w:iCs w:val="false"/>
          <w:caps w:val="false"/>
          <w:color w:val="1A1A1A"/>
          <w:sz w:val="20"/>
          <w:szCs w:val="20"/>
        </w:rPr>
        <w:t xml:space="preserve">Every required field for every purchased module is present or listed in the gap memo.</w:t>
      </w:r>
    </w:p>
    <w:p>
      <w:pPr>
        <w:keepNext/>
        <w:spacing w:after="50" w:before="180" w:line="280"/>
      </w:pPr>
      <w:r>
        <w:rPr>
          <w:rFonts w:ascii="Arial" w:cs="Arial" w:eastAsia="Arial" w:hAnsi="Arial"/>
          <w:b/>
          <w:bCs/>
          <w:color w:val="000000"/>
          <w:sz w:val="21"/>
          <w:szCs w:val="21"/>
        </w:rPr>
        <w:t xml:space="preserve">Handoff</w:t>
      </w:r>
    </w:p>
    <w:p>
      <w:pPr>
        <w:spacing w:after="130" w:before="0" w:line="288"/>
      </w:pPr>
      <w:r>
        <w:rPr>
          <w:rFonts w:ascii="Arial" w:cs="Arial" w:eastAsia="Arial" w:hAnsi="Arial"/>
          <w:b w:val="false"/>
          <w:bCs w:val="false"/>
          <w:i w:val="false"/>
          <w:iCs w:val="false"/>
          <w:caps w:val="false"/>
          <w:color w:val="1A1A1A"/>
          <w:sz w:val="21"/>
          <w:szCs w:val="21"/>
        </w:rPr>
        <w:t xml:space="preserve">Nothing downstream runs until you accept the ledger.</w:t>
      </w:r>
    </w:p>
    <w:p>
      <w:r>
        <w:br w:type="page"/>
      </w:r>
    </w:p>
    <w:p>
      <w:pPr>
        <w:pStyle w:val="Heading2"/>
        <w:keepNext/>
        <w:spacing w:after="140" w:before="200" w:line="420"/>
      </w:pPr>
      <w:r>
        <w:rPr>
          <w:rFonts w:ascii="Arial" w:cs="Arial" w:eastAsia="Arial" w:hAnsi="Arial"/>
          <w:b/>
          <w:bCs/>
          <w:color w:val="000000"/>
          <w:sz w:val="34"/>
          <w:szCs w:val="34"/>
        </w:rPr>
        <w:t xml:space="preserve">17 · What to decide before code</w:t>
      </w:r>
    </w:p>
    <w:tbl>
      <w:tblPr>
        <w:tblW w:type="dxa" w:w="9360"/>
        <w:tblBorders>
          <w:top w:val="single" w:color="D9D9D9" w:sz="2"/>
          <w:left w:val="none"/>
          <w:bottom w:val="single" w:color="D9D9D9" w:sz="2"/>
          <w:right w:val="none"/>
          <w:insideH w:val="single" w:color="D9D9D9" w:sz="2"/>
          <w:insideV w:val="none"/>
        </w:tblBorders>
      </w:tblPr>
      <w:tblGrid>
        <w:gridCol w:w="562"/>
        <w:gridCol w:w="6926"/>
        <w:gridCol w:w="1872"/>
      </w:tblGrid>
      <w:tr>
        <w:trPr>
          <w:tblHeader/>
        </w:trPr>
        <w:tc>
          <w:tcPr>
            <w:tcW w:type="dxa" w:w="56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w:t>
            </w:r>
          </w:p>
        </w:tc>
        <w:tc>
          <w:tcPr>
            <w:tcW w:type="dxa" w:w="6926"/>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Decision</w:t>
            </w:r>
          </w:p>
        </w:tc>
        <w:tc>
          <w:tcPr>
            <w:tcW w:type="dxa" w:w="1872"/>
            <w:shd w:fill="000000" w:color="auto" w:val="clear"/>
            <w:tcMar>
              <w:top w:type="dxa" w:w="90"/>
              <w:left w:type="dxa" w:w="110"/>
              <w:bottom w:type="dxa" w:w="90"/>
              <w:right w:type="dxa" w:w="110"/>
            </w:tcMar>
            <w:vAlign w:val="center"/>
          </w:tcPr>
          <w:p>
            <w:pPr>
              <w:spacing w:after="0" w:before="0" w:line="276"/>
              <w:jc w:val="left"/>
            </w:pPr>
            <w:r>
              <w:rPr>
                <w:rFonts w:ascii="Arial" w:cs="Arial" w:eastAsia="Arial" w:hAnsi="Arial"/>
                <w:b/>
                <w:bCs/>
                <w:i w:val="false"/>
                <w:iCs w:val="false"/>
                <w:caps w:val="false"/>
                <w:color w:val="FFFFFF"/>
                <w:sz w:val="17"/>
                <w:szCs w:val="17"/>
              </w:rPr>
              <w:t xml:space="preserve">Blocks</w:t>
            </w:r>
          </w:p>
        </w:tc>
      </w:tr>
      <w:tr>
        <w:tc>
          <w:tcPr>
            <w:tcW w:type="dxa" w:w="56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1</w:t>
            </w:r>
          </w:p>
        </w:tc>
        <w:tc>
          <w:tcPr>
            <w:tcW w:type="dxa" w:w="692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Aperture Score weights and per-lens criteria. Section 9 has a proposal to react to.</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Phase 1</w:t>
            </w:r>
          </w:p>
        </w:tc>
      </w:tr>
      <w:tr>
        <w:tc>
          <w:tcPr>
            <w:tcW w:type="dxa" w:w="56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2</w:t>
            </w:r>
          </w:p>
        </w:tc>
        <w:tc>
          <w:tcPr>
            <w:tcW w:type="dxa" w:w="692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The seven-lens sub-criteria — 4–6 per lens, each with a scoring band and a required evidence type. This is what makes the score reproducible instead of an opinion with a number attached.</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Phase 1</w:t>
            </w:r>
          </w:p>
        </w:tc>
      </w:tr>
      <w:tr>
        <w:tc>
          <w:tcPr>
            <w:tcW w:type="dxa" w:w="56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3</w:t>
            </w:r>
          </w:p>
        </w:tc>
        <w:tc>
          <w:tcPr>
            <w:tcW w:type="dxa" w:w="692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Adopt SOP 00 · Intake? Draft in Section 16. Keeps the manual and the system one-to-one.</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Documentation</w:t>
            </w:r>
          </w:p>
        </w:tc>
      </w:tr>
      <w:tr>
        <w:tc>
          <w:tcPr>
            <w:tcW w:type="dxa" w:w="56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4</w:t>
            </w:r>
          </w:p>
        </w:tc>
        <w:tc>
          <w:tcPr>
            <w:tcW w:type="dxa" w:w="6926"/>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SyncPoint AI terms — query limits, cost, and redistribution rights for demographic data inside a client deliverable.</w:t>
            </w:r>
          </w:p>
        </w:tc>
        <w:tc>
          <w:tcPr>
            <w:tcW w:type="dxa" w:w="1872"/>
            <w:shd w:fill="F7F7F7" w:color="auto" w:val="clear"/>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Phase 4</w:t>
            </w:r>
          </w:p>
        </w:tc>
      </w:tr>
      <w:tr>
        <w:tc>
          <w:tcPr>
            <w:tcW w:type="dxa" w:w="56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5</w:t>
            </w:r>
          </w:p>
        </w:tc>
        <w:tc>
          <w:tcPr>
            <w:tcW w:type="dxa" w:w="6926"/>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Fixture #2 — recommend a new synthetic company in a different shape (B2B, product, different cost structure) so it lives in CI with no client exposure.</w:t>
            </w:r>
          </w:p>
        </w:tc>
        <w:tc>
          <w:tcPr>
            <w:tcW w:type="dxa" w:w="1872"/>
            <w:tcMar>
              <w:top w:type="dxa" w:w="90"/>
              <w:left w:type="dxa" w:w="110"/>
              <w:bottom w:type="dxa" w:w="90"/>
              <w:right w:type="dxa" w:w="110"/>
            </w:tcMar>
            <w:vAlign w:val="top"/>
          </w:tcPr>
          <w:p>
            <w:pPr>
              <w:spacing w:after="0" w:before="0" w:line="276"/>
              <w:jc w:val="left"/>
            </w:pPr>
            <w:r>
              <w:rPr>
                <w:rFonts w:ascii="Arial" w:cs="Arial" w:eastAsia="Arial" w:hAnsi="Arial"/>
                <w:b w:val="false"/>
                <w:bCs w:val="false"/>
                <w:i w:val="false"/>
                <w:iCs w:val="false"/>
                <w:caps w:val="false"/>
                <w:color w:val="1A1A1A"/>
                <w:sz w:val="18"/>
                <w:szCs w:val="18"/>
              </w:rPr>
              <w:t xml:space="preserve">Phase 4</w:t>
            </w:r>
          </w:p>
        </w:tc>
      </w:tr>
    </w:tbl>
    <w:p>
      <w:pPr>
        <w:spacing w:after="120" w:before="0" w:line="276"/>
      </w:pPr>
      <w:r>
        <w:rPr>
          <w:rFonts w:ascii="Arial" w:cs="Arial" w:eastAsia="Arial" w:hAnsi="Arial"/>
          <w:b w:val="false"/>
          <w:bCs w:val="false"/>
          <w:i w:val="false"/>
          <w:iCs w:val="false"/>
          <w:caps w:val="false"/>
          <w:color w:val="1A1A1A"/>
          <w:sz w:val="21"/>
          <w:szCs w:val="21"/>
        </w:rPr>
        <w:t xml:space="preserve"/>
      </w:r>
    </w:p>
    <w:tbl>
      <w:tblPr>
        <w:tblW w:type="dxa" w:w="9360"/>
        <w:tblBorders>
          <w:top w:val="none"/>
          <w:left w:val="single" w:color="500000" w:sz="24"/>
          <w:bottom w:val="none"/>
          <w:right w:val="none"/>
          <w:insideH w:val="none"/>
          <w:insideV w:val="none"/>
        </w:tblBorders>
      </w:tblPr>
      <w:tblGrid>
        <w:gridCol w:w="9360"/>
      </w:tblGrid>
      <w:tr>
        <w:tc>
          <w:tcPr>
            <w:tcW w:type="dxa" w:w="9360"/>
            <w:shd w:fill="F5F2F2" w:color="auto" w:val="clear"/>
            <w:tcMar>
              <w:top w:type="dxa" w:w="140"/>
              <w:left w:type="dxa" w:w="200"/>
              <w:bottom w:type="dxa" w:w="140"/>
              <w:right w:type="dxa" w:w="180"/>
            </w:tcMar>
          </w:tcPr>
          <w:p>
            <w:pPr>
              <w:spacing w:after="60" w:before="0" w:line="276"/>
            </w:pPr>
            <w:r>
              <w:rPr>
                <w:rFonts w:ascii="Arial" w:cs="Arial" w:eastAsia="Arial" w:hAnsi="Arial"/>
                <w:b/>
                <w:bCs/>
                <w:i w:val="false"/>
                <w:iCs w:val="false"/>
                <w:caps w:val="false"/>
                <w:color w:val="500000"/>
                <w:sz w:val="20"/>
                <w:szCs w:val="20"/>
              </w:rPr>
              <w:t xml:space="preserve">Next session: the seven-lens rubric</w:t>
            </w:r>
          </w:p>
          <w:p>
            <w:pPr>
              <w:spacing w:after="60" w:before="0" w:line="288"/>
            </w:pPr>
            <w:r>
              <w:rPr>
                <w:rFonts w:ascii="Arial" w:cs="Arial" w:eastAsia="Arial" w:hAnsi="Arial"/>
                <w:b w:val="false"/>
                <w:bCs w:val="false"/>
                <w:i w:val="false"/>
                <w:iCs w:val="false"/>
                <w:caps w:val="false"/>
                <w:color w:val="1A1A1A"/>
                <w:sz w:val="20"/>
                <w:szCs w:val="20"/>
              </w:rPr>
              <w:t xml:space="preserve">Bring how you actually score a business today, even if it is in your head — sub-criteria per lens, what evidence you look for, and what a 30 versus a 70 looks like. That single artifact unlocks Lena, and Lena unlocks the rest.</w:t>
            </w:r>
          </w:p>
        </w:tc>
      </w:tr>
    </w:tbl>
    <w:p>
      <w:pPr>
        <w:spacing w:after="240" w:before="0" w:line="276"/>
      </w:pPr>
      <w:r>
        <w:rPr>
          <w:rFonts w:ascii="Arial" w:cs="Arial" w:eastAsia="Arial" w:hAnsi="Arial"/>
          <w:b w:val="false"/>
          <w:bCs w:val="false"/>
          <w:i w:val="false"/>
          <w:iCs w:val="false"/>
          <w:caps w:val="false"/>
          <w:color w:val="1A1A1A"/>
          <w:sz w:val="21"/>
          <w:szCs w:val="21"/>
        </w:rPr>
        <w:t xml:space="preserve"/>
      </w:r>
    </w:p>
    <w:p>
      <w:pPr>
        <w:pBdr>
          <w:bottom w:val="single" w:color="500000" w:sz="14" w:space="2"/>
        </w:pBdr>
        <w:spacing w:after="170" w:before="0" w:line="276"/>
      </w:pPr>
    </w:p>
    <w:p>
      <w:pPr>
        <w:spacing w:after="0" w:before="0" w:line="276"/>
        <w:jc w:val="center"/>
      </w:pPr>
      <w:r>
        <w:rPr>
          <w:rFonts w:ascii="Arial" w:cs="Arial" w:eastAsia="Arial" w:hAnsi="Arial"/>
          <w:b w:val="false"/>
          <w:bCs w:val="false"/>
          <w:i w:val="false"/>
          <w:iCs w:val="false"/>
          <w:caps w:val="false"/>
          <w:color w:val="6B6B6B"/>
          <w:sz w:val="18"/>
          <w:szCs w:val="18"/>
        </w:rPr>
        <w:t xml:space="preserve">The Aperture Method™  ·  Understand · Quantify · Reveal · Navigate · Perform</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76"/>
    </w:pPr>
    <w:r>
      <w:rPr>
        <w:rFonts w:ascii="Arial" w:cs="Arial" w:eastAsia="Arial" w:hAnsi="Arial"/>
        <w:b w:val="false"/>
        <w:bCs w:val="false"/>
        <w:i w:val="false"/>
        <w:iCs w:val="false"/>
        <w:caps w:val="false"/>
        <w:color w:val="1A1A1A"/>
        <w:sz w:val="21"/>
        <w:szCs w:val="21"/>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360"/>
      </w:tabs>
      <w:spacing w:before="60"/>
    </w:pPr>
    <w:r>
      <w:rPr>
        <w:rFonts w:ascii="Arial" w:cs="Arial" w:eastAsia="Arial" w:hAnsi="Arial"/>
        <w:color w:val="6B6B6B"/>
        <w:sz w:val="14"/>
        <w:szCs w:val="14"/>
      </w:rPr>
      <w:t xml:space="preserve">Confidential · Internal build reference</w:t>
    </w:r>
    <w:r>
      <w:rPr>
        <w:rFonts w:ascii="Arial" w:cs="Arial" w:eastAsia="Arial" w:hAnsi="Arial"/>
        <w:color w:val="6B6B6B"/>
        <w:sz w:val="14"/>
        <w:szCs w:val="14"/>
      </w:rPr>
      <w:t xml:space="preserve">	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360"/>
      </w:tabs>
      <w:spacing w:before="60"/>
    </w:pPr>
    <w:r>
      <w:rPr>
        <w:rFonts w:ascii="Arial" w:cs="Arial" w:eastAsia="Arial" w:hAnsi="Arial"/>
        <w:color w:val="6B6B6B"/>
        <w:sz w:val="14"/>
        <w:szCs w:val="14"/>
      </w:rPr>
      <w:t xml:space="preserve">Confidential · Internal build reference</w:t>
    </w:r>
    <w:r>
      <w:rPr>
        <w:rFonts w:ascii="Arial" w:cs="Arial" w:eastAsia="Arial" w:hAnsi="Arial"/>
        <w:color w:val="6B6B6B"/>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pPr>
    <w:r>
      <w:rPr>
        <w:rFonts w:ascii="Arial" w:cs="Arial" w:eastAsia="Arial" w:hAnsi="Arial"/>
        <w:b w:val="false"/>
        <w:bCs w:val="false"/>
        <w:i w:val="false"/>
        <w:iCs w:val="false"/>
        <w:caps w:val="false"/>
        <w:color w:val="1A1A1A"/>
        <w:sz w:val="21"/>
        <w:szCs w:val="2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6"/>
      </w:pBdr>
      <w:tabs>
        <w:tab w:val="right" w:pos="9360"/>
      </w:tabs>
      <w:spacing w:after="120"/>
    </w:pPr>
    <w:r>
      <w:drawing>
        <wp:inline distT="0" distB="0" distL="0" distR="0">
          <wp:extent cx="1524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14300"/>
                  </a:xfrm>
                  <a:prstGeom prst="rect">
                    <a:avLst/>
                  </a:prstGeom>
                </pic:spPr>
              </pic:pic>
            </a:graphicData>
          </a:graphic>
        </wp:inline>
      </w:drawing>
    </w:r>
    <w:r>
      <w:rPr>
        <w:rFonts w:ascii="Arial" w:cs="Arial" w:eastAsia="Arial" w:hAnsi="Arial"/>
        <w:b/>
        <w:bCs/>
        <w:i w:val="false"/>
        <w:iCs w:val="false"/>
        <w:caps/>
        <w:color w:val="500000"/>
        <w:sz w:val="14"/>
        <w:szCs w:val="14"/>
      </w:rPr>
      <w:t xml:space="preserve">  THE APERTURE METHOD™</w:t>
    </w:r>
    <w:r>
      <w:rPr>
        <w:rFonts w:ascii="Arial" w:cs="Arial" w:eastAsia="Arial" w:hAnsi="Arial"/>
        <w:color w:val="6B6B6B"/>
        <w:sz w:val="15"/>
        <w:szCs w:val="15"/>
      </w:rPr>
      <w:t xml:space="preserve">	Agent Build Spec · v5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6"/>
      </w:pBdr>
      <w:tabs>
        <w:tab w:val="right" w:pos="9360"/>
      </w:tabs>
      <w:spacing w:after="120"/>
    </w:pPr>
    <w:r>
      <w:drawing>
        <wp:inline distT="0" distB="0" distL="0" distR="0">
          <wp:extent cx="1524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14300"/>
                  </a:xfrm>
                  <a:prstGeom prst="rect">
                    <a:avLst/>
                  </a:prstGeom>
                </pic:spPr>
              </pic:pic>
            </a:graphicData>
          </a:graphic>
        </wp:inline>
      </w:drawing>
    </w:r>
    <w:r>
      <w:rPr>
        <w:rFonts w:ascii="Arial" w:cs="Arial" w:eastAsia="Arial" w:hAnsi="Arial"/>
        <w:b/>
        <w:bCs/>
        <w:i w:val="false"/>
        <w:iCs w:val="false"/>
        <w:caps/>
        <w:color w:val="500000"/>
        <w:sz w:val="14"/>
        <w:szCs w:val="14"/>
      </w:rPr>
      <w:t xml:space="preserve">  THE APERTURE METHOD™</w:t>
    </w:r>
    <w:r>
      <w:rPr>
        <w:rFonts w:ascii="Arial" w:cs="Arial" w:eastAsia="Arial" w:hAnsi="Arial"/>
        <w:color w:val="6B6B6B"/>
        <w:sz w:val="15"/>
        <w:szCs w:val="15"/>
      </w:rPr>
      <w:t xml:space="preserve">	Agent Build Spec ·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00" w:line="420"/>
    </w:pPr>
    <w:rPr>
      <w:rFonts w:ascii="Arial" w:cs="Arial" w:eastAsia="Arial" w:hAnsi="Arial"/>
      <w:b/>
      <w:bCs/>
      <w:color w:val="000000"/>
      <w:sz w:val="34"/>
      <w:szCs w:val="34"/>
    </w:rPr>
  </w:style>
  <w:style w:type="paragraph" w:styleId="Heading2">
    <w:name w:val="Heading 2"/>
    <w:basedOn w:val="Normal"/>
    <w:next w:val="Normal"/>
    <w:qFormat/>
    <w:pPr>
      <w:spacing w:after="90" w:before="280" w:line="320"/>
    </w:pPr>
    <w:rPr>
      <w:rFonts w:ascii="Arial" w:cs="Arial" w:eastAsia="Arial" w:hAnsi="Arial"/>
      <w:b/>
      <w:bCs/>
      <w:color w:val="000000"/>
      <w:sz w:val="25"/>
      <w:szCs w:val="25"/>
    </w:rPr>
  </w:style>
  <w:style w:type="paragraph" w:styleId="Heading3">
    <w:name w:val="Heading 3"/>
    <w:basedOn w:val="Normal"/>
    <w:next w:val="Normal"/>
    <w:qFormat/>
    <w:pPr>
      <w:spacing w:after="50" w:before="180" w:line="280"/>
    </w:pPr>
    <w:rPr>
      <w:rFonts w:ascii="Arial" w:cs="Arial" w:eastAsia="Arial" w:hAnsi="Arial"/>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60d60fe5ce08182c215feed15555d18788d82986.png"/><Relationship Id="rId14" Type="http://schemas.openxmlformats.org/officeDocument/2006/relationships/image" Target="media/9df8db57eed6f800b49b99c8614d86dcd5ee1bc8.png"/><Relationship Id="rId15" Type="http://schemas.openxmlformats.org/officeDocument/2006/relationships/image" Target="media/49fc4240de66392a8dd18da45d5a50e92519325a.png"/><Relationship Id="rId16" Type="http://schemas.openxmlformats.org/officeDocument/2006/relationships/image" Target="media/3181e5b95ac3d17ba8e2c1325e90678035672def.png"/><Relationship Id="rId17" Type="http://schemas.openxmlformats.org/officeDocument/2006/relationships/image" Target="media/c6b4b399cf63fc2922afcb3c9d2a914b0a5d8151.png"/><Relationship Id="rId18" Type="http://schemas.openxmlformats.org/officeDocument/2006/relationships/image" Target="media/adfdf3bd3fb720ce598f89fad1af7b9f2a352817.png"/><Relationship Id="rId19" Type="http://schemas.openxmlformats.org/officeDocument/2006/relationships/image" Target="media/a03f968b48f1e33d8aaae12424612de4715d4f03.png"/><Relationship Id="rId20" Type="http://schemas.openxmlformats.org/officeDocument/2006/relationships/image" Target="media/85f41720ff7a54f534ba18028ff85418a46d494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78340de8315aa041a2d088a6d882e13da1d08316.png"/></Relationships>
</file>

<file path=word/_rels/header3.xml.rels><?xml version="1.0" encoding="UTF-8"?><Relationships xmlns="http://schemas.openxmlformats.org/package/2006/relationships"><Relationship Id="rId0" Type="http://schemas.openxmlformats.org/officeDocument/2006/relationships/image" Target="media/78340de8315aa041a2d088a6d882e13da1d083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Agent Build Spec v5</dc:title>
  <dc:creator>The Aperture Method</dc:creator>
  <cp:lastModifiedBy>Un-named</cp:lastModifiedBy>
  <cp:revision>1</cp:revision>
  <dcterms:created xsi:type="dcterms:W3CDTF">2026-08-07T17:05:27.739Z</dcterms:created>
  <dcterms:modified xsi:type="dcterms:W3CDTF">2026-08-07T17:05:27.742Z</dcterms:modified>
</cp:coreProperties>
</file>

<file path=docProps/custom.xml><?xml version="1.0" encoding="utf-8"?>
<Properties xmlns="http://schemas.openxmlformats.org/officeDocument/2006/custom-properties" xmlns:vt="http://schemas.openxmlformats.org/officeDocument/2006/docPropsVTypes"/>
</file>