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</w:pPr>
      <w:r>
        <w:drawing>
          <wp:inline distT="0" distB="0" distL="0" distR="0">
            <wp:extent cx="2209800" cy="257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09800" cy="257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80" w:before="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1"/>
          <w:szCs w:val="21"/>
        </w:rPr>
        <w:t xml:space="preserve"/>
      </w:r>
    </w:p>
    <w:p>
      <w:pPr>
        <w:spacing w:after="50" w:before="0" w:line="276"/>
      </w:pPr>
      <w:r>
        <w:rPr>
          <w:rFonts w:ascii="Arial" w:cs="Arial" w:eastAsia="Arial" w:hAnsi="Arial"/>
          <w:b/>
          <w:bCs/>
          <w:i w:val="false"/>
          <w:iCs w:val="false"/>
          <w:caps/>
          <w:color w:val="500000"/>
          <w:sz w:val="17"/>
          <w:szCs w:val="17"/>
        </w:rPr>
        <w:t xml:space="preserve">AGENT WORKFLOW MAP  ·  COMPANION TO THE BUILD SPEC</w:t>
      </w:r>
    </w:p>
    <w:p>
      <w:pPr>
        <w:spacing w:after="120" w:before="240" w:line="68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000000"/>
          <w:sz w:val="58"/>
          <w:szCs w:val="58"/>
        </w:rPr>
        <w:t xml:space="preserve">How an engagement runs</w:t>
      </w:r>
    </w:p>
    <w:p>
      <w:pPr>
        <w:spacing w:after="200" w:before="0" w:line="36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B6B"/>
          <w:sz w:val="26"/>
          <w:szCs w:val="26"/>
        </w:rPr>
        <w:t xml:space="preserve">What runs, what it produces, who does it, and when</w:t>
      </w:r>
    </w:p>
    <w:p>
      <w:pPr>
        <w:pBdr>
          <w:bottom w:val="single" w:color="500000" w:sz="14" w:space="2"/>
        </w:pBdr>
        <w:spacing w:after="170" w:before="0" w:line="276"/>
      </w:pPr>
    </w:p>
    <w:p>
      <w:pPr>
        <w:spacing w:after="120" w:before="0" w:line="276"/>
      </w:pPr>
      <w:r>
        <w:rPr>
          <w:rFonts w:ascii="Arial" w:cs="Arial" w:eastAsia="Arial" w:hAnsi="Arial"/>
          <w:b w:val="false"/>
          <w:bCs w:val="false"/>
          <w:i/>
          <w:iCs/>
          <w:caps w:val="false"/>
          <w:color w:val="6B6B6B"/>
          <w:sz w:val="20"/>
          <w:szCs w:val="20"/>
        </w:rPr>
        <w:t xml:space="preserve">The question this answers:  </w:t>
      </w:r>
      <w:r>
        <w:rPr>
          <w:rFonts w:ascii="Arial" w:cs="Arial" w:eastAsia="Arial" w:hAnsi="Arial"/>
          <w:b/>
          <w:bCs/>
          <w:i/>
          <w:iCs/>
          <w:caps w:val="false"/>
          <w:color w:val="500000"/>
          <w:sz w:val="20"/>
          <w:szCs w:val="20"/>
        </w:rPr>
        <w:t xml:space="preserve">A client buys one module, a few, or all five — in any order. What actually happens in each case?</w:t>
      </w:r>
    </w:p>
    <w:p>
      <w:pPr>
        <w:spacing w:after="480" w:before="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1"/>
          <w:szCs w:val="21"/>
        </w:rPr>
        <w:t xml:space="preserve"/>
      </w:r>
    </w:p>
    <w:p>
      <w:pPr>
        <w:spacing w:after="30" w:before="0" w:line="276"/>
      </w:pPr>
      <w:r>
        <w:rPr>
          <w:rFonts w:ascii="Arial" w:cs="Arial" w:eastAsia="Arial" w:hAnsi="Arial"/>
          <w:b/>
          <w:bCs/>
          <w:i w:val="false"/>
          <w:iCs w:val="false"/>
          <w:caps/>
          <w:color w:val="500000"/>
          <w:sz w:val="15"/>
          <w:szCs w:val="15"/>
        </w:rPr>
        <w:t xml:space="preserve">PREPARED FOR</w:t>
      </w:r>
    </w:p>
    <w:p>
      <w:pPr>
        <w:spacing w:after="20" w:before="0" w:line="276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000000"/>
          <w:sz w:val="26"/>
          <w:szCs w:val="26"/>
        </w:rPr>
        <w:t xml:space="preserve">Fenwick How</w:t>
      </w:r>
    </w:p>
    <w:p>
      <w:pPr>
        <w:spacing w:after="120" w:before="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B6B"/>
          <w:sz w:val="19"/>
          <w:szCs w:val="19"/>
        </w:rPr>
        <w:t xml:space="preserve">Founder, The Aperture Method</w:t>
      </w:r>
    </w:p>
    <w:p>
      <w:pPr>
        <w:spacing w:after="20" w:before="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19"/>
          <w:szCs w:val="19"/>
        </w:rPr>
        <w:t xml:space="preserve">August 7, 2026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9A9A9A"/>
          <w:sz w:val="19"/>
          <w:szCs w:val="19"/>
        </w:rPr>
        <w:t xml:space="preserve">     ·   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19"/>
          <w:szCs w:val="19"/>
        </w:rPr>
        <w:t xml:space="preserve">Anchored to Method SOPs v1.0</w:t>
      </w:r>
    </w:p>
    <w:p>
      <w:pPr>
        <w:spacing w:after="360" w:before="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1"/>
          <w:szCs w:val="21"/>
        </w:rPr>
        <w:t xml:space="preserve"/>
      </w:r>
    </w:p>
    <w:p>
      <w:pPr>
        <w:pBdr>
          <w:top w:val="single" w:color="D9D9D9" w:sz="6" w:space="2"/>
        </w:pBdr>
        <w:spacing w:after="60" w:before="0" w:line="276"/>
      </w:pPr>
    </w:p>
    <w:p>
      <w:pPr>
        <w:spacing w:after="0" w:before="0" w:line="25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500000"/>
          <w:sz w:val="15"/>
          <w:szCs w:val="15"/>
        </w:rPr>
        <w:t xml:space="preserve">COMPANION DOCUMENT 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B6B"/>
          <w:sz w:val="15"/>
          <w:szCs w:val="15"/>
        </w:rPr>
        <w:t xml:space="preserve">The one-page overview of the system. The full technical build specification is in “Aperture Method — Agent Build Spec.” An interactive version of this map is also saved as a browser page in the same folder.</w:t>
      </w:r>
    </w:p>
    <w:p>
      <w:pPr>
        <w:sectPr>
          <w:headerReference w:type="default" r:id="rId7"/>
          <w:footerReference w:type="default" r:id="rId8"/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2"/>
        <w:keepNext/>
        <w:spacing w:after="140" w:before="200" w:line="420"/>
      </w:pPr>
      <w:r>
        <w:rPr>
          <w:rFonts w:ascii="Arial" w:cs="Arial" w:eastAsia="Arial" w:hAnsi="Arial"/>
          <w:b/>
          <w:bCs/>
          <w:color w:val="000000"/>
          <w:sz w:val="34"/>
          <w:szCs w:val="34"/>
        </w:rPr>
        <w:t xml:space="preserve">The shape of it</w:t>
      </w:r>
    </w:p>
    <w:p>
      <w:pPr>
        <w:spacing w:after="170" w:before="0" w:line="30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4"/>
          <w:szCs w:val="24"/>
        </w:rPr>
        <w:t xml:space="preserve">Human-led, AI-enabled. Fenwick How at the helm, five specialist AI agents, one shared data foundation.</w:t>
      </w:r>
    </w:p>
    <w:p>
      <w:pPr>
        <w:spacing w:after="130" w:before="0" w:line="288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1"/>
          <w:szCs w:val="21"/>
        </w:rPr>
        <w:t xml:space="preserve">Every engagement starts with intake — one reconciled dataset that every agent reads directly. No agent depends on another having run. When several are purchased they enrich each other; none of them requires the others. Agents produce findings and artifacts; the recommendation and the call stay human.</w:t>
      </w:r>
    </w:p>
    <w:p>
      <w:pPr>
        <w:spacing w:after="120" w:before="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1"/>
          <w:szCs w:val="21"/>
        </w:rPr>
        <w:t xml:space="preserve"/>
      </w:r>
    </w:p>
    <w:tbl>
      <w:tblPr>
        <w:tblW w:type="dxa" w:w="9360"/>
        <w:tblBorders>
          <w:top w:val="single" w:color="D9D9D9" w:sz="2"/>
          <w:left w:val="none"/>
          <w:bottom w:val="single" w:color="D9D9D9" w:sz="2"/>
          <w:right w:val="none"/>
          <w:insideH w:val="single" w:color="D9D9D9" w:sz="2"/>
          <w:insideV w:val="none"/>
        </w:tblBorders>
      </w:tblPr>
      <w:tblGrid>
        <w:gridCol w:w="1498"/>
        <w:gridCol w:w="7862"/>
      </w:tblGrid>
      <w:tr>
        <w:trPr>
          <w:tblHeader/>
        </w:trPr>
        <w:tc>
          <w:tcPr>
            <w:tcW w:type="dxa" w:w="1498"/>
            <w:shd w:fill="000000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tcW w:type="dxa" w:w="7862"/>
            <w:shd w:fill="000000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What it means</w:t>
            </w:r>
          </w:p>
        </w:tc>
      </w:tr>
      <w:tr>
        <w:tc>
          <w:tcPr>
            <w:tcW w:type="dxa" w:w="1498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Fenwick first</w:t>
            </w:r>
          </w:p>
        </w:tc>
        <w:tc>
          <w:tcPr>
            <w:tcW w:type="dxa" w:w="7862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Intake and acceptance start every engagement. Nothing downstream runs until he accepts the reconciled ledger.</w:t>
            </w:r>
          </w:p>
        </w:tc>
      </w:tr>
      <w:tr>
        <w:tc>
          <w:tcPr>
            <w:tcW w:type="dxa" w:w="1498"/>
            <w:shd w:fill="F7F7F7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6 SOPs</w:t>
            </w:r>
          </w:p>
        </w:tc>
        <w:tc>
          <w:tcPr>
            <w:tcW w:type="dxa" w:w="7862"/>
            <w:shd w:fill="F7F7F7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Each a self-contained piece of work with its own objective, inputs, steps, and quality checklist.</w:t>
            </w:r>
          </w:p>
        </w:tc>
      </w:tr>
      <w:tr>
        <w:tc>
          <w:tcPr>
            <w:tcW w:type="dxa" w:w="1498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5 components</w:t>
            </w:r>
          </w:p>
        </w:tc>
        <w:tc>
          <w:tcPr>
            <w:tcW w:type="dxa" w:w="7862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Purchasable individually — Insights, Analytics, Intelligence, Compass, Atlas — plus the Business X-Ray wedge.</w:t>
            </w:r>
          </w:p>
        </w:tc>
      </w:tr>
      <w:tr>
        <w:tc>
          <w:tcPr>
            <w:tcW w:type="dxa" w:w="1498"/>
            <w:shd w:fill="F7F7F7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1 intake store</w:t>
            </w:r>
          </w:p>
        </w:tc>
        <w:tc>
          <w:tcPr>
            <w:tcW w:type="dxa" w:w="7862"/>
            <w:shd w:fill="F7F7F7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The foundation. Every agent reads it directly; no agent reads another agent’s output as a dependency.</w:t>
            </w:r>
          </w:p>
        </w:tc>
      </w:tr>
      <w:tr>
        <w:tc>
          <w:tcPr>
            <w:tcW w:type="dxa" w:w="1498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100% reviewed</w:t>
            </w:r>
          </w:p>
        </w:tc>
        <w:tc>
          <w:tcPr>
            <w:tcW w:type="dxa" w:w="7862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Nothing reaches a client without an explicit human release, recorded with person, timestamp, and diff.</w:t>
            </w:r>
          </w:p>
        </w:tc>
      </w:tr>
    </w:tbl>
    <w:p>
      <w:r>
        <w:br w:type="page"/>
      </w:r>
    </w:p>
    <w:p>
      <w:pPr>
        <w:pStyle w:val="Heading2"/>
        <w:keepNext/>
        <w:spacing w:after="140" w:before="200" w:line="420"/>
      </w:pPr>
      <w:r>
        <w:rPr>
          <w:rFonts w:ascii="Arial" w:cs="Arial" w:eastAsia="Arial" w:hAnsi="Arial"/>
          <w:b/>
          <w:bCs/>
          <w:color w:val="000000"/>
          <w:sz w:val="34"/>
          <w:szCs w:val="34"/>
        </w:rPr>
        <w:t xml:space="preserve">What a client buys</w:t>
      </w:r>
    </w:p>
    <w:p>
      <w:pPr>
        <w:spacing w:after="130" w:before="0" w:line="288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1"/>
          <w:szCs w:val="21"/>
        </w:rPr>
        <w:t xml:space="preserve">The Business X-Ray is where most clients start, but any component can be bought alone, in any order. This is what happens in each case.</w:t>
      </w:r>
    </w:p>
    <w:tbl>
      <w:tblPr>
        <w:tblW w:type="dxa" w:w="9360"/>
        <w:tblBorders>
          <w:top w:val="single" w:color="D9D9D9" w:sz="2"/>
          <w:left w:val="none"/>
          <w:bottom w:val="single" w:color="D9D9D9" w:sz="2"/>
          <w:right w:val="none"/>
          <w:insideH w:val="single" w:color="D9D9D9" w:sz="2"/>
          <w:insideV w:val="none"/>
        </w:tblBorders>
      </w:tblPr>
      <w:tblGrid>
        <w:gridCol w:w="2246"/>
        <w:gridCol w:w="2434"/>
        <w:gridCol w:w="4680"/>
      </w:tblGrid>
      <w:tr>
        <w:trPr>
          <w:tblHeader/>
        </w:trPr>
        <w:tc>
          <w:tcPr>
            <w:tcW w:type="dxa" w:w="2246"/>
            <w:shd w:fill="000000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Purchase path</w:t>
            </w:r>
          </w:p>
        </w:tc>
        <w:tc>
          <w:tcPr>
            <w:tcW w:type="dxa" w:w="2434"/>
            <w:shd w:fill="000000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What runs</w:t>
            </w:r>
          </w:p>
        </w:tc>
        <w:tc>
          <w:tcPr>
            <w:tcW w:type="dxa" w:w="4680"/>
            <w:shd w:fill="000000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What the client gets</w:t>
            </w:r>
          </w:p>
        </w:tc>
      </w:tr>
      <w:tr>
        <w:tc>
          <w:tcPr>
            <w:tcW w:type="dxa" w:w="2246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Business X-Ray only</w:t>
            </w:r>
          </w:p>
        </w:tc>
        <w:tc>
          <w:tcPr>
            <w:tcW w:type="dxa" w:w="2434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SOP 01</w:t>
            </w:r>
          </w:p>
        </w:tc>
        <w:tc>
          <w:tcPr>
            <w:tcW w:type="dxa" w:w="4680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The wedge, and where most clients start. Fixed fee, 2–3 weeks, low risk. A real prioritized diagnosis ending in a prescription — which components would move the needle, and in what order. Nothing else is required.</w:t>
            </w:r>
          </w:p>
        </w:tc>
      </w:tr>
      <w:tr>
        <w:tc>
          <w:tcPr>
            <w:tcW w:type="dxa" w:w="2246"/>
            <w:shd w:fill="F7F7F7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One component — Analytics</w:t>
            </w:r>
          </w:p>
        </w:tc>
        <w:tc>
          <w:tcPr>
            <w:tcW w:type="dxa" w:w="2434"/>
            <w:shd w:fill="F7F7F7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SOP 03</w:t>
            </w:r>
          </w:p>
        </w:tc>
        <w:tc>
          <w:tcPr>
            <w:tcW w:type="dxa" w:w="4680"/>
            <w:shd w:fill="F7F7F7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Marcus reads intake directly and delivers a complete Profit Map and scenario model. With no owner-validated constraint from Insights, he derives a working hypothesis from the financials and labels it as derived.</w:t>
            </w:r>
          </w:p>
        </w:tc>
      </w:tr>
      <w:tr>
        <w:tc>
          <w:tcPr>
            <w:tcW w:type="dxa" w:w="2246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One component — Intelligence</w:t>
            </w:r>
          </w:p>
        </w:tc>
        <w:tc>
          <w:tcPr>
            <w:tcW w:type="dxa" w:w="2434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SOP 04</w:t>
            </w:r>
          </w:p>
        </w:tc>
        <w:tc>
          <w:tcPr>
            <w:tcW w:type="dxa" w:w="4680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Natalie runs the whole spatial arc from intake — geocode, segment, trade areas, penetration, site selection — and delivers the map plus a load-and-go ArcGIS package. Framed as where demand is, rather than what to do.</w:t>
            </w:r>
          </w:p>
        </w:tc>
      </w:tr>
      <w:tr>
        <w:tc>
          <w:tcPr>
            <w:tcW w:type="dxa" w:w="2246"/>
            <w:shd w:fill="F7F7F7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A few — X-Ray + Analytics + Compass</w:t>
            </w:r>
          </w:p>
        </w:tc>
        <w:tc>
          <w:tcPr>
            <w:tcW w:type="dxa" w:w="2434"/>
            <w:shd w:fill="F7F7F7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SOP 01, 03, 05</w:t>
            </w:r>
          </w:p>
        </w:tc>
        <w:tc>
          <w:tcPr>
            <w:tcW w:type="dxa" w:w="4680"/>
            <w:shd w:fill="F7F7F7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A common partial path. The X-Ray names the constraint, Analytics quantifies the money, Compass sequences the moves. Aria scores what is evidenced and lists what would need Intelligence to resolve.</w:t>
            </w:r>
          </w:p>
        </w:tc>
      </w:tr>
      <w:tr>
        <w:tc>
          <w:tcPr>
            <w:tcW w:type="dxa" w:w="2246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Full Method</w:t>
            </w:r>
          </w:p>
        </w:tc>
        <w:tc>
          <w:tcPr>
            <w:tcW w:type="dxa" w:w="2434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SOP 01–06</w:t>
            </w:r>
          </w:p>
        </w:tc>
        <w:tc>
          <w:tcPr>
            <w:tcW w:type="dxa" w:w="4680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The complete arc. Roughly 10–14 weeks to the Focus Plan, then ongoing. Analytics and Intelligence run in parallel.</w:t>
            </w:r>
          </w:p>
        </w:tc>
      </w:tr>
      <w:tr>
        <w:tc>
          <w:tcPr>
            <w:tcW w:type="dxa" w:w="2246"/>
            <w:shd w:fill="F7F7F7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Atlas subscription only</w:t>
            </w:r>
          </w:p>
        </w:tc>
        <w:tc>
          <w:tcPr>
            <w:tcW w:type="dxa" w:w="2434"/>
            <w:shd w:fill="F7F7F7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SOP 06</w:t>
            </w:r>
          </w:p>
        </w:tc>
        <w:tc>
          <w:tcPr>
            <w:tcW w:type="dxa" w:w="4680"/>
            <w:shd w:fill="F7F7F7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Underrated. A client can subscribe to the Scoreboard without ever buying an engagement — Thomas baselines on their own stated goals, establishes period zero, and runs the monthly cadence.</w:t>
            </w:r>
          </w:p>
        </w:tc>
      </w:tr>
    </w:tbl>
    <w:p>
      <w:r>
        <w:br w:type="page"/>
      </w:r>
    </w:p>
    <w:p>
      <w:pPr>
        <w:pStyle w:val="Heading2"/>
        <w:keepNext/>
        <w:spacing w:after="140" w:before="200" w:line="420"/>
      </w:pPr>
      <w:r>
        <w:rPr>
          <w:rFonts w:ascii="Arial" w:cs="Arial" w:eastAsia="Arial" w:hAnsi="Arial"/>
          <w:b/>
          <w:bCs/>
          <w:color w:val="000000"/>
          <w:sz w:val="34"/>
          <w:szCs w:val="34"/>
        </w:rPr>
        <w:t xml:space="preserve">The arc</w:t>
      </w:r>
    </w:p>
    <w:tbl>
      <w:tblPr>
        <w:tblW w:type="dxa" w:w="9360"/>
        <w:tblBorders>
          <w:top w:val="single" w:color="D9D9D9" w:sz="2"/>
          <w:left w:val="none"/>
          <w:bottom w:val="single" w:color="D9D9D9" w:sz="2"/>
          <w:right w:val="none"/>
          <w:insideH w:val="single" w:color="D9D9D9" w:sz="2"/>
          <w:insideV w:val="none"/>
        </w:tblBorders>
      </w:tblPr>
      <w:tblGrid>
        <w:gridCol w:w="1498"/>
        <w:gridCol w:w="1404"/>
        <w:gridCol w:w="1217"/>
        <w:gridCol w:w="2246"/>
        <w:gridCol w:w="1872"/>
        <w:gridCol w:w="1123"/>
      </w:tblGrid>
      <w:tr>
        <w:trPr>
          <w:tblHeader/>
        </w:trPr>
        <w:tc>
          <w:tcPr>
            <w:tcW w:type="dxa" w:w="1498"/>
            <w:shd w:fill="000000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SOP</w:t>
            </w:r>
          </w:p>
        </w:tc>
        <w:tc>
          <w:tcPr>
            <w:tcW w:type="dxa" w:w="1404"/>
            <w:shd w:fill="000000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Segment</w:t>
            </w:r>
          </w:p>
        </w:tc>
        <w:tc>
          <w:tcPr>
            <w:tcW w:type="dxa" w:w="1217"/>
            <w:shd w:fill="000000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Owner</w:t>
            </w:r>
          </w:p>
        </w:tc>
        <w:tc>
          <w:tcPr>
            <w:tcW w:type="dxa" w:w="2246"/>
            <w:shd w:fill="000000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The question it answers</w:t>
            </w:r>
          </w:p>
        </w:tc>
        <w:tc>
          <w:tcPr>
            <w:tcW w:type="dxa" w:w="1872"/>
            <w:shd w:fill="000000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Deliverable</w:t>
            </w:r>
          </w:p>
        </w:tc>
        <w:tc>
          <w:tcPr>
            <w:tcW w:type="dxa" w:w="1123"/>
            <w:shd w:fill="000000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Duration</w:t>
            </w:r>
          </w:p>
        </w:tc>
      </w:tr>
      <w:tr>
        <w:tc>
          <w:tcPr>
            <w:tcW w:type="dxa" w:w="1498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00 Intake &amp; Acceptance</w:t>
            </w:r>
          </w:p>
        </w:tc>
        <w:tc>
          <w:tcPr>
            <w:tcW w:type="dxa" w:w="1404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Prerequisite</w:t>
            </w:r>
          </w:p>
        </w:tc>
        <w:tc>
          <w:tcPr>
            <w:tcW w:type="dxa" w:w="1217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Fenwick</w:t>
            </w:r>
          </w:p>
        </w:tc>
        <w:tc>
          <w:tcPr>
            <w:tcW w:type="dxa" w:w="2246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“Do the numbers tie, and what is missing?”</w:t>
            </w:r>
          </w:p>
        </w:tc>
        <w:tc>
          <w:tcPr>
            <w:tcW w:type="dxa" w:w="1872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Reconciled data store + Gap Memo</w:t>
            </w:r>
          </w:p>
        </w:tc>
        <w:tc>
          <w:tcPr>
            <w:tcW w:type="dxa" w:w="1123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Continuous</w:t>
            </w:r>
          </w:p>
        </w:tc>
      </w:tr>
      <w:tr>
        <w:tc>
          <w:tcPr>
            <w:tcW w:type="dxa" w:w="1498"/>
            <w:shd w:fill="F7F7F7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01 Business X-Ray</w:t>
            </w:r>
          </w:p>
        </w:tc>
        <w:tc>
          <w:tcPr>
            <w:tcW w:type="dxa" w:w="1404"/>
            <w:shd w:fill="F7F7F7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Entry / wedge</w:t>
            </w:r>
          </w:p>
        </w:tc>
        <w:tc>
          <w:tcPr>
            <w:tcW w:type="dxa" w:w="1217"/>
            <w:shd w:fill="F7F7F7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Lena (AI)</w:t>
            </w:r>
          </w:p>
        </w:tc>
        <w:tc>
          <w:tcPr>
            <w:tcW w:type="dxa" w:w="2246"/>
            <w:shd w:fill="F7F7F7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“Where do we stand, and what do we fix first?”</w:t>
            </w:r>
          </w:p>
        </w:tc>
        <w:tc>
          <w:tcPr>
            <w:tcW w:type="dxa" w:w="1872"/>
            <w:shd w:fill="F7F7F7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X-Ray report + Aperture Score</w:t>
            </w:r>
          </w:p>
        </w:tc>
        <w:tc>
          <w:tcPr>
            <w:tcW w:type="dxa" w:w="1123"/>
            <w:shd w:fill="F7F7F7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2–3 wk</w:t>
            </w:r>
          </w:p>
        </w:tc>
      </w:tr>
      <w:tr>
        <w:tc>
          <w:tcPr>
            <w:tcW w:type="dxa" w:w="1498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02 Aperture Insights</w:t>
            </w:r>
          </w:p>
        </w:tc>
        <w:tc>
          <w:tcPr>
            <w:tcW w:type="dxa" w:w="1404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01 · Understand</w:t>
            </w:r>
          </w:p>
        </w:tc>
        <w:tc>
          <w:tcPr>
            <w:tcW w:type="dxa" w:w="1217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Lena (AI)</w:t>
            </w:r>
          </w:p>
        </w:tc>
        <w:tc>
          <w:tcPr>
            <w:tcW w:type="dxa" w:w="2246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“What is happening?”</w:t>
            </w:r>
          </w:p>
        </w:tc>
        <w:tc>
          <w:tcPr>
            <w:tcW w:type="dxa" w:w="1872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Validated constraint, success measures, plan</w:t>
            </w:r>
          </w:p>
        </w:tc>
        <w:tc>
          <w:tcPr>
            <w:tcW w:type="dxa" w:w="1123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2–3 wk</w:t>
            </w:r>
          </w:p>
        </w:tc>
      </w:tr>
      <w:tr>
        <w:tc>
          <w:tcPr>
            <w:tcW w:type="dxa" w:w="1498"/>
            <w:shd w:fill="F7F7F7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03 Aperture Analytics</w:t>
            </w:r>
          </w:p>
        </w:tc>
        <w:tc>
          <w:tcPr>
            <w:tcW w:type="dxa" w:w="1404"/>
            <w:shd w:fill="F7F7F7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02 · Quantify</w:t>
            </w:r>
          </w:p>
        </w:tc>
        <w:tc>
          <w:tcPr>
            <w:tcW w:type="dxa" w:w="1217"/>
            <w:shd w:fill="F7F7F7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Marcus (AI)</w:t>
            </w:r>
          </w:p>
        </w:tc>
        <w:tc>
          <w:tcPr>
            <w:tcW w:type="dxa" w:w="2246"/>
            <w:shd w:fill="F7F7F7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“Why is it happening?”</w:t>
            </w:r>
          </w:p>
        </w:tc>
        <w:tc>
          <w:tcPr>
            <w:tcW w:type="dxa" w:w="1872"/>
            <w:shd w:fill="F7F7F7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Profit Map + scenario model</w:t>
            </w:r>
          </w:p>
        </w:tc>
        <w:tc>
          <w:tcPr>
            <w:tcW w:type="dxa" w:w="1123"/>
            <w:shd w:fill="F7F7F7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3–4 wk</w:t>
            </w:r>
          </w:p>
        </w:tc>
      </w:tr>
      <w:tr>
        <w:tc>
          <w:tcPr>
            <w:tcW w:type="dxa" w:w="1498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04 Aperture Intelligence</w:t>
            </w:r>
          </w:p>
        </w:tc>
        <w:tc>
          <w:tcPr>
            <w:tcW w:type="dxa" w:w="1404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03 · Reveal</w:t>
            </w:r>
          </w:p>
        </w:tc>
        <w:tc>
          <w:tcPr>
            <w:tcW w:type="dxa" w:w="1217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Natalie (AI)</w:t>
            </w:r>
          </w:p>
        </w:tc>
        <w:tc>
          <w:tcPr>
            <w:tcW w:type="dxa" w:w="2246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“What opportunities does it reveal?”</w:t>
            </w:r>
          </w:p>
        </w:tc>
        <w:tc>
          <w:tcPr>
            <w:tcW w:type="dxa" w:w="1872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Customer &amp; Market Map + ArcGIS package</w:t>
            </w:r>
          </w:p>
        </w:tc>
        <w:tc>
          <w:tcPr>
            <w:tcW w:type="dxa" w:w="1123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2–3 wk</w:t>
            </w:r>
          </w:p>
        </w:tc>
      </w:tr>
      <w:tr>
        <w:tc>
          <w:tcPr>
            <w:tcW w:type="dxa" w:w="1498"/>
            <w:shd w:fill="F7F7F7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05 Aperture Compass</w:t>
            </w:r>
          </w:p>
        </w:tc>
        <w:tc>
          <w:tcPr>
            <w:tcW w:type="dxa" w:w="1404"/>
            <w:shd w:fill="F7F7F7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04 · Navigate</w:t>
            </w:r>
          </w:p>
        </w:tc>
        <w:tc>
          <w:tcPr>
            <w:tcW w:type="dxa" w:w="1217"/>
            <w:shd w:fill="F7F7F7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Aria (AI)</w:t>
            </w:r>
          </w:p>
        </w:tc>
        <w:tc>
          <w:tcPr>
            <w:tcW w:type="dxa" w:w="2246"/>
            <w:shd w:fill="F7F7F7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“Where should we go next?”</w:t>
            </w:r>
          </w:p>
        </w:tc>
        <w:tc>
          <w:tcPr>
            <w:tcW w:type="dxa" w:w="1872"/>
            <w:shd w:fill="F7F7F7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Opportunity Matrix + Focus Plan</w:t>
            </w:r>
          </w:p>
        </w:tc>
        <w:tc>
          <w:tcPr>
            <w:tcW w:type="dxa" w:w="1123"/>
            <w:shd w:fill="F7F7F7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1–2 wk</w:t>
            </w:r>
          </w:p>
        </w:tc>
      </w:tr>
      <w:tr>
        <w:tc>
          <w:tcPr>
            <w:tcW w:type="dxa" w:w="1498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06 Aperture Atlas</w:t>
            </w:r>
          </w:p>
        </w:tc>
        <w:tc>
          <w:tcPr>
            <w:tcW w:type="dxa" w:w="1404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05 · Perform</w:t>
            </w:r>
          </w:p>
        </w:tc>
        <w:tc>
          <w:tcPr>
            <w:tcW w:type="dxa" w:w="1217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Thomas (AI)</w:t>
            </w:r>
          </w:p>
        </w:tc>
        <w:tc>
          <w:tcPr>
            <w:tcW w:type="dxa" w:w="2246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“How do we sustain and improve results?”</w:t>
            </w:r>
          </w:p>
        </w:tc>
        <w:tc>
          <w:tcPr>
            <w:tcW w:type="dxa" w:w="1872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Live Scoreboard + KPI system</w:t>
            </w:r>
          </w:p>
        </w:tc>
        <w:tc>
          <w:tcPr>
            <w:tcW w:type="dxa" w:w="1123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Ongoing</w:t>
            </w:r>
          </w:p>
        </w:tc>
      </w:tr>
    </w:tbl>
    <w:p>
      <w:pPr>
        <w:spacing w:after="120" w:before="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1"/>
          <w:szCs w:val="21"/>
        </w:rPr>
        <w:t xml:space="preserve"/>
      </w:r>
    </w:p>
    <w:tbl>
      <w:tblPr>
        <w:tblW w:type="dxa" w:w="9360"/>
        <w:tblBorders>
          <w:top w:val="none"/>
          <w:left w:val="single" w:color="500000" w:sz="24"/>
          <w:bottom w:val="none"/>
          <w:right w:val="none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F5F2F2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60" w:before="0" w:line="276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500000"/>
                <w:sz w:val="20"/>
                <w:szCs w:val="20"/>
              </w:rPr>
              <w:t xml:space="preserve">Atlas is a loop, not an end</w:t>
            </w:r>
          </w:p>
          <w:p>
            <w:pPr>
              <w:spacing w:after="60" w:before="0" w:line="28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Fresh data re-opens the next constraint and can trigger a new component engagement. The arc restarts rather than finishing.</w:t>
            </w:r>
          </w:p>
        </w:tc>
      </w:tr>
    </w:tbl>
    <w:p>
      <w:r>
        <w:br w:type="page"/>
      </w:r>
    </w:p>
    <w:p>
      <w:pPr>
        <w:pStyle w:val="Heading2"/>
        <w:keepNext/>
        <w:spacing w:after="140" w:before="200" w:line="420"/>
      </w:pPr>
      <w:r>
        <w:rPr>
          <w:rFonts w:ascii="Arial" w:cs="Arial" w:eastAsia="Arial" w:hAnsi="Arial"/>
          <w:b/>
          <w:bCs/>
          <w:color w:val="000000"/>
          <w:sz w:val="34"/>
          <w:szCs w:val="34"/>
        </w:rPr>
        <w:t xml:space="preserve">Who does what</w:t>
      </w:r>
    </w:p>
    <w:tbl>
      <w:tblPr>
        <w:tblW w:type="dxa" w:w="9360"/>
        <w:tblBorders>
          <w:top w:val="single" w:color="D9D9D9" w:sz="2"/>
          <w:left w:val="none"/>
          <w:bottom w:val="single" w:color="D9D9D9" w:sz="2"/>
          <w:right w:val="none"/>
          <w:insideH w:val="single" w:color="D9D9D9" w:sz="2"/>
          <w:insideV w:val="none"/>
        </w:tblBorders>
      </w:tblPr>
      <w:tblGrid>
        <w:gridCol w:w="1310"/>
        <w:gridCol w:w="2808"/>
        <w:gridCol w:w="5242"/>
      </w:tblGrid>
      <w:tr>
        <w:trPr>
          <w:tblHeader/>
        </w:trPr>
        <w:tc>
          <w:tcPr>
            <w:tcW w:type="dxa" w:w="1310"/>
            <w:shd w:fill="000000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Marker</w:t>
            </w:r>
          </w:p>
        </w:tc>
        <w:tc>
          <w:tcPr>
            <w:tcW w:type="dxa" w:w="2808"/>
            <w:shd w:fill="000000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Who</w:t>
            </w:r>
          </w:p>
        </w:tc>
        <w:tc>
          <w:tcPr>
            <w:tcW w:type="dxa" w:w="5242"/>
            <w:shd w:fill="000000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Examples</w:t>
            </w:r>
          </w:p>
        </w:tc>
      </w:tr>
      <w:tr>
        <w:tc>
          <w:tcPr>
            <w:tcW w:type="dxa" w:w="1310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FENWICK</w:t>
            </w:r>
          </w:p>
        </w:tc>
        <w:tc>
          <w:tcPr>
            <w:tcW w:type="dxa" w:w="2808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Fenwick. Irreducible.</w:t>
            </w:r>
          </w:p>
        </w:tc>
        <w:tc>
          <w:tcPr>
            <w:tcW w:type="dxa" w:w="5242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Kickoff, the 3–5 interviews, naming the constraint, every readout, setting the cadence.</w:t>
            </w:r>
          </w:p>
        </w:tc>
      </w:tr>
      <w:tr>
        <w:tc>
          <w:tcPr>
            <w:tcW w:type="dxa" w:w="1310"/>
            <w:shd w:fill="F7F7F7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AGENT</w:t>
            </w:r>
          </w:p>
        </w:tc>
        <w:tc>
          <w:tcPr>
            <w:tcW w:type="dxa" w:w="2808"/>
            <w:shd w:fill="F7F7F7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The model reasons, drafts, triangulates.</w:t>
            </w:r>
          </w:p>
        </w:tc>
        <w:tc>
          <w:tcPr>
            <w:tcW w:type="dxa" w:w="5242"/>
            <w:shd w:fill="F7F7F7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Scoring the seven lenses, triangulating interview claims against the ledger, interpreting a site model, drafting a report.</w:t>
            </w:r>
          </w:p>
        </w:tc>
      </w:tr>
      <w:tr>
        <w:tc>
          <w:tcPr>
            <w:tcW w:type="dxa" w:w="1310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TOOL</w:t>
            </w:r>
          </w:p>
        </w:tc>
        <w:tc>
          <w:tcPr>
            <w:tcW w:type="dxa" w:w="2808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Deterministic code. The number of record.</w:t>
            </w:r>
          </w:p>
        </w:tc>
        <w:tc>
          <w:tcPr>
            <w:tcW w:type="dxa" w:w="5242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Reconciliation, the Profit Map, break-even and sensitivity, trade areas, the weighted matrix, the Aperture Score composite.</w:t>
            </w:r>
          </w:p>
        </w:tc>
      </w:tr>
      <w:tr>
        <w:tc>
          <w:tcPr>
            <w:tcW w:type="dxa" w:w="1310"/>
            <w:shd w:fill="F7F7F7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HYBRID</w:t>
            </w:r>
          </w:p>
        </w:tc>
        <w:tc>
          <w:tcPr>
            <w:tcW w:type="dxa" w:w="2808"/>
            <w:shd w:fill="F7F7F7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The agent proposes, a person decides.</w:t>
            </w:r>
          </w:p>
        </w:tc>
        <w:tc>
          <w:tcPr>
            <w:tcW w:type="dxa" w:w="5242"/>
            <w:shd w:fill="F7F7F7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Constraint candidates, success measures, component sequencing, Now/Next/Later, KPI definitions.</w:t>
            </w:r>
          </w:p>
        </w:tc>
      </w:tr>
    </w:tbl>
    <w:p>
      <w:pPr>
        <w:spacing w:after="120" w:before="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1"/>
          <w:szCs w:val="21"/>
        </w:rPr>
        <w:t xml:space="preserve"/>
      </w:r>
    </w:p>
    <w:p>
      <w:pPr>
        <w:keepNext/>
        <w:spacing w:after="50" w:before="180" w:line="280"/>
      </w:pPr>
      <w:r>
        <w:rPr>
          <w:rFonts w:ascii="Arial" w:cs="Arial" w:eastAsia="Arial" w:hAnsi="Arial"/>
          <w:b/>
          <w:bCs/>
          <w:color w:val="000000"/>
          <w:sz w:val="21"/>
          <w:szCs w:val="21"/>
        </w:rPr>
        <w:t xml:space="preserve">The split that matters</w:t>
      </w:r>
    </w:p>
    <w:p>
      <w:pPr>
        <w:spacing w:after="130" w:before="0" w:line="288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1"/>
          <w:szCs w:val="21"/>
        </w:rPr>
        <w:t xml:space="preserve">Agents compress the mechanical 80%. They do not touch the judgment 20%. Every agent produces findings and artifacts, never conclusions and advice — the recommendation and the call stay with you, because that is the mile the client is paying for.</w:t>
      </w:r>
    </w:p>
    <w:p>
      <w:r>
        <w:br w:type="page"/>
      </w:r>
    </w:p>
    <w:p>
      <w:pPr>
        <w:pStyle w:val="Heading2"/>
        <w:keepNext/>
        <w:spacing w:after="140" w:before="200" w:line="420"/>
      </w:pPr>
      <w:r>
        <w:rPr>
          <w:rFonts w:ascii="Arial" w:cs="Arial" w:eastAsia="Arial" w:hAnsi="Arial"/>
          <w:b/>
          <w:bCs/>
          <w:color w:val="000000"/>
          <w:sz w:val="34"/>
          <w:szCs w:val="34"/>
        </w:rPr>
        <w:t xml:space="preserve">When it happens</w:t>
      </w:r>
    </w:p>
    <w:p>
      <w:pPr>
        <w:spacing w:after="130" w:before="0" w:line="288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1"/>
          <w:szCs w:val="21"/>
        </w:rPr>
        <w:t xml:space="preserve">Elapsed weeks for a full Method engagement. These durations are calendar-bound by client scheduling, not by analysis time — which is exactly what the agents change. A standalone purchase collapses to its own bar.</w:t>
      </w:r>
    </w:p>
    <w:tbl>
      <w:tblPr>
        <w:tblW w:type="dxa" w:w="9360"/>
        <w:tblBorders>
          <w:top w:val="single" w:color="D9D9D9" w:sz="2"/>
          <w:left w:val="none"/>
          <w:bottom w:val="single" w:color="D9D9D9" w:sz="2"/>
          <w:right w:val="none"/>
          <w:insideH w:val="single" w:color="D9D9D9" w:sz="2"/>
          <w:insideV w:val="none"/>
        </w:tblBorders>
      </w:tblPr>
      <w:tblGrid>
        <w:gridCol w:w="3182"/>
        <w:gridCol w:w="2059"/>
        <w:gridCol w:w="4118"/>
      </w:tblGrid>
      <w:tr>
        <w:trPr>
          <w:tblHeader/>
        </w:trPr>
        <w:tc>
          <w:tcPr>
            <w:tcW w:type="dxa" w:w="3182"/>
            <w:shd w:fill="000000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Segment</w:t>
            </w:r>
          </w:p>
        </w:tc>
        <w:tc>
          <w:tcPr>
            <w:tcW w:type="dxa" w:w="2059"/>
            <w:shd w:fill="000000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Weeks</w:t>
            </w:r>
          </w:p>
        </w:tc>
        <w:tc>
          <w:tcPr>
            <w:tcW w:type="dxa" w:w="4118"/>
            <w:shd w:fill="000000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Runs in parallel with</w:t>
            </w:r>
          </w:p>
        </w:tc>
      </w:tr>
      <w:tr>
        <w:tc>
          <w:tcPr>
            <w:tcW w:type="dxa" w:w="3182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Business X-Ray</w:t>
            </w:r>
          </w:p>
        </w:tc>
        <w:tc>
          <w:tcPr>
            <w:tcW w:type="dxa" w:w="2059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0 – 3</w:t>
            </w:r>
          </w:p>
        </w:tc>
        <w:tc>
          <w:tcPr>
            <w:tcW w:type="dxa" w:w="4118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3182"/>
            <w:shd w:fill="F7F7F7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Aperture Insights</w:t>
            </w:r>
          </w:p>
        </w:tc>
        <w:tc>
          <w:tcPr>
            <w:tcW w:type="dxa" w:w="2059"/>
            <w:shd w:fill="F7F7F7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3 – 6</w:t>
            </w:r>
          </w:p>
        </w:tc>
        <w:tc>
          <w:tcPr>
            <w:tcW w:type="dxa" w:w="4118"/>
            <w:shd w:fill="F7F7F7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3182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Aperture Analytics</w:t>
            </w:r>
          </w:p>
        </w:tc>
        <w:tc>
          <w:tcPr>
            <w:tcW w:type="dxa" w:w="2059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6 – 10</w:t>
            </w:r>
          </w:p>
        </w:tc>
        <w:tc>
          <w:tcPr>
            <w:tcW w:type="dxa" w:w="4118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Aperture Intelligence</w:t>
            </w:r>
          </w:p>
        </w:tc>
      </w:tr>
      <w:tr>
        <w:tc>
          <w:tcPr>
            <w:tcW w:type="dxa" w:w="3182"/>
            <w:shd w:fill="F7F7F7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Aperture Intelligence</w:t>
            </w:r>
          </w:p>
        </w:tc>
        <w:tc>
          <w:tcPr>
            <w:tcW w:type="dxa" w:w="2059"/>
            <w:shd w:fill="F7F7F7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6 – 9</w:t>
            </w:r>
          </w:p>
        </w:tc>
        <w:tc>
          <w:tcPr>
            <w:tcW w:type="dxa" w:w="4118"/>
            <w:shd w:fill="F7F7F7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Aperture Analytics</w:t>
            </w:r>
          </w:p>
        </w:tc>
      </w:tr>
      <w:tr>
        <w:tc>
          <w:tcPr>
            <w:tcW w:type="dxa" w:w="3182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Aperture Compass</w:t>
            </w:r>
          </w:p>
        </w:tc>
        <w:tc>
          <w:tcPr>
            <w:tcW w:type="dxa" w:w="2059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10 – 12</w:t>
            </w:r>
          </w:p>
        </w:tc>
        <w:tc>
          <w:tcPr>
            <w:tcW w:type="dxa" w:w="4118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— (needs both above)</w:t>
            </w:r>
          </w:p>
        </w:tc>
      </w:tr>
      <w:tr>
        <w:tc>
          <w:tcPr>
            <w:tcW w:type="dxa" w:w="3182"/>
            <w:shd w:fill="F7F7F7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Aperture Atlas</w:t>
            </w:r>
          </w:p>
        </w:tc>
        <w:tc>
          <w:tcPr>
            <w:tcW w:type="dxa" w:w="2059"/>
            <w:shd w:fill="F7F7F7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12 onward</w:t>
            </w:r>
          </w:p>
        </w:tc>
        <w:tc>
          <w:tcPr>
            <w:tcW w:type="dxa" w:w="4118"/>
            <w:shd w:fill="F7F7F7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Ongoing</w:t>
            </w:r>
          </w:p>
        </w:tc>
      </w:tr>
    </w:tbl>
    <w:p>
      <w:pPr>
        <w:spacing w:after="120" w:before="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1"/>
          <w:szCs w:val="21"/>
        </w:rPr>
        <w:t xml:space="preserve"/>
      </w:r>
    </w:p>
    <w:tbl>
      <w:tblPr>
        <w:tblW w:type="dxa" w:w="9360"/>
        <w:tblBorders>
          <w:top w:val="none"/>
          <w:left w:val="single" w:color="500000" w:sz="24"/>
          <w:bottom w:val="none"/>
          <w:right w:val="none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F5F2F2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60" w:before="0" w:line="276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500000"/>
                <w:sz w:val="20"/>
                <w:szCs w:val="20"/>
              </w:rPr>
              <w:t xml:space="preserve">What the 2–3 weeks of an X-Ray actually is</w:t>
            </w:r>
          </w:p>
          <w:p>
            <w:pPr>
              <w:spacing w:after="60" w:before="0" w:line="28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A 45–60 minute kickoff, a data-return wait on the client, 3–5 interviews of 45 minutes each that have to be scheduled, and a 60-minute readout. Those are irreducibly human. What agents compress is everything between the meetings — so the duration stays the same and your hands-on time inside it drops from most of two weeks to a day of review. That is what lets you run five or ten at once.</w:t>
            </w:r>
          </w:p>
        </w:tc>
      </w:tr>
    </w:tbl>
    <w:p>
      <w:r>
        <w:br w:type="page"/>
      </w:r>
    </w:p>
    <w:p>
      <w:pPr>
        <w:pStyle w:val="Heading2"/>
        <w:keepNext/>
        <w:spacing w:after="140" w:before="200" w:line="420"/>
      </w:pPr>
      <w:r>
        <w:rPr>
          <w:rFonts w:ascii="Arial" w:cs="Arial" w:eastAsia="Arial" w:hAnsi="Arial"/>
          <w:b/>
          <w:bCs/>
          <w:color w:val="000000"/>
          <w:sz w:val="34"/>
          <w:szCs w:val="34"/>
        </w:rPr>
        <w:t xml:space="preserve">SOP 01 · Business X-Ray</w:t>
      </w:r>
    </w:p>
    <w:p>
      <w:pPr>
        <w:spacing w:after="130" w:before="0" w:line="276"/>
      </w:pPr>
      <w:r>
        <w:rPr>
          <w:rFonts w:ascii="Arial" w:cs="Arial" w:eastAsia="Arial" w:hAnsi="Arial"/>
          <w:b w:val="false"/>
          <w:bCs w:val="false"/>
          <w:i/>
          <w:iCs/>
          <w:caps w:val="false"/>
          <w:color w:val="500000"/>
          <w:sz w:val="21"/>
          <w:szCs w:val="21"/>
        </w:rPr>
        <w:t xml:space="preserve">Lena · AI Agent · The Strategist · 2–3 weeks</w:t>
      </w:r>
    </w:p>
    <w:p>
      <w:pPr>
        <w:spacing w:after="130" w:before="0" w:line="288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1"/>
          <w:szCs w:val="21"/>
        </w:rPr>
        <w:t xml:space="preserve">A structured, seven-lens read of the whole business, the single biggest constraint holding it back, and an Aperture Score baseline the client can track.</w:t>
      </w:r>
    </w:p>
    <w:p>
      <w:pPr>
        <w:keepNext/>
        <w:spacing w:after="50" w:before="180" w:line="280"/>
      </w:pPr>
      <w:r>
        <w:rPr>
          <w:rFonts w:ascii="Arial" w:cs="Arial" w:eastAsia="Arial" w:hAnsi="Arial"/>
          <w:b/>
          <w:bCs/>
          <w:color w:val="000000"/>
          <w:sz w:val="21"/>
          <w:szCs w:val="21"/>
        </w:rPr>
        <w:t xml:space="preserve">Process</w:t>
      </w:r>
    </w:p>
    <w:tbl>
      <w:tblPr>
        <w:tblW w:type="dxa" w:w="9360"/>
        <w:tblBorders>
          <w:top w:val="single" w:color="D9D9D9" w:sz="2"/>
          <w:left w:val="none"/>
          <w:bottom w:val="single" w:color="D9D9D9" w:sz="2"/>
          <w:right w:val="none"/>
          <w:insideH w:val="single" w:color="D9D9D9" w:sz="2"/>
          <w:insideV w:val="none"/>
        </w:tblBorders>
      </w:tblPr>
      <w:tblGrid>
        <w:gridCol w:w="4867"/>
        <w:gridCol w:w="1498"/>
        <w:gridCol w:w="2995"/>
      </w:tblGrid>
      <w:tr>
        <w:trPr>
          <w:tblHeader/>
        </w:trPr>
        <w:tc>
          <w:tcPr>
            <w:tcW w:type="dxa" w:w="4867"/>
            <w:shd w:fill="000000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Step</w:t>
            </w:r>
          </w:p>
        </w:tc>
        <w:tc>
          <w:tcPr>
            <w:tcW w:type="dxa" w:w="1498"/>
            <w:shd w:fill="000000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Who</w:t>
            </w:r>
          </w:p>
        </w:tc>
        <w:tc>
          <w:tcPr>
            <w:tcW w:type="dxa" w:w="2995"/>
            <w:shd w:fill="000000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Output</w:t>
            </w:r>
          </w:p>
        </w:tc>
      </w:tr>
      <w:tr>
        <w:tc>
          <w:tcPr>
            <w:tcW w:type="dxa" w:w="4867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1 Kickoff &amp; data request</w:t>
            </w:r>
          </w:p>
        </w:tc>
        <w:tc>
          <w:tcPr>
            <w:tcW w:type="dxa" w:w="1498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FENWICK</w:t>
            </w:r>
          </w:p>
        </w:tc>
        <w:tc>
          <w:tcPr>
            <w:tcW w:type="dxa" w:w="2995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Signed-off scope</w:t>
            </w:r>
          </w:p>
        </w:tc>
      </w:tr>
      <w:tr>
        <w:tc>
          <w:tcPr>
            <w:tcW w:type="dxa" w:w="4867"/>
            <w:shd w:fill="F7F7F7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2 Assemble &amp; sanity-check</w:t>
            </w:r>
          </w:p>
        </w:tc>
        <w:tc>
          <w:tcPr>
            <w:tcW w:type="dxa" w:w="1498"/>
            <w:shd w:fill="F7F7F7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TOOL</w:t>
            </w:r>
          </w:p>
        </w:tc>
        <w:tc>
          <w:tcPr>
            <w:tcW w:type="dxa" w:w="2995"/>
            <w:shd w:fill="F7F7F7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Reconciled model</w:t>
            </w:r>
          </w:p>
        </w:tc>
      </w:tr>
      <w:tr>
        <w:tc>
          <w:tcPr>
            <w:tcW w:type="dxa" w:w="4867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3 Seven-lens diagnostic</w:t>
            </w:r>
          </w:p>
        </w:tc>
        <w:tc>
          <w:tcPr>
            <w:tcW w:type="dxa" w:w="1498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AGENT</w:t>
            </w:r>
          </w:p>
        </w:tc>
        <w:tc>
          <w:tcPr>
            <w:tcW w:type="dxa" w:w="2995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7 scored lenses</w:t>
            </w:r>
          </w:p>
        </w:tc>
      </w:tr>
      <w:tr>
        <w:tc>
          <w:tcPr>
            <w:tcW w:type="dxa" w:w="4867"/>
            <w:shd w:fill="F7F7F7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4 Interviews</w:t>
            </w:r>
          </w:p>
        </w:tc>
        <w:tc>
          <w:tcPr>
            <w:tcW w:type="dxa" w:w="1498"/>
            <w:shd w:fill="F7F7F7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FENWICK</w:t>
            </w:r>
          </w:p>
        </w:tc>
        <w:tc>
          <w:tcPr>
            <w:tcW w:type="dxa" w:w="2995"/>
            <w:shd w:fill="F7F7F7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Triangulated findings</w:t>
            </w:r>
          </w:p>
        </w:tc>
      </w:tr>
      <w:tr>
        <w:tc>
          <w:tcPr>
            <w:tcW w:type="dxa" w:w="4867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5 Score &amp; weight</w:t>
            </w:r>
          </w:p>
        </w:tc>
        <w:tc>
          <w:tcPr>
            <w:tcW w:type="dxa" w:w="1498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TOOL</w:t>
            </w:r>
          </w:p>
        </w:tc>
        <w:tc>
          <w:tcPr>
            <w:tcW w:type="dxa" w:w="2995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Aperture Score</w:t>
            </w:r>
          </w:p>
        </w:tc>
      </w:tr>
      <w:tr>
        <w:tc>
          <w:tcPr>
            <w:tcW w:type="dxa" w:w="4867"/>
            <w:shd w:fill="F7F7F7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6 Name the binding constraint</w:t>
            </w:r>
          </w:p>
        </w:tc>
        <w:tc>
          <w:tcPr>
            <w:tcW w:type="dxa" w:w="1498"/>
            <w:shd w:fill="F7F7F7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HYBRID</w:t>
            </w:r>
          </w:p>
        </w:tc>
        <w:tc>
          <w:tcPr>
            <w:tcW w:type="dxa" w:w="2995"/>
            <w:shd w:fill="F7F7F7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The #1 constraint</w:t>
            </w:r>
          </w:p>
        </w:tc>
      </w:tr>
      <w:tr>
        <w:tc>
          <w:tcPr>
            <w:tcW w:type="dxa" w:w="4867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7 Synthesis &amp; report</w:t>
            </w:r>
          </w:p>
        </w:tc>
        <w:tc>
          <w:tcPr>
            <w:tcW w:type="dxa" w:w="1498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AGENT</w:t>
            </w:r>
          </w:p>
        </w:tc>
        <w:tc>
          <w:tcPr>
            <w:tcW w:type="dxa" w:w="2995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X-Ray report</w:t>
            </w:r>
          </w:p>
        </w:tc>
      </w:tr>
      <w:tr>
        <w:tc>
          <w:tcPr>
            <w:tcW w:type="dxa" w:w="4867"/>
            <w:shd w:fill="F7F7F7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8 Readout</w:t>
            </w:r>
          </w:p>
        </w:tc>
        <w:tc>
          <w:tcPr>
            <w:tcW w:type="dxa" w:w="1498"/>
            <w:shd w:fill="F7F7F7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FENWICK</w:t>
            </w:r>
          </w:p>
        </w:tc>
        <w:tc>
          <w:tcPr>
            <w:tcW w:type="dxa" w:w="2995"/>
            <w:shd w:fill="F7F7F7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Client decision</w:t>
            </w:r>
          </w:p>
        </w:tc>
      </w:tr>
    </w:tbl>
    <w:p>
      <w:pPr>
        <w:keepNext/>
        <w:spacing w:after="50" w:before="180" w:line="280"/>
      </w:pPr>
      <w:r>
        <w:rPr>
          <w:rFonts w:ascii="Arial" w:cs="Arial" w:eastAsia="Arial" w:hAnsi="Arial"/>
          <w:b/>
          <w:bCs/>
          <w:color w:val="000000"/>
          <w:sz w:val="21"/>
          <w:szCs w:val="21"/>
        </w:rPr>
        <w:t xml:space="preserve">Quality gates — each becomes an executable assertion</w:t>
      </w:r>
    </w:p>
    <w:p>
      <w:pPr>
        <w:pStyle w:val="ListParagraph"/>
        <w:numPr>
          <w:ilvl w:val="0"/>
          <w:numId w:val="1"/>
        </w:numPr>
        <w:spacing w:after="70" w:before="0" w:line="28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Every headline number reconciles to the client’s financials</w:t>
      </w:r>
    </w:p>
    <w:p>
      <w:pPr>
        <w:pStyle w:val="ListParagraph"/>
        <w:numPr>
          <w:ilvl w:val="0"/>
          <w:numId w:val="1"/>
        </w:numPr>
        <w:spacing w:after="70" w:before="0" w:line="28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Each of the seven lenses has evidence, not just an opinion</w:t>
      </w:r>
    </w:p>
    <w:p>
      <w:pPr>
        <w:pStyle w:val="ListParagraph"/>
        <w:numPr>
          <w:ilvl w:val="0"/>
          <w:numId w:val="1"/>
        </w:numPr>
        <w:spacing w:after="70" w:before="0" w:line="28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The Aperture Score is reproducible from recorded inputs and weights</w:t>
      </w:r>
    </w:p>
    <w:p>
      <w:pPr>
        <w:pStyle w:val="ListParagraph"/>
        <w:numPr>
          <w:ilvl w:val="0"/>
          <w:numId w:val="1"/>
        </w:numPr>
        <w:spacing w:after="70" w:before="0" w:line="28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The #1 constraint is singular, specific, and defensible</w:t>
      </w:r>
    </w:p>
    <w:p>
      <w:pPr>
        <w:pStyle w:val="ListParagraph"/>
        <w:numPr>
          <w:ilvl w:val="0"/>
          <w:numId w:val="1"/>
        </w:numPr>
        <w:spacing w:after="70" w:before="0" w:line="28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The report is readable by a non-analyst</w:t>
      </w:r>
    </w:p>
    <w:p>
      <w:pPr>
        <w:pStyle w:val="ListParagraph"/>
        <w:numPr>
          <w:ilvl w:val="0"/>
          <w:numId w:val="1"/>
        </w:numPr>
        <w:spacing w:after="70" w:before="0" w:line="28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The prescription names concrete next components and why</w:t>
      </w:r>
    </w:p>
    <w:p>
      <w:pPr>
        <w:pStyle w:val="ListParagraph"/>
        <w:numPr>
          <w:ilvl w:val="0"/>
          <w:numId w:val="1"/>
        </w:numPr>
        <w:spacing w:after="70" w:before="0" w:line="28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All PII handled per the data-security standard</w:t>
      </w:r>
    </w:p>
    <w:p>
      <w:pPr>
        <w:spacing w:after="120" w:before="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1"/>
          <w:szCs w:val="21"/>
        </w:rPr>
        <w:t xml:space="preserve"/>
      </w:r>
    </w:p>
    <w:tbl>
      <w:tblPr>
        <w:tblW w:type="dxa" w:w="9360"/>
        <w:tblBorders>
          <w:top w:val="none"/>
          <w:left w:val="single" w:color="500000" w:sz="24"/>
          <w:bottom w:val="none"/>
          <w:right w:val="none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F5F2F2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60" w:before="0" w:line="276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500000"/>
                <w:sz w:val="20"/>
                <w:szCs w:val="20"/>
              </w:rPr>
              <w:t xml:space="preserve">Standalone behaviour</w:t>
            </w:r>
          </w:p>
          <w:p>
            <w:pPr>
              <w:spacing w:after="60" w:before="0" w:line="28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The standalone product by design. It needs nothing but intake.</w:t>
            </w:r>
          </w:p>
        </w:tc>
      </w:tr>
    </w:tbl>
    <w:p>
      <w:r>
        <w:br w:type="page"/>
      </w:r>
    </w:p>
    <w:p>
      <w:pPr>
        <w:pStyle w:val="Heading2"/>
        <w:keepNext/>
        <w:spacing w:after="140" w:before="200" w:line="420"/>
      </w:pPr>
      <w:r>
        <w:rPr>
          <w:rFonts w:ascii="Arial" w:cs="Arial" w:eastAsia="Arial" w:hAnsi="Arial"/>
          <w:b/>
          <w:bCs/>
          <w:color w:val="000000"/>
          <w:sz w:val="34"/>
          <w:szCs w:val="34"/>
        </w:rPr>
        <w:t xml:space="preserve">SOP 02 · Aperture Insights</w:t>
      </w:r>
    </w:p>
    <w:p>
      <w:pPr>
        <w:spacing w:after="130" w:before="0" w:line="276"/>
      </w:pPr>
      <w:r>
        <w:rPr>
          <w:rFonts w:ascii="Arial" w:cs="Arial" w:eastAsia="Arial" w:hAnsi="Arial"/>
          <w:b w:val="false"/>
          <w:bCs w:val="false"/>
          <w:i/>
          <w:iCs/>
          <w:caps w:val="false"/>
          <w:color w:val="500000"/>
          <w:sz w:val="21"/>
          <w:szCs w:val="21"/>
        </w:rPr>
        <w:t xml:space="preserve">Lena · AI Agent · The Strategist · 2–3 weeks</w:t>
      </w:r>
    </w:p>
    <w:p>
      <w:pPr>
        <w:spacing w:after="130" w:before="0" w:line="288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1"/>
          <w:szCs w:val="21"/>
        </w:rPr>
        <w:t xml:space="preserve">The shared, quantified baseline the rest of the Method builds on — confirms or produces the X-Ray, then frames the full engagement.</w:t>
      </w:r>
    </w:p>
    <w:p>
      <w:pPr>
        <w:keepNext/>
        <w:spacing w:after="50" w:before="180" w:line="280"/>
      </w:pPr>
      <w:r>
        <w:rPr>
          <w:rFonts w:ascii="Arial" w:cs="Arial" w:eastAsia="Arial" w:hAnsi="Arial"/>
          <w:b/>
          <w:bCs/>
          <w:color w:val="000000"/>
          <w:sz w:val="21"/>
          <w:szCs w:val="21"/>
        </w:rPr>
        <w:t xml:space="preserve">Process</w:t>
      </w:r>
    </w:p>
    <w:tbl>
      <w:tblPr>
        <w:tblW w:type="dxa" w:w="9360"/>
        <w:tblBorders>
          <w:top w:val="single" w:color="D9D9D9" w:sz="2"/>
          <w:left w:val="none"/>
          <w:bottom w:val="single" w:color="D9D9D9" w:sz="2"/>
          <w:right w:val="none"/>
          <w:insideH w:val="single" w:color="D9D9D9" w:sz="2"/>
          <w:insideV w:val="none"/>
        </w:tblBorders>
      </w:tblPr>
      <w:tblGrid>
        <w:gridCol w:w="4867"/>
        <w:gridCol w:w="1498"/>
        <w:gridCol w:w="2995"/>
      </w:tblGrid>
      <w:tr>
        <w:trPr>
          <w:tblHeader/>
        </w:trPr>
        <w:tc>
          <w:tcPr>
            <w:tcW w:type="dxa" w:w="4867"/>
            <w:shd w:fill="000000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Step</w:t>
            </w:r>
          </w:p>
        </w:tc>
        <w:tc>
          <w:tcPr>
            <w:tcW w:type="dxa" w:w="1498"/>
            <w:shd w:fill="000000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Who</w:t>
            </w:r>
          </w:p>
        </w:tc>
        <w:tc>
          <w:tcPr>
            <w:tcW w:type="dxa" w:w="2995"/>
            <w:shd w:fill="000000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Output</w:t>
            </w:r>
          </w:p>
        </w:tc>
      </w:tr>
      <w:tr>
        <w:tc>
          <w:tcPr>
            <w:tcW w:type="dxa" w:w="4867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1 Confirm or produce the X-Ray</w:t>
            </w:r>
          </w:p>
        </w:tc>
        <w:tc>
          <w:tcPr>
            <w:tcW w:type="dxa" w:w="1498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AGENT</w:t>
            </w:r>
          </w:p>
        </w:tc>
        <w:tc>
          <w:tcPr>
            <w:tcW w:type="dxa" w:w="2995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X-Ray on file</w:t>
            </w:r>
          </w:p>
        </w:tc>
      </w:tr>
      <w:tr>
        <w:tc>
          <w:tcPr>
            <w:tcW w:type="dxa" w:w="4867"/>
            <w:shd w:fill="F7F7F7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2 Validate the constraint with the owner</w:t>
            </w:r>
          </w:p>
        </w:tc>
        <w:tc>
          <w:tcPr>
            <w:tcW w:type="dxa" w:w="1498"/>
            <w:shd w:fill="F7F7F7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FENWICK</w:t>
            </w:r>
          </w:p>
        </w:tc>
        <w:tc>
          <w:tcPr>
            <w:tcW w:type="dxa" w:w="2995"/>
            <w:shd w:fill="F7F7F7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Constraint agreed in writing</w:t>
            </w:r>
          </w:p>
        </w:tc>
      </w:tr>
      <w:tr>
        <w:tc>
          <w:tcPr>
            <w:tcW w:type="dxa" w:w="4867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3 Define success measures</w:t>
            </w:r>
          </w:p>
        </w:tc>
        <w:tc>
          <w:tcPr>
            <w:tcW w:type="dxa" w:w="1498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HYBRID</w:t>
            </w:r>
          </w:p>
        </w:tc>
        <w:tc>
          <w:tcPr>
            <w:tcW w:type="dxa" w:w="2995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Baselines + targets</w:t>
            </w:r>
          </w:p>
        </w:tc>
      </w:tr>
      <w:tr>
        <w:tc>
          <w:tcPr>
            <w:tcW w:type="dxa" w:w="4867"/>
            <w:shd w:fill="F7F7F7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4 Sequence the components</w:t>
            </w:r>
          </w:p>
        </w:tc>
        <w:tc>
          <w:tcPr>
            <w:tcW w:type="dxa" w:w="1498"/>
            <w:shd w:fill="F7F7F7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HYBRID</w:t>
            </w:r>
          </w:p>
        </w:tc>
        <w:tc>
          <w:tcPr>
            <w:tcW w:type="dxa" w:w="2995"/>
            <w:shd w:fill="F7F7F7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Engagement plan</w:t>
            </w:r>
          </w:p>
        </w:tc>
      </w:tr>
      <w:tr>
        <w:tc>
          <w:tcPr>
            <w:tcW w:type="dxa" w:w="4867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5 Readout &amp; mobilize</w:t>
            </w:r>
          </w:p>
        </w:tc>
        <w:tc>
          <w:tcPr>
            <w:tcW w:type="dxa" w:w="1498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FENWICK</w:t>
            </w:r>
          </w:p>
        </w:tc>
        <w:tc>
          <w:tcPr>
            <w:tcW w:type="dxa" w:w="2995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Plan approved</w:t>
            </w:r>
          </w:p>
        </w:tc>
      </w:tr>
    </w:tbl>
    <w:p>
      <w:pPr>
        <w:keepNext/>
        <w:spacing w:after="50" w:before="180" w:line="280"/>
      </w:pPr>
      <w:r>
        <w:rPr>
          <w:rFonts w:ascii="Arial" w:cs="Arial" w:eastAsia="Arial" w:hAnsi="Arial"/>
          <w:b/>
          <w:bCs/>
          <w:color w:val="000000"/>
          <w:sz w:val="21"/>
          <w:szCs w:val="21"/>
        </w:rPr>
        <w:t xml:space="preserve">Quality gates — each becomes an executable assertion</w:t>
      </w:r>
    </w:p>
    <w:p>
      <w:pPr>
        <w:pStyle w:val="ListParagraph"/>
        <w:numPr>
          <w:ilvl w:val="0"/>
          <w:numId w:val="1"/>
        </w:numPr>
        <w:spacing w:after="70" w:before="0" w:line="28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The constraint is agreed with the owner in writing</w:t>
      </w:r>
    </w:p>
    <w:p>
      <w:pPr>
        <w:pStyle w:val="ListParagraph"/>
        <w:numPr>
          <w:ilvl w:val="0"/>
          <w:numId w:val="1"/>
        </w:numPr>
        <w:spacing w:after="70" w:before="0" w:line="28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Success measures are specific, baselined, and trackable</w:t>
      </w:r>
    </w:p>
    <w:p>
      <w:pPr>
        <w:pStyle w:val="ListParagraph"/>
        <w:numPr>
          <w:ilvl w:val="0"/>
          <w:numId w:val="1"/>
        </w:numPr>
        <w:spacing w:after="70" w:before="0" w:line="28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Each downstream component has its data prerequisites listed</w:t>
      </w:r>
    </w:p>
    <w:p>
      <w:pPr>
        <w:pStyle w:val="ListParagraph"/>
        <w:numPr>
          <w:ilvl w:val="0"/>
          <w:numId w:val="1"/>
        </w:numPr>
        <w:spacing w:after="70" w:before="0" w:line="28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Phase-gate dates and decision criteria are set</w:t>
      </w:r>
    </w:p>
    <w:p>
      <w:pPr>
        <w:spacing w:after="120" w:before="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1"/>
          <w:szCs w:val="21"/>
        </w:rPr>
        <w:t xml:space="preserve"/>
      </w:r>
    </w:p>
    <w:tbl>
      <w:tblPr>
        <w:tblW w:type="dxa" w:w="9360"/>
        <w:tblBorders>
          <w:top w:val="none"/>
          <w:left w:val="single" w:color="500000" w:sz="24"/>
          <w:bottom w:val="none"/>
          <w:right w:val="none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F5F2F2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60" w:before="0" w:line="276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500000"/>
                <w:sz w:val="20"/>
                <w:szCs w:val="20"/>
              </w:rPr>
              <w:t xml:space="preserve">Standalone behaviour</w:t>
            </w:r>
          </w:p>
          <w:p>
            <w:pPr>
              <w:spacing w:after="60" w:before="0" w:line="28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The engagement-opening phase. Bought without a prior X-Ray, it runs the X-Ray SOP first.</w:t>
            </w:r>
          </w:p>
        </w:tc>
      </w:tr>
    </w:tbl>
    <w:p>
      <w:r>
        <w:br w:type="page"/>
      </w:r>
    </w:p>
    <w:p>
      <w:pPr>
        <w:pStyle w:val="Heading2"/>
        <w:keepNext/>
        <w:spacing w:after="140" w:before="200" w:line="420"/>
      </w:pPr>
      <w:r>
        <w:rPr>
          <w:rFonts w:ascii="Arial" w:cs="Arial" w:eastAsia="Arial" w:hAnsi="Arial"/>
          <w:b/>
          <w:bCs/>
          <w:color w:val="000000"/>
          <w:sz w:val="34"/>
          <w:szCs w:val="34"/>
        </w:rPr>
        <w:t xml:space="preserve">SOP 03 · Aperture Analytics</w:t>
      </w:r>
    </w:p>
    <w:p>
      <w:pPr>
        <w:spacing w:after="130" w:before="0" w:line="276"/>
      </w:pPr>
      <w:r>
        <w:rPr>
          <w:rFonts w:ascii="Arial" w:cs="Arial" w:eastAsia="Arial" w:hAnsi="Arial"/>
          <w:b w:val="false"/>
          <w:bCs w:val="false"/>
          <w:i/>
          <w:iCs/>
          <w:caps w:val="false"/>
          <w:color w:val="500000"/>
          <w:sz w:val="21"/>
          <w:szCs w:val="21"/>
        </w:rPr>
        <w:t xml:space="preserve">Marcus · AI Agent · The Analyst · 3–4 weeks</w:t>
      </w:r>
    </w:p>
    <w:p>
      <w:pPr>
        <w:spacing w:after="130" w:before="0" w:line="288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1"/>
          <w:szCs w:val="21"/>
        </w:rPr>
        <w:t xml:space="preserve">Exactly where the business makes and loses money — by product, location, and customer — plus a scenario model so decisions can be tested before they are made.</w:t>
      </w:r>
    </w:p>
    <w:p>
      <w:pPr>
        <w:keepNext/>
        <w:spacing w:after="50" w:before="180" w:line="280"/>
      </w:pPr>
      <w:r>
        <w:rPr>
          <w:rFonts w:ascii="Arial" w:cs="Arial" w:eastAsia="Arial" w:hAnsi="Arial"/>
          <w:b/>
          <w:bCs/>
          <w:color w:val="000000"/>
          <w:sz w:val="21"/>
          <w:szCs w:val="21"/>
        </w:rPr>
        <w:t xml:space="preserve">Process</w:t>
      </w:r>
    </w:p>
    <w:tbl>
      <w:tblPr>
        <w:tblW w:type="dxa" w:w="9360"/>
        <w:tblBorders>
          <w:top w:val="single" w:color="D9D9D9" w:sz="2"/>
          <w:left w:val="none"/>
          <w:bottom w:val="single" w:color="D9D9D9" w:sz="2"/>
          <w:right w:val="none"/>
          <w:insideH w:val="single" w:color="D9D9D9" w:sz="2"/>
          <w:insideV w:val="none"/>
        </w:tblBorders>
      </w:tblPr>
      <w:tblGrid>
        <w:gridCol w:w="4867"/>
        <w:gridCol w:w="1498"/>
        <w:gridCol w:w="2995"/>
      </w:tblGrid>
      <w:tr>
        <w:trPr>
          <w:tblHeader/>
        </w:trPr>
        <w:tc>
          <w:tcPr>
            <w:tcW w:type="dxa" w:w="4867"/>
            <w:shd w:fill="000000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Step</w:t>
            </w:r>
          </w:p>
        </w:tc>
        <w:tc>
          <w:tcPr>
            <w:tcW w:type="dxa" w:w="1498"/>
            <w:shd w:fill="000000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Who</w:t>
            </w:r>
          </w:p>
        </w:tc>
        <w:tc>
          <w:tcPr>
            <w:tcW w:type="dxa" w:w="2995"/>
            <w:shd w:fill="000000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Output</w:t>
            </w:r>
          </w:p>
        </w:tc>
      </w:tr>
      <w:tr>
        <w:tc>
          <w:tcPr>
            <w:tcW w:type="dxa" w:w="4867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1 Build the financial model</w:t>
            </w:r>
          </w:p>
        </w:tc>
        <w:tc>
          <w:tcPr>
            <w:tcW w:type="dxa" w:w="1498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TOOL</w:t>
            </w:r>
          </w:p>
        </w:tc>
        <w:tc>
          <w:tcPr>
            <w:tcW w:type="dxa" w:w="2995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Reconciled model</w:t>
            </w:r>
          </w:p>
        </w:tc>
      </w:tr>
      <w:tr>
        <w:tc>
          <w:tcPr>
            <w:tcW w:type="dxa" w:w="4867"/>
            <w:shd w:fill="F7F7F7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2 Map profitability</w:t>
            </w:r>
          </w:p>
        </w:tc>
        <w:tc>
          <w:tcPr>
            <w:tcW w:type="dxa" w:w="1498"/>
            <w:shd w:fill="F7F7F7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TOOL</w:t>
            </w:r>
          </w:p>
        </w:tc>
        <w:tc>
          <w:tcPr>
            <w:tcW w:type="dxa" w:w="2995"/>
            <w:shd w:fill="F7F7F7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Profit Map</w:t>
            </w:r>
          </w:p>
        </w:tc>
      </w:tr>
      <w:tr>
        <w:tc>
          <w:tcPr>
            <w:tcW w:type="dxa" w:w="4867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3 80/20 &amp; cost structure</w:t>
            </w:r>
          </w:p>
        </w:tc>
        <w:tc>
          <w:tcPr>
            <w:tcW w:type="dxa" w:w="1498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TOOL</w:t>
            </w:r>
          </w:p>
        </w:tc>
        <w:tc>
          <w:tcPr>
            <w:tcW w:type="dxa" w:w="2995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Ranked drivers</w:t>
            </w:r>
          </w:p>
        </w:tc>
      </w:tr>
      <w:tr>
        <w:tc>
          <w:tcPr>
            <w:tcW w:type="dxa" w:w="4867"/>
            <w:shd w:fill="F7F7F7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4 Break-even &amp; sensitivity</w:t>
            </w:r>
          </w:p>
        </w:tc>
        <w:tc>
          <w:tcPr>
            <w:tcW w:type="dxa" w:w="1498"/>
            <w:shd w:fill="F7F7F7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TOOL</w:t>
            </w:r>
          </w:p>
        </w:tc>
        <w:tc>
          <w:tcPr>
            <w:tcW w:type="dxa" w:w="2995"/>
            <w:shd w:fill="F7F7F7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Sensitivity ranges</w:t>
            </w:r>
          </w:p>
        </w:tc>
      </w:tr>
      <w:tr>
        <w:tc>
          <w:tcPr>
            <w:tcW w:type="dxa" w:w="4867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5 Scenario / forecast model</w:t>
            </w:r>
          </w:p>
        </w:tc>
        <w:tc>
          <w:tcPr>
            <w:tcW w:type="dxa" w:w="1498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AGENT</w:t>
            </w:r>
          </w:p>
        </w:tc>
        <w:tc>
          <w:tcPr>
            <w:tcW w:type="dxa" w:w="2995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Interactive model</w:t>
            </w:r>
          </w:p>
        </w:tc>
      </w:tr>
      <w:tr>
        <w:tc>
          <w:tcPr>
            <w:tcW w:type="dxa" w:w="4867"/>
            <w:shd w:fill="F7F7F7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6 Synthesis &amp; readout</w:t>
            </w:r>
          </w:p>
        </w:tc>
        <w:tc>
          <w:tcPr>
            <w:tcW w:type="dxa" w:w="1498"/>
            <w:shd w:fill="F7F7F7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AGENT</w:t>
            </w:r>
          </w:p>
        </w:tc>
        <w:tc>
          <w:tcPr>
            <w:tcW w:type="dxa" w:w="2995"/>
            <w:shd w:fill="F7F7F7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Prioritized moves</w:t>
            </w:r>
          </w:p>
        </w:tc>
      </w:tr>
    </w:tbl>
    <w:p>
      <w:pPr>
        <w:keepNext/>
        <w:spacing w:after="50" w:before="180" w:line="280"/>
      </w:pPr>
      <w:r>
        <w:rPr>
          <w:rFonts w:ascii="Arial" w:cs="Arial" w:eastAsia="Arial" w:hAnsi="Arial"/>
          <w:b/>
          <w:bCs/>
          <w:color w:val="000000"/>
          <w:sz w:val="21"/>
          <w:szCs w:val="21"/>
        </w:rPr>
        <w:t xml:space="preserve">Quality gates — each becomes an executable assertion</w:t>
      </w:r>
    </w:p>
    <w:p>
      <w:pPr>
        <w:pStyle w:val="ListParagraph"/>
        <w:numPr>
          <w:ilvl w:val="0"/>
          <w:numId w:val="1"/>
        </w:numPr>
        <w:spacing w:after="70" w:before="0" w:line="28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The model reconciles to the client’s financials to the dollar</w:t>
      </w:r>
    </w:p>
    <w:p>
      <w:pPr>
        <w:pStyle w:val="ListParagraph"/>
        <w:numPr>
          <w:ilvl w:val="0"/>
          <w:numId w:val="1"/>
        </w:numPr>
        <w:spacing w:after="70" w:before="0" w:line="28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Cost allocations are documented and defensible</w:t>
      </w:r>
    </w:p>
    <w:p>
      <w:pPr>
        <w:pStyle w:val="ListParagraph"/>
        <w:numPr>
          <w:ilvl w:val="0"/>
          <w:numId w:val="1"/>
        </w:numPr>
        <w:spacing w:after="70" w:before="0" w:line="28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Profit cuts are shown only at the level the data supports — no false precision</w:t>
      </w:r>
    </w:p>
    <w:p>
      <w:pPr>
        <w:pStyle w:val="ListParagraph"/>
        <w:numPr>
          <w:ilvl w:val="0"/>
          <w:numId w:val="1"/>
        </w:numPr>
        <w:spacing w:after="70" w:before="0" w:line="28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Scenario assumptions are explicit and adjustable</w:t>
      </w:r>
    </w:p>
    <w:p>
      <w:pPr>
        <w:pStyle w:val="ListParagraph"/>
        <w:numPr>
          <w:ilvl w:val="0"/>
          <w:numId w:val="1"/>
        </w:numPr>
        <w:spacing w:after="70" w:before="0" w:line="28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Recommendations tie back to the #1 constraint</w:t>
      </w:r>
    </w:p>
    <w:p>
      <w:pPr>
        <w:spacing w:after="120" w:before="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1"/>
          <w:szCs w:val="21"/>
        </w:rPr>
        <w:t xml:space="preserve"/>
      </w:r>
    </w:p>
    <w:tbl>
      <w:tblPr>
        <w:tblW w:type="dxa" w:w="9360"/>
        <w:tblBorders>
          <w:top w:val="none"/>
          <w:left w:val="single" w:color="500000" w:sz="24"/>
          <w:bottom w:val="none"/>
          <w:right w:val="none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F5F2F2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60" w:before="0" w:line="276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500000"/>
                <w:sz w:val="20"/>
                <w:szCs w:val="20"/>
              </w:rPr>
              <w:t xml:space="preserve">Standalone behaviour</w:t>
            </w:r>
          </w:p>
          <w:p>
            <w:pPr>
              <w:spacing w:after="60" w:before="0" w:line="28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Bought alone, Marcus derives a working constraint hypothesis from the financials and labels it “derived — not owner-validated.”</w:t>
            </w:r>
          </w:p>
        </w:tc>
      </w:tr>
    </w:tbl>
    <w:p>
      <w:r>
        <w:br w:type="page"/>
      </w:r>
    </w:p>
    <w:p>
      <w:pPr>
        <w:pStyle w:val="Heading2"/>
        <w:keepNext/>
        <w:spacing w:after="140" w:before="200" w:line="420"/>
      </w:pPr>
      <w:r>
        <w:rPr>
          <w:rFonts w:ascii="Arial" w:cs="Arial" w:eastAsia="Arial" w:hAnsi="Arial"/>
          <w:b/>
          <w:bCs/>
          <w:color w:val="000000"/>
          <w:sz w:val="34"/>
          <w:szCs w:val="34"/>
        </w:rPr>
        <w:t xml:space="preserve">SOP 04 · Aperture Intelligence</w:t>
      </w:r>
    </w:p>
    <w:p>
      <w:pPr>
        <w:spacing w:after="130" w:before="0" w:line="276"/>
      </w:pPr>
      <w:r>
        <w:rPr>
          <w:rFonts w:ascii="Arial" w:cs="Arial" w:eastAsia="Arial" w:hAnsi="Arial"/>
          <w:b w:val="false"/>
          <w:bCs w:val="false"/>
          <w:i/>
          <w:iCs/>
          <w:caps w:val="false"/>
          <w:color w:val="500000"/>
          <w:sz w:val="21"/>
          <w:szCs w:val="21"/>
        </w:rPr>
        <w:t xml:space="preserve">Natalie · AI Agent · The Explorer · 2–3 weeks</w:t>
      </w:r>
    </w:p>
    <w:p>
      <w:pPr>
        <w:spacing w:after="130" w:before="0" w:line="288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1"/>
          <w:szCs w:val="21"/>
        </w:rPr>
        <w:t xml:space="preserve">Who the best customers are, where they are, and where the next ones will come from — market, customers, and competitors over real geography.</w:t>
      </w:r>
    </w:p>
    <w:p>
      <w:pPr>
        <w:keepNext/>
        <w:spacing w:after="50" w:before="180" w:line="280"/>
      </w:pPr>
      <w:r>
        <w:rPr>
          <w:rFonts w:ascii="Arial" w:cs="Arial" w:eastAsia="Arial" w:hAnsi="Arial"/>
          <w:b/>
          <w:bCs/>
          <w:color w:val="000000"/>
          <w:sz w:val="21"/>
          <w:szCs w:val="21"/>
        </w:rPr>
        <w:t xml:space="preserve">Process</w:t>
      </w:r>
    </w:p>
    <w:tbl>
      <w:tblPr>
        <w:tblW w:type="dxa" w:w="9360"/>
        <w:tblBorders>
          <w:top w:val="single" w:color="D9D9D9" w:sz="2"/>
          <w:left w:val="none"/>
          <w:bottom w:val="single" w:color="D9D9D9" w:sz="2"/>
          <w:right w:val="none"/>
          <w:insideH w:val="single" w:color="D9D9D9" w:sz="2"/>
          <w:insideV w:val="none"/>
        </w:tblBorders>
      </w:tblPr>
      <w:tblGrid>
        <w:gridCol w:w="4867"/>
        <w:gridCol w:w="1498"/>
        <w:gridCol w:w="2995"/>
      </w:tblGrid>
      <w:tr>
        <w:trPr>
          <w:tblHeader/>
        </w:trPr>
        <w:tc>
          <w:tcPr>
            <w:tcW w:type="dxa" w:w="4867"/>
            <w:shd w:fill="000000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Step</w:t>
            </w:r>
          </w:p>
        </w:tc>
        <w:tc>
          <w:tcPr>
            <w:tcW w:type="dxa" w:w="1498"/>
            <w:shd w:fill="000000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Who</w:t>
            </w:r>
          </w:p>
        </w:tc>
        <w:tc>
          <w:tcPr>
            <w:tcW w:type="dxa" w:w="2995"/>
            <w:shd w:fill="000000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Output</w:t>
            </w:r>
          </w:p>
        </w:tc>
      </w:tr>
      <w:tr>
        <w:tc>
          <w:tcPr>
            <w:tcW w:type="dxa" w:w="4867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1 Assemble &amp; geocode</w:t>
            </w:r>
          </w:p>
        </w:tc>
        <w:tc>
          <w:tcPr>
            <w:tcW w:type="dxa" w:w="1498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TOOL</w:t>
            </w:r>
          </w:p>
        </w:tc>
        <w:tc>
          <w:tcPr>
            <w:tcW w:type="dxa" w:w="2995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De-identified layer</w:t>
            </w:r>
          </w:p>
        </w:tc>
      </w:tr>
      <w:tr>
        <w:tc>
          <w:tcPr>
            <w:tcW w:type="dxa" w:w="4867"/>
            <w:shd w:fill="F7F7F7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2 Customer analytics</w:t>
            </w:r>
          </w:p>
        </w:tc>
        <w:tc>
          <w:tcPr>
            <w:tcW w:type="dxa" w:w="1498"/>
            <w:shd w:fill="F7F7F7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TOOL</w:t>
            </w:r>
          </w:p>
        </w:tc>
        <w:tc>
          <w:tcPr>
            <w:tcW w:type="dxa" w:w="2995"/>
            <w:shd w:fill="F7F7F7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Segments + CLV</w:t>
            </w:r>
          </w:p>
        </w:tc>
      </w:tr>
      <w:tr>
        <w:tc>
          <w:tcPr>
            <w:tcW w:type="dxa" w:w="4867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3 Trade-area &amp; drive-time</w:t>
            </w:r>
          </w:p>
        </w:tc>
        <w:tc>
          <w:tcPr>
            <w:tcW w:type="dxa" w:w="1498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TOOL</w:t>
            </w:r>
          </w:p>
        </w:tc>
        <w:tc>
          <w:tcPr>
            <w:tcW w:type="dxa" w:w="2995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Demand concentration</w:t>
            </w:r>
          </w:p>
        </w:tc>
      </w:tr>
      <w:tr>
        <w:tc>
          <w:tcPr>
            <w:tcW w:type="dxa" w:w="4867"/>
            <w:shd w:fill="F7F7F7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4 Market penetration &amp; competition</w:t>
            </w:r>
          </w:p>
        </w:tc>
        <w:tc>
          <w:tcPr>
            <w:tcW w:type="dxa" w:w="1498"/>
            <w:shd w:fill="F7F7F7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TOOL</w:t>
            </w:r>
          </w:p>
        </w:tc>
        <w:tc>
          <w:tcPr>
            <w:tcW w:type="dxa" w:w="2995"/>
            <w:shd w:fill="F7F7F7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Competitive map</w:t>
            </w:r>
          </w:p>
        </w:tc>
      </w:tr>
      <w:tr>
        <w:tc>
          <w:tcPr>
            <w:tcW w:type="dxa" w:w="4867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5 Site-selection modeling</w:t>
            </w:r>
          </w:p>
        </w:tc>
        <w:tc>
          <w:tcPr>
            <w:tcW w:type="dxa" w:w="1498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AGENT</w:t>
            </w:r>
          </w:p>
        </w:tc>
        <w:tc>
          <w:tcPr>
            <w:tcW w:type="dxa" w:w="2995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Ranked areas</w:t>
            </w:r>
          </w:p>
        </w:tc>
      </w:tr>
      <w:tr>
        <w:tc>
          <w:tcPr>
            <w:tcW w:type="dxa" w:w="4867"/>
            <w:shd w:fill="F7F7F7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6 ArcGIS package &amp; readout</w:t>
            </w:r>
          </w:p>
        </w:tc>
        <w:tc>
          <w:tcPr>
            <w:tcW w:type="dxa" w:w="1498"/>
            <w:shd w:fill="F7F7F7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AGENT</w:t>
            </w:r>
          </w:p>
        </w:tc>
        <w:tc>
          <w:tcPr>
            <w:tcW w:type="dxa" w:w="2995"/>
            <w:shd w:fill="F7F7F7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GIS package</w:t>
            </w:r>
          </w:p>
        </w:tc>
      </w:tr>
    </w:tbl>
    <w:p>
      <w:pPr>
        <w:keepNext/>
        <w:spacing w:after="50" w:before="180" w:line="280"/>
      </w:pPr>
      <w:r>
        <w:rPr>
          <w:rFonts w:ascii="Arial" w:cs="Arial" w:eastAsia="Arial" w:hAnsi="Arial"/>
          <w:b/>
          <w:bCs/>
          <w:color w:val="000000"/>
          <w:sz w:val="21"/>
          <w:szCs w:val="21"/>
        </w:rPr>
        <w:t xml:space="preserve">Quality gates — each becomes an executable assertion</w:t>
      </w:r>
    </w:p>
    <w:p>
      <w:pPr>
        <w:pStyle w:val="ListParagraph"/>
        <w:numPr>
          <w:ilvl w:val="0"/>
          <w:numId w:val="1"/>
        </w:numPr>
        <w:spacing w:after="70" w:before="0" w:line="28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Geocoding accuracy checked; unmatched records reported, not hidden</w:t>
      </w:r>
    </w:p>
    <w:p>
      <w:pPr>
        <w:pStyle w:val="ListParagraph"/>
        <w:numPr>
          <w:ilvl w:val="0"/>
          <w:numId w:val="1"/>
        </w:numPr>
        <w:spacing w:after="70" w:before="0" w:line="28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PII removed from the analysis layer after geocoding</w:t>
      </w:r>
    </w:p>
    <w:p>
      <w:pPr>
        <w:pStyle w:val="ListParagraph"/>
        <w:numPr>
          <w:ilvl w:val="0"/>
          <w:numId w:val="1"/>
        </w:numPr>
        <w:spacing w:after="70" w:before="0" w:line="28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Trade areas and drive-times use documented, sensible parameters</w:t>
      </w:r>
    </w:p>
    <w:p>
      <w:pPr>
        <w:pStyle w:val="ListParagraph"/>
        <w:numPr>
          <w:ilvl w:val="0"/>
          <w:numId w:val="1"/>
        </w:numPr>
        <w:spacing w:after="70" w:before="0" w:line="28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The growth recommendation is backed by the client’s own demand data</w:t>
      </w:r>
    </w:p>
    <w:p>
      <w:pPr>
        <w:pStyle w:val="ListParagraph"/>
        <w:numPr>
          <w:ilvl w:val="0"/>
          <w:numId w:val="1"/>
        </w:numPr>
        <w:spacing w:after="70" w:before="0" w:line="28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The ArcGIS package opens cleanly with the layer guide</w:t>
      </w:r>
    </w:p>
    <w:p>
      <w:pPr>
        <w:spacing w:after="120" w:before="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1"/>
          <w:szCs w:val="21"/>
        </w:rPr>
        <w:t xml:space="preserve"/>
      </w:r>
    </w:p>
    <w:tbl>
      <w:tblPr>
        <w:tblW w:type="dxa" w:w="9360"/>
        <w:tblBorders>
          <w:top w:val="none"/>
          <w:left w:val="single" w:color="500000" w:sz="24"/>
          <w:bottom w:val="none"/>
          <w:right w:val="none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F5F2F2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60" w:before="0" w:line="276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500000"/>
                <w:sz w:val="20"/>
                <w:szCs w:val="20"/>
              </w:rPr>
              <w:t xml:space="preserve">Standalone behaviour</w:t>
            </w:r>
          </w:p>
          <w:p>
            <w:pPr>
              <w:spacing w:after="60" w:before="0" w:line="28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Bought alone, Natalie runs the full spatial arc from intake and frames output as “where demand is,” not “what to do.”</w:t>
            </w:r>
          </w:p>
        </w:tc>
      </w:tr>
    </w:tbl>
    <w:p>
      <w:r>
        <w:br w:type="page"/>
      </w:r>
    </w:p>
    <w:p>
      <w:pPr>
        <w:pStyle w:val="Heading2"/>
        <w:keepNext/>
        <w:spacing w:after="140" w:before="200" w:line="420"/>
      </w:pPr>
      <w:r>
        <w:rPr>
          <w:rFonts w:ascii="Arial" w:cs="Arial" w:eastAsia="Arial" w:hAnsi="Arial"/>
          <w:b/>
          <w:bCs/>
          <w:color w:val="000000"/>
          <w:sz w:val="34"/>
          <w:szCs w:val="34"/>
        </w:rPr>
        <w:t xml:space="preserve">SOP 05 · Aperture Compass</w:t>
      </w:r>
    </w:p>
    <w:p>
      <w:pPr>
        <w:spacing w:after="130" w:before="0" w:line="276"/>
      </w:pPr>
      <w:r>
        <w:rPr>
          <w:rFonts w:ascii="Arial" w:cs="Arial" w:eastAsia="Arial" w:hAnsi="Arial"/>
          <w:b w:val="false"/>
          <w:bCs w:val="false"/>
          <w:i/>
          <w:iCs/>
          <w:caps w:val="false"/>
          <w:color w:val="500000"/>
          <w:sz w:val="21"/>
          <w:szCs w:val="21"/>
        </w:rPr>
        <w:t xml:space="preserve">Aria · AI Agent · The Navigator · 1–2 weeks</w:t>
      </w:r>
    </w:p>
    <w:p>
      <w:pPr>
        <w:spacing w:after="130" w:before="0" w:line="288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1"/>
          <w:szCs w:val="21"/>
        </w:rPr>
        <w:t xml:space="preserve">Everything the earlier phases surfaced, turned into a prioritized, board-ready plan — scored, ranked, and sequenced.</w:t>
      </w:r>
    </w:p>
    <w:p>
      <w:pPr>
        <w:keepNext/>
        <w:spacing w:after="50" w:before="180" w:line="280"/>
      </w:pPr>
      <w:r>
        <w:rPr>
          <w:rFonts w:ascii="Arial" w:cs="Arial" w:eastAsia="Arial" w:hAnsi="Arial"/>
          <w:b/>
          <w:bCs/>
          <w:color w:val="000000"/>
          <w:sz w:val="21"/>
          <w:szCs w:val="21"/>
        </w:rPr>
        <w:t xml:space="preserve">Process</w:t>
      </w:r>
    </w:p>
    <w:tbl>
      <w:tblPr>
        <w:tblW w:type="dxa" w:w="9360"/>
        <w:tblBorders>
          <w:top w:val="single" w:color="D9D9D9" w:sz="2"/>
          <w:left w:val="none"/>
          <w:bottom w:val="single" w:color="D9D9D9" w:sz="2"/>
          <w:right w:val="none"/>
          <w:insideH w:val="single" w:color="D9D9D9" w:sz="2"/>
          <w:insideV w:val="none"/>
        </w:tblBorders>
      </w:tblPr>
      <w:tblGrid>
        <w:gridCol w:w="4867"/>
        <w:gridCol w:w="1498"/>
        <w:gridCol w:w="2995"/>
      </w:tblGrid>
      <w:tr>
        <w:trPr>
          <w:tblHeader/>
        </w:trPr>
        <w:tc>
          <w:tcPr>
            <w:tcW w:type="dxa" w:w="4867"/>
            <w:shd w:fill="000000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Step</w:t>
            </w:r>
          </w:p>
        </w:tc>
        <w:tc>
          <w:tcPr>
            <w:tcW w:type="dxa" w:w="1498"/>
            <w:shd w:fill="000000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Who</w:t>
            </w:r>
          </w:p>
        </w:tc>
        <w:tc>
          <w:tcPr>
            <w:tcW w:type="dxa" w:w="2995"/>
            <w:shd w:fill="000000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Output</w:t>
            </w:r>
          </w:p>
        </w:tc>
      </w:tr>
      <w:tr>
        <w:tc>
          <w:tcPr>
            <w:tcW w:type="dxa" w:w="4867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1 Consolidate the opportunity set</w:t>
            </w:r>
          </w:p>
        </w:tc>
        <w:tc>
          <w:tcPr>
            <w:tcW w:type="dxa" w:w="1498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AGENT</w:t>
            </w:r>
          </w:p>
        </w:tc>
        <w:tc>
          <w:tcPr>
            <w:tcW w:type="dxa" w:w="2995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Master list</w:t>
            </w:r>
          </w:p>
        </w:tc>
      </w:tr>
      <w:tr>
        <w:tc>
          <w:tcPr>
            <w:tcW w:type="dxa" w:w="4867"/>
            <w:shd w:fill="F7F7F7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2 Score in the weighted matrix</w:t>
            </w:r>
          </w:p>
        </w:tc>
        <w:tc>
          <w:tcPr>
            <w:tcW w:type="dxa" w:w="1498"/>
            <w:shd w:fill="F7F7F7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TOOL</w:t>
            </w:r>
          </w:p>
        </w:tc>
        <w:tc>
          <w:tcPr>
            <w:tcW w:type="dxa" w:w="2995"/>
            <w:shd w:fill="F7F7F7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Scored matrix</w:t>
            </w:r>
          </w:p>
        </w:tc>
      </w:tr>
      <w:tr>
        <w:tc>
          <w:tcPr>
            <w:tcW w:type="dxa" w:w="4867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3 Stress-test against scenarios</w:t>
            </w:r>
          </w:p>
        </w:tc>
        <w:tc>
          <w:tcPr>
            <w:tcW w:type="dxa" w:w="1498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TOOL</w:t>
            </w:r>
          </w:p>
        </w:tc>
        <w:tc>
          <w:tcPr>
            <w:tcW w:type="dxa" w:w="2995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Robust ranking</w:t>
            </w:r>
          </w:p>
        </w:tc>
      </w:tr>
      <w:tr>
        <w:tc>
          <w:tcPr>
            <w:tcW w:type="dxa" w:w="4867"/>
            <w:shd w:fill="F7F7F7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4 Sequence into Now / Next / Later</w:t>
            </w:r>
          </w:p>
        </w:tc>
        <w:tc>
          <w:tcPr>
            <w:tcW w:type="dxa" w:w="1498"/>
            <w:shd w:fill="F7F7F7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HYBRID</w:t>
            </w:r>
          </w:p>
        </w:tc>
        <w:tc>
          <w:tcPr>
            <w:tcW w:type="dxa" w:w="2995"/>
            <w:shd w:fill="F7F7F7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Sequenced roadmap</w:t>
            </w:r>
          </w:p>
        </w:tc>
      </w:tr>
      <w:tr>
        <w:tc>
          <w:tcPr>
            <w:tcW w:type="dxa" w:w="4867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5 Build the Focus Plan &amp; readout</w:t>
            </w:r>
          </w:p>
        </w:tc>
        <w:tc>
          <w:tcPr>
            <w:tcW w:type="dxa" w:w="1498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AGENT</w:t>
            </w:r>
          </w:p>
        </w:tc>
        <w:tc>
          <w:tcPr>
            <w:tcW w:type="dxa" w:w="2995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Approved Focus Plan</w:t>
            </w:r>
          </w:p>
        </w:tc>
      </w:tr>
    </w:tbl>
    <w:p>
      <w:pPr>
        <w:keepNext/>
        <w:spacing w:after="50" w:before="180" w:line="280"/>
      </w:pPr>
      <w:r>
        <w:rPr>
          <w:rFonts w:ascii="Arial" w:cs="Arial" w:eastAsia="Arial" w:hAnsi="Arial"/>
          <w:b/>
          <w:bCs/>
          <w:color w:val="000000"/>
          <w:sz w:val="21"/>
          <w:szCs w:val="21"/>
        </w:rPr>
        <w:t xml:space="preserve">Quality gates — each becomes an executable assertion</w:t>
      </w:r>
    </w:p>
    <w:p>
      <w:pPr>
        <w:pStyle w:val="ListParagraph"/>
        <w:numPr>
          <w:ilvl w:val="0"/>
          <w:numId w:val="1"/>
        </w:numPr>
        <w:spacing w:after="70" w:before="0" w:line="28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Every opportunity is scored on the same criteria and weights</w:t>
      </w:r>
    </w:p>
    <w:p>
      <w:pPr>
        <w:pStyle w:val="ListParagraph"/>
        <w:numPr>
          <w:ilvl w:val="0"/>
          <w:numId w:val="1"/>
        </w:numPr>
        <w:spacing w:after="70" w:before="0" w:line="28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The ranking is reproducible and the weights are recorded</w:t>
      </w:r>
    </w:p>
    <w:p>
      <w:pPr>
        <w:pStyle w:val="ListParagraph"/>
        <w:numPr>
          <w:ilvl w:val="0"/>
          <w:numId w:val="1"/>
        </w:numPr>
        <w:spacing w:after="70" w:before="0" w:line="28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The sequence puts the constraint first; expansion is gated on evidence</w:t>
      </w:r>
    </w:p>
    <w:p>
      <w:pPr>
        <w:pStyle w:val="ListParagraph"/>
        <w:numPr>
          <w:ilvl w:val="0"/>
          <w:numId w:val="1"/>
        </w:numPr>
        <w:spacing w:after="70" w:before="0" w:line="28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Each item has an owner, milestones, and dependencies</w:t>
      </w:r>
    </w:p>
    <w:p>
      <w:pPr>
        <w:pStyle w:val="ListParagraph"/>
        <w:numPr>
          <w:ilvl w:val="0"/>
          <w:numId w:val="1"/>
        </w:numPr>
        <w:spacing w:after="70" w:before="0" w:line="28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The plan is genuinely board-ready — one page tells the story</w:t>
      </w:r>
    </w:p>
    <w:p>
      <w:pPr>
        <w:spacing w:after="120" w:before="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1"/>
          <w:szCs w:val="21"/>
        </w:rPr>
        <w:t xml:space="preserve"/>
      </w:r>
    </w:p>
    <w:tbl>
      <w:tblPr>
        <w:tblW w:type="dxa" w:w="9360"/>
        <w:tblBorders>
          <w:top w:val="none"/>
          <w:left w:val="single" w:color="500000" w:sz="24"/>
          <w:bottom w:val="none"/>
          <w:right w:val="none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F5F2F2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60" w:before="0" w:line="276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500000"/>
                <w:sz w:val="20"/>
                <w:szCs w:val="20"/>
              </w:rPr>
              <w:t xml:space="preserve">Standalone behaviour</w:t>
            </w:r>
          </w:p>
          <w:p>
            <w:pPr>
              <w:spacing w:after="60" w:before="0" w:line="28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Bought alone, Aria generates candidates from intake, scores what is evidenced, and lists what would need Analytics or Intelligence to resolve.</w:t>
            </w:r>
          </w:p>
        </w:tc>
      </w:tr>
    </w:tbl>
    <w:p>
      <w:r>
        <w:br w:type="page"/>
      </w:r>
    </w:p>
    <w:p>
      <w:pPr>
        <w:pStyle w:val="Heading2"/>
        <w:keepNext/>
        <w:spacing w:after="140" w:before="200" w:line="420"/>
      </w:pPr>
      <w:r>
        <w:rPr>
          <w:rFonts w:ascii="Arial" w:cs="Arial" w:eastAsia="Arial" w:hAnsi="Arial"/>
          <w:b/>
          <w:bCs/>
          <w:color w:val="000000"/>
          <w:sz w:val="34"/>
          <w:szCs w:val="34"/>
        </w:rPr>
        <w:t xml:space="preserve">SOP 06 · Aperture Atlas</w:t>
      </w:r>
    </w:p>
    <w:p>
      <w:pPr>
        <w:spacing w:after="130" w:before="0" w:line="276"/>
      </w:pPr>
      <w:r>
        <w:rPr>
          <w:rFonts w:ascii="Arial" w:cs="Arial" w:eastAsia="Arial" w:hAnsi="Arial"/>
          <w:b w:val="false"/>
          <w:bCs w:val="false"/>
          <w:i/>
          <w:iCs/>
          <w:caps w:val="false"/>
          <w:color w:val="500000"/>
          <w:sz w:val="21"/>
          <w:szCs w:val="21"/>
        </w:rPr>
        <w:t xml:space="preserve">Thomas · AI Agent · The Operator · ongoing</w:t>
      </w:r>
    </w:p>
    <w:p>
      <w:pPr>
        <w:spacing w:after="130" w:before="0" w:line="288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1"/>
          <w:szCs w:val="21"/>
        </w:rPr>
        <w:t xml:space="preserve">An always-on executive Scoreboard of the few KPIs that matter, plus the cadence that keeps the plan honest quarter after quarter.</w:t>
      </w:r>
    </w:p>
    <w:p>
      <w:pPr>
        <w:keepNext/>
        <w:spacing w:after="50" w:before="180" w:line="280"/>
      </w:pPr>
      <w:r>
        <w:rPr>
          <w:rFonts w:ascii="Arial" w:cs="Arial" w:eastAsia="Arial" w:hAnsi="Arial"/>
          <w:b/>
          <w:bCs/>
          <w:color w:val="000000"/>
          <w:sz w:val="21"/>
          <w:szCs w:val="21"/>
        </w:rPr>
        <w:t xml:space="preserve">Process</w:t>
      </w:r>
    </w:p>
    <w:tbl>
      <w:tblPr>
        <w:tblW w:type="dxa" w:w="9360"/>
        <w:tblBorders>
          <w:top w:val="single" w:color="D9D9D9" w:sz="2"/>
          <w:left w:val="none"/>
          <w:bottom w:val="single" w:color="D9D9D9" w:sz="2"/>
          <w:right w:val="none"/>
          <w:insideH w:val="single" w:color="D9D9D9" w:sz="2"/>
          <w:insideV w:val="none"/>
        </w:tblBorders>
      </w:tblPr>
      <w:tblGrid>
        <w:gridCol w:w="4867"/>
        <w:gridCol w:w="1498"/>
        <w:gridCol w:w="2995"/>
      </w:tblGrid>
      <w:tr>
        <w:trPr>
          <w:tblHeader/>
        </w:trPr>
        <w:tc>
          <w:tcPr>
            <w:tcW w:type="dxa" w:w="4867"/>
            <w:shd w:fill="000000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Step</w:t>
            </w:r>
          </w:p>
        </w:tc>
        <w:tc>
          <w:tcPr>
            <w:tcW w:type="dxa" w:w="1498"/>
            <w:shd w:fill="000000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Who</w:t>
            </w:r>
          </w:p>
        </w:tc>
        <w:tc>
          <w:tcPr>
            <w:tcW w:type="dxa" w:w="2995"/>
            <w:shd w:fill="000000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Output</w:t>
            </w:r>
          </w:p>
        </w:tc>
      </w:tr>
      <w:tr>
        <w:tc>
          <w:tcPr>
            <w:tcW w:type="dxa" w:w="4867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1 Define the KPIs</w:t>
            </w:r>
          </w:p>
        </w:tc>
        <w:tc>
          <w:tcPr>
            <w:tcW w:type="dxa" w:w="1498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HYBRID</w:t>
            </w:r>
          </w:p>
        </w:tc>
        <w:tc>
          <w:tcPr>
            <w:tcW w:type="dxa" w:w="2995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KPI definitions</w:t>
            </w:r>
          </w:p>
        </w:tc>
      </w:tr>
      <w:tr>
        <w:tc>
          <w:tcPr>
            <w:tcW w:type="dxa" w:w="4867"/>
            <w:shd w:fill="F7F7F7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2 Wire the data</w:t>
            </w:r>
          </w:p>
        </w:tc>
        <w:tc>
          <w:tcPr>
            <w:tcW w:type="dxa" w:w="1498"/>
            <w:shd w:fill="F7F7F7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TOOL</w:t>
            </w:r>
          </w:p>
        </w:tc>
        <w:tc>
          <w:tcPr>
            <w:tcW w:type="dxa" w:w="2995"/>
            <w:shd w:fill="F7F7F7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Validated feed</w:t>
            </w:r>
          </w:p>
        </w:tc>
      </w:tr>
      <w:tr>
        <w:tc>
          <w:tcPr>
            <w:tcW w:type="dxa" w:w="4867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3 Build the Scoreboard</w:t>
            </w:r>
          </w:p>
        </w:tc>
        <w:tc>
          <w:tcPr>
            <w:tcW w:type="dxa" w:w="1498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TOOL</w:t>
            </w:r>
          </w:p>
        </w:tc>
        <w:tc>
          <w:tcPr>
            <w:tcW w:type="dxa" w:w="2995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Published Scoreboard</w:t>
            </w:r>
          </w:p>
        </w:tc>
      </w:tr>
      <w:tr>
        <w:tc>
          <w:tcPr>
            <w:tcW w:type="dxa" w:w="4867"/>
            <w:shd w:fill="F7F7F7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4 Set the cadence</w:t>
            </w:r>
          </w:p>
        </w:tc>
        <w:tc>
          <w:tcPr>
            <w:tcW w:type="dxa" w:w="1498"/>
            <w:shd w:fill="F7F7F7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FENWICK</w:t>
            </w:r>
          </w:p>
        </w:tc>
        <w:tc>
          <w:tcPr>
            <w:tcW w:type="dxa" w:w="2995"/>
            <w:shd w:fill="F7F7F7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Cadence live</w:t>
            </w:r>
          </w:p>
        </w:tc>
      </w:tr>
      <w:tr>
        <w:tc>
          <w:tcPr>
            <w:tcW w:type="dxa" w:w="4867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5 Re-score &amp; steer</w:t>
            </w:r>
          </w:p>
        </w:tc>
        <w:tc>
          <w:tcPr>
            <w:tcW w:type="dxa" w:w="1498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AGENT</w:t>
            </w:r>
          </w:p>
        </w:tc>
        <w:tc>
          <w:tcPr>
            <w:tcW w:type="dxa" w:w="2995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Signal Brief + next constraint</w:t>
            </w:r>
          </w:p>
        </w:tc>
      </w:tr>
    </w:tbl>
    <w:p>
      <w:pPr>
        <w:keepNext/>
        <w:spacing w:after="50" w:before="180" w:line="280"/>
      </w:pPr>
      <w:r>
        <w:rPr>
          <w:rFonts w:ascii="Arial" w:cs="Arial" w:eastAsia="Arial" w:hAnsi="Arial"/>
          <w:b/>
          <w:bCs/>
          <w:color w:val="000000"/>
          <w:sz w:val="21"/>
          <w:szCs w:val="21"/>
        </w:rPr>
        <w:t xml:space="preserve">Quality gates — each becomes an executable assertion</w:t>
      </w:r>
    </w:p>
    <w:p>
      <w:pPr>
        <w:pStyle w:val="ListParagraph"/>
        <w:numPr>
          <w:ilvl w:val="0"/>
          <w:numId w:val="1"/>
        </w:numPr>
        <w:spacing w:after="70" w:before="0" w:line="28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Every KPI has a definition, source, target, owner, and cadence</w:t>
      </w:r>
    </w:p>
    <w:p>
      <w:pPr>
        <w:pStyle w:val="ListParagraph"/>
        <w:numPr>
          <w:ilvl w:val="0"/>
          <w:numId w:val="1"/>
        </w:numPr>
        <w:spacing w:after="70" w:before="0" w:line="28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Dashboard numbers reconcile to the source systems</w:t>
      </w:r>
    </w:p>
    <w:p>
      <w:pPr>
        <w:pStyle w:val="ListParagraph"/>
        <w:numPr>
          <w:ilvl w:val="0"/>
          <w:numId w:val="1"/>
        </w:numPr>
        <w:spacing w:after="70" w:before="0" w:line="28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Access is least-privilege and documented</w:t>
      </w:r>
    </w:p>
    <w:p>
      <w:pPr>
        <w:pStyle w:val="ListParagraph"/>
        <w:numPr>
          <w:ilvl w:val="0"/>
          <w:numId w:val="1"/>
        </w:numPr>
        <w:spacing w:after="70" w:before="0" w:line="28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The re-scored Aperture Score uses the identical baseline method</w:t>
      </w:r>
    </w:p>
    <w:p>
      <w:pPr>
        <w:pStyle w:val="ListParagraph"/>
        <w:numPr>
          <w:ilvl w:val="0"/>
          <w:numId w:val="1"/>
        </w:numPr>
        <w:spacing w:after="70" w:before="0" w:line="28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The client can operate the Scoreboard themselves — it is theirs to keep</w:t>
      </w:r>
    </w:p>
    <w:p>
      <w:pPr>
        <w:spacing w:after="120" w:before="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1"/>
          <w:szCs w:val="21"/>
        </w:rPr>
        <w:t xml:space="preserve"/>
      </w:r>
    </w:p>
    <w:tbl>
      <w:tblPr>
        <w:tblW w:type="dxa" w:w="9360"/>
        <w:tblBorders>
          <w:top w:val="none"/>
          <w:left w:val="single" w:color="500000" w:sz="24"/>
          <w:bottom w:val="none"/>
          <w:right w:val="none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F5F2F2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60" w:before="0" w:line="276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500000"/>
                <w:sz w:val="20"/>
                <w:szCs w:val="20"/>
              </w:rPr>
              <w:t xml:space="preserve">Standalone behaviour</w:t>
            </w:r>
          </w:p>
          <w:p>
            <w:pPr>
              <w:spacing w:after="60" w:before="0" w:line="28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Subscribable on intake alone. Without a Focus Plan, Thomas baselines on the client’s stated goals and establishes period zero.</w:t>
            </w:r>
          </w:p>
        </w:tc>
      </w:tr>
    </w:tbl>
    <w:p>
      <w:r>
        <w:br w:type="page"/>
      </w:r>
    </w:p>
    <w:p>
      <w:pPr>
        <w:pStyle w:val="Heading2"/>
        <w:keepNext/>
        <w:spacing w:after="140" w:before="200" w:line="420"/>
      </w:pPr>
      <w:r>
        <w:rPr>
          <w:rFonts w:ascii="Arial" w:cs="Arial" w:eastAsia="Arial" w:hAnsi="Arial"/>
          <w:b/>
          <w:bCs/>
          <w:color w:val="000000"/>
          <w:sz w:val="34"/>
          <w:szCs w:val="34"/>
        </w:rPr>
        <w:t xml:space="preserve">Where to go next</w:t>
      </w:r>
    </w:p>
    <w:tbl>
      <w:tblPr>
        <w:tblW w:type="dxa" w:w="9360"/>
        <w:tblBorders>
          <w:top w:val="single" w:color="D9D9D9" w:sz="2"/>
          <w:left w:val="none"/>
          <w:bottom w:val="single" w:color="D9D9D9" w:sz="2"/>
          <w:right w:val="none"/>
          <w:insideH w:val="single" w:color="D9D9D9" w:sz="2"/>
          <w:insideV w:val="none"/>
        </w:tblBorders>
      </w:tblPr>
      <w:tblGrid>
        <w:gridCol w:w="3557"/>
        <w:gridCol w:w="5803"/>
      </w:tblGrid>
      <w:tr>
        <w:trPr>
          <w:tblHeader/>
        </w:trPr>
        <w:tc>
          <w:tcPr>
            <w:tcW w:type="dxa" w:w="3557"/>
            <w:shd w:fill="000000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Document</w:t>
            </w:r>
          </w:p>
        </w:tc>
        <w:tc>
          <w:tcPr>
            <w:tcW w:type="dxa" w:w="5803"/>
            <w:shd w:fill="000000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What is in it</w:t>
            </w:r>
          </w:p>
        </w:tc>
      </w:tr>
      <w:tr>
        <w:tc>
          <w:tcPr>
            <w:tcW w:type="dxa" w:w="3557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Aperture Method — Agent Build Spec</w:t>
            </w:r>
          </w:p>
        </w:tc>
        <w:tc>
          <w:tcPr>
            <w:tcW w:type="dxa" w:w="5803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The full technical specification: data model, run contract, prompt architecture, gates, privacy layer, Aperture Score spec, a profile page and build spec per agent, repository layout, and the phased roadmap.</w:t>
            </w:r>
          </w:p>
        </w:tc>
      </w:tr>
      <w:tr>
        <w:tc>
          <w:tcPr>
            <w:tcW w:type="dxa" w:w="3557"/>
            <w:shd w:fill="F7F7F7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aperture-agent-workflow.html</w:t>
            </w:r>
          </w:p>
        </w:tc>
        <w:tc>
          <w:tcPr>
            <w:tcW w:type="dxa" w:w="5803"/>
            <w:shd w:fill="F7F7F7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An interactive version of this map. Pick a purchase path and click any SOP to expand its steps and gates.</w:t>
            </w:r>
          </w:p>
        </w:tc>
      </w:tr>
      <w:tr>
        <w:tc>
          <w:tcPr>
            <w:tcW w:type="dxa" w:w="3557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The Aperture Method — Method SOPs</w:t>
            </w:r>
          </w:p>
        </w:tc>
        <w:tc>
          <w:tcPr>
            <w:tcW w:type="dxa" w:w="5803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The source manual. The agents load these chapters verbatim, so this document remains the single home of the procedure.</w:t>
            </w:r>
          </w:p>
        </w:tc>
      </w:tr>
    </w:tbl>
    <w:p>
      <w:pPr>
        <w:spacing w:after="240" w:before="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1"/>
          <w:szCs w:val="21"/>
        </w:rPr>
        <w:t xml:space="preserve"/>
      </w:r>
    </w:p>
    <w:p>
      <w:pPr>
        <w:pBdr>
          <w:bottom w:val="single" w:color="500000" w:sz="14" w:space="2"/>
        </w:pBdr>
        <w:spacing w:after="170" w:before="0" w:line="276"/>
      </w:pPr>
    </w:p>
    <w:p>
      <w:pPr>
        <w:spacing w:after="0" w:before="0" w:line="276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B6B"/>
          <w:sz w:val="18"/>
          <w:szCs w:val="18"/>
        </w:rPr>
        <w:t xml:space="preserve">The Aperture Method™  ·  Understand · Quantify · Reveal · Navigate · Perform</w:t>
      </w:r>
    </w:p>
    <w:sectPr>
      <w:headerReference w:type="default" r:id="rId9"/>
      <w:footerReference w:type="default" r:id="rId10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before="0" w:line="276"/>
    </w:pPr>
    <w:r>
      <w:rPr>
        <w:rFonts w:ascii="Arial" w:cs="Arial" w:eastAsia="Arial" w:hAnsi="Arial"/>
        <w:b w:val="false"/>
        <w:bCs w:val="false"/>
        <w:i w:val="false"/>
        <w:iCs w:val="false"/>
        <w:caps w:val="false"/>
        <w:color w:val="1A1A1A"/>
        <w:sz w:val="21"/>
        <w:szCs w:val="21"/>
      </w:rPr>
      <w:t xml:space="preserve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9D9" w:sz="4" w:space="6"/>
      </w:pBdr>
      <w:tabs>
        <w:tab w:val="right" w:pos="9360"/>
      </w:tabs>
      <w:spacing w:before="60"/>
    </w:pPr>
    <w:r>
      <w:rPr>
        <w:rFonts w:ascii="Arial" w:cs="Arial" w:eastAsia="Arial" w:hAnsi="Arial"/>
        <w:color w:val="6B6B6B"/>
        <w:sz w:val="14"/>
        <w:szCs w:val="14"/>
      </w:rPr>
      <w:t xml:space="preserve">Confidential · Internal build reference</w:t>
    </w:r>
    <w:r>
      <w:rPr>
        <w:rFonts w:ascii="Arial" w:cs="Arial" w:eastAsia="Arial" w:hAnsi="Arial"/>
        <w:color w:val="6B6B6B"/>
        <w:sz w:val="14"/>
        <w:szCs w:val="14"/>
      </w:rPr>
      <w:t xml:space="preserve">	Page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76"/>
    </w:pPr>
    <w:r>
      <w:rPr>
        <w:rFonts w:ascii="Arial" w:cs="Arial" w:eastAsia="Arial" w:hAnsi="Arial"/>
        <w:b w:val="false"/>
        <w:bCs w:val="false"/>
        <w:i w:val="false"/>
        <w:iCs w:val="false"/>
        <w:caps w:val="false"/>
        <w:color w:val="1A1A1A"/>
        <w:sz w:val="21"/>
        <w:szCs w:val="21"/>
      </w:rPr>
      <w:t xml:space="preserve"/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9D9" w:sz="4" w:space="6"/>
      </w:pBdr>
      <w:tabs>
        <w:tab w:val="right" w:pos="9360"/>
      </w:tabs>
      <w:spacing w:after="120"/>
    </w:pPr>
    <w:r>
      <w:drawing>
        <wp:inline distT="0" distB="0" distL="0" distR="0">
          <wp:extent cx="152400" cy="1143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52400" cy="1143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  <w:b/>
        <w:bCs/>
        <w:i w:val="false"/>
        <w:iCs w:val="false"/>
        <w:caps/>
        <w:color w:val="500000"/>
        <w:sz w:val="14"/>
        <w:szCs w:val="14"/>
      </w:rPr>
      <w:t xml:space="preserve">  THE APERTURE METHOD™</w:t>
    </w:r>
    <w:r>
      <w:rPr>
        <w:rFonts w:ascii="Arial" w:cs="Arial" w:eastAsia="Arial" w:hAnsi="Arial"/>
        <w:color w:val="6B6B6B"/>
        <w:sz w:val="15"/>
        <w:szCs w:val="15"/>
      </w:rPr>
      <w:t xml:space="preserve">	Agent Workflow Map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200" w:line="420"/>
    </w:pPr>
    <w:rPr>
      <w:rFonts w:ascii="Arial" w:cs="Arial" w:eastAsia="Arial" w:hAnsi="Arial"/>
      <w:b/>
      <w:bCs/>
      <w:color w:val="000000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90" w:before="280" w:line="320"/>
    </w:pPr>
    <w:rPr>
      <w:rFonts w:ascii="Arial" w:cs="Arial" w:eastAsia="Arial" w:hAnsi="Arial"/>
      <w:b/>
      <w:bCs/>
      <w:color w:val="000000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50" w:before="180" w:line="280"/>
    </w:pPr>
    <w:rPr>
      <w:rFonts w:ascii="Arial" w:cs="Arial" w:eastAsia="Arial" w:hAnsi="Arial"/>
      <w:b/>
      <w:bCs/>
      <w:color w:val="000000"/>
      <w:sz w:val="21"/>
      <w:szCs w:val="21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image" Target="media/60d60fe5ce08182c215feed15555d18788d82986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78340de8315aa041a2d088a6d882e13da1d08316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Agent Workflow Map</dc:title>
  <dc:creator>The Aperture Method</dc:creator>
  <cp:lastModifiedBy>Un-named</cp:lastModifiedBy>
  <cp:revision>1</cp:revision>
  <dcterms:created xsi:type="dcterms:W3CDTF">2026-08-07T17:05:28.451Z</dcterms:created>
  <dcterms:modified xsi:type="dcterms:W3CDTF">2026-08-07T17:05:28.451Z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