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2209800" cy="25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8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/>
      </w:r>
    </w:p>
    <w:p>
      <w:pPr>
        <w:spacing w:after="50" w:before="0" w:line="276"/>
      </w:pPr>
      <w:r>
        <w:rPr>
          <w:rFonts w:ascii="Arial" w:cs="Arial" w:eastAsia="Arial" w:hAnsi="Arial"/>
          <w:b/>
          <w:bCs/>
          <w:i w:val="false"/>
          <w:iCs w:val="false"/>
          <w:caps/>
          <w:color w:val="500000"/>
          <w:sz w:val="17"/>
          <w:szCs w:val="17"/>
        </w:rPr>
        <w:t xml:space="preserve">AGENT WORKFLOW MAP  ·  COMPANION TO THE BUILD SPEC</w:t>
      </w:r>
    </w:p>
    <w:p>
      <w:pPr>
        <w:spacing w:after="120" w:before="240" w:line="6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00000"/>
          <w:sz w:val="58"/>
          <w:szCs w:val="58"/>
        </w:rPr>
        <w:t xml:space="preserve">How an engagement runs</w:t>
      </w:r>
    </w:p>
    <w:p>
      <w:pPr>
        <w:spacing w:after="200" w:before="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B6B"/>
          <w:sz w:val="26"/>
          <w:szCs w:val="26"/>
        </w:rPr>
        <w:t xml:space="preserve">What runs, what it produces, who does it, and when</w:t>
      </w:r>
    </w:p>
    <w:p>
      <w:pPr>
        <w:pBdr>
          <w:bottom w:val="single" w:color="500000" w:sz="14" w:space="2"/>
        </w:pBdr>
        <w:spacing w:after="170" w:before="0" w:line="276"/>
      </w:pP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B6B"/>
          <w:sz w:val="20"/>
          <w:szCs w:val="20"/>
        </w:rPr>
        <w:t xml:space="preserve">The question this answers:  </w:t>
      </w:r>
      <w:r>
        <w:rPr>
          <w:rFonts w:ascii="Arial" w:cs="Arial" w:eastAsia="Arial" w:hAnsi="Arial"/>
          <w:b/>
          <w:bCs/>
          <w:i/>
          <w:iCs/>
          <w:caps w:val="false"/>
          <w:color w:val="500000"/>
          <w:sz w:val="20"/>
          <w:szCs w:val="20"/>
        </w:rPr>
        <w:t xml:space="preserve">A client buys one module, a few, or all five — in any order. What actually happens in each case?</w:t>
      </w:r>
    </w:p>
    <w:p>
      <w:pPr>
        <w:spacing w:after="48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/>
      </w:r>
    </w:p>
    <w:p>
      <w:pPr>
        <w:spacing w:after="30" w:before="0" w:line="276"/>
      </w:pPr>
      <w:r>
        <w:rPr>
          <w:rFonts w:ascii="Arial" w:cs="Arial" w:eastAsia="Arial" w:hAnsi="Arial"/>
          <w:b/>
          <w:bCs/>
          <w:i w:val="false"/>
          <w:iCs w:val="false"/>
          <w:caps/>
          <w:color w:val="500000"/>
          <w:sz w:val="15"/>
          <w:szCs w:val="15"/>
        </w:rPr>
        <w:t xml:space="preserve">PREPARED FOR</w:t>
      </w:r>
    </w:p>
    <w:p>
      <w:pPr>
        <w:spacing w:after="20" w:before="0" w:line="276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00000"/>
          <w:sz w:val="26"/>
          <w:szCs w:val="26"/>
        </w:rPr>
        <w:t xml:space="preserve">Fenwick How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B6B"/>
          <w:sz w:val="19"/>
          <w:szCs w:val="19"/>
        </w:rPr>
        <w:t xml:space="preserve">Founder, The Aperture Method</w:t>
      </w:r>
    </w:p>
    <w:p>
      <w:pPr>
        <w:spacing w:after="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August 7, 2026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9A9A9A"/>
          <w:sz w:val="19"/>
          <w:szCs w:val="19"/>
        </w:rPr>
        <w:t xml:space="preserve">     ·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Anchored to Method SOPs v1.0</w:t>
      </w:r>
    </w:p>
    <w:p>
      <w:pPr>
        <w:spacing w:after="3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/>
      </w:r>
    </w:p>
    <w:p>
      <w:pPr>
        <w:pBdr>
          <w:top w:val="single" w:color="D9D9D9" w:sz="6" w:space="2"/>
        </w:pBdr>
        <w:spacing w:after="60" w:before="0" w:line="276"/>
      </w:pPr>
    </w:p>
    <w:p>
      <w:pPr>
        <w:spacing w:after="0" w:before="0" w:line="25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500000"/>
          <w:sz w:val="15"/>
          <w:szCs w:val="15"/>
        </w:rPr>
        <w:t xml:space="preserve">COMPANION DOCUMENT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B6B"/>
          <w:sz w:val="15"/>
          <w:szCs w:val="15"/>
        </w:rPr>
        <w:t xml:space="preserve">The one-page overview of the system. The full technical build specification is in “Aperture Method — Agent Build Spec.” An interactive version of this map is also saved as a browser page in the same folder.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keepNext/>
        <w:spacing w:after="140" w:before="200" w:line="42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The shape of it</w:t>
      </w:r>
    </w:p>
    <w:p>
      <w:pPr>
        <w:spacing w:after="17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Six SOPs, six agents, one shared data foundation.</w:t>
      </w:r>
    </w:p>
    <w:p>
      <w:pPr>
        <w:spacing w:after="13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Every engagement starts with intake — one reconciled dataset that every agent reads directly. No agent depends on another having run. When several are purchased they enrich each other; none of them requires the others. Agents produce findings and artifacts; the recommendation and the call stay human.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/>
      </w:r>
    </w:p>
    <w:tbl>
      <w:tblPr>
        <w:tblW w:type="dxa" w:w="9360"/>
        <w:tblBorders>
          <w:top w:val="single" w:color="D9D9D9" w:sz="2"/>
          <w:left w:val="none"/>
          <w:bottom w:val="single" w:color="D9D9D9" w:sz="2"/>
          <w:right w:val="none"/>
          <w:insideH w:val="single" w:color="D9D9D9" w:sz="2"/>
          <w:insideV w:val="none"/>
        </w:tblBorders>
      </w:tblPr>
      <w:tblGrid>
        <w:gridCol w:w="1498"/>
        <w:gridCol w:w="7862"/>
      </w:tblGrid>
      <w:tr>
        <w:trPr>
          <w:tblHeader/>
        </w:trPr>
        <w:tc>
          <w:tcPr>
            <w:tcW w:type="dxa" w:w="1498"/>
            <w:shd w:fill="0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62"/>
            <w:shd w:fill="0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it means</w:t>
            </w:r>
          </w:p>
        </w:tc>
      </w:tr>
      <w:tr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Fenwick first</w:t>
            </w:r>
          </w:p>
        </w:tc>
        <w:tc>
          <w:tcPr>
            <w:tcW w:type="dxa" w:w="7862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Intake and acceptance start every engagement. Nothing downstream runs until he accepts the reconciled ledger.</w:t>
            </w:r>
          </w:p>
        </w:tc>
      </w:tr>
      <w:tr>
        <w:tc>
          <w:tcPr>
            <w:tcW w:type="dxa" w:w="1498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6 SOPs</w:t>
            </w:r>
          </w:p>
        </w:tc>
        <w:tc>
          <w:tcPr>
            <w:tcW w:type="dxa" w:w="7862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Each a self-contained piece of work with its own objective, inputs, steps, and quality checklist.</w:t>
            </w:r>
          </w:p>
        </w:tc>
      </w:tr>
      <w:tr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5 components</w:t>
            </w:r>
          </w:p>
        </w:tc>
        <w:tc>
          <w:tcPr>
            <w:tcW w:type="dxa" w:w="7862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Purchasable individually — Insights, Analytics, Intelligence, Compass, Atlas — plus the Business X-Ray wedge.</w:t>
            </w:r>
          </w:p>
        </w:tc>
      </w:tr>
      <w:tr>
        <w:tc>
          <w:tcPr>
            <w:tcW w:type="dxa" w:w="1498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 intake store</w:t>
            </w:r>
          </w:p>
        </w:tc>
        <w:tc>
          <w:tcPr>
            <w:tcW w:type="dxa" w:w="7862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The foundation. Every agent reads it directly; no agent reads another agent’s output as a dependency.</w:t>
            </w:r>
          </w:p>
        </w:tc>
      </w:tr>
      <w:tr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100% reviewed</w:t>
            </w:r>
          </w:p>
        </w:tc>
        <w:tc>
          <w:tcPr>
            <w:tcW w:type="dxa" w:w="7862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Nothing reaches a client without an explicit human release, recorded with person, timestamp, and diff.</w:t>
            </w:r>
          </w:p>
        </w:tc>
      </w:tr>
    </w:tbl>
    <w:p>
      <w:r>
        <w:br w:type="page"/>
      </w:r>
    </w:p>
    <w:p>
      <w:pPr>
        <w:pStyle w:val="Heading2"/>
        <w:keepNext/>
        <w:spacing w:after="140" w:before="200" w:line="42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What a client buys</w:t>
      </w:r>
    </w:p>
    <w:p>
      <w:pPr>
        <w:spacing w:after="13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The Business X-Ray is where most clients start, but any component can be bought alone, in any order. This is what happens in each case.</w:t>
      </w:r>
    </w:p>
    <w:tbl>
      <w:tblPr>
        <w:tblW w:type="dxa" w:w="9360"/>
        <w:tblBorders>
          <w:top w:val="single" w:color="D9D9D9" w:sz="2"/>
          <w:left w:val="none"/>
          <w:bottom w:val="single" w:color="D9D9D9" w:sz="2"/>
          <w:right w:val="none"/>
          <w:insideH w:val="single" w:color="D9D9D9" w:sz="2"/>
          <w:insideV w:val="none"/>
        </w:tblBorders>
      </w:tblPr>
      <w:tblGrid>
        <w:gridCol w:w="2246"/>
        <w:gridCol w:w="2434"/>
        <w:gridCol w:w="4680"/>
      </w:tblGrid>
      <w:tr>
        <w:trPr>
          <w:tblHeader/>
        </w:trPr>
        <w:tc>
          <w:tcPr>
            <w:tcW w:type="dxa" w:w="2246"/>
            <w:shd w:fill="0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Purchase path</w:t>
            </w:r>
          </w:p>
        </w:tc>
        <w:tc>
          <w:tcPr>
            <w:tcW w:type="dxa" w:w="2434"/>
            <w:shd w:fill="0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runs</w:t>
            </w:r>
          </w:p>
        </w:tc>
        <w:tc>
          <w:tcPr>
            <w:tcW w:type="dxa" w:w="4680"/>
            <w:shd w:fill="0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the client gets</w:t>
            </w:r>
          </w:p>
        </w:tc>
      </w:tr>
      <w:tr>
        <w:tc>
          <w:tcPr>
            <w:tcW w:type="dxa" w:w="224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Business X-Ray only</w:t>
            </w:r>
          </w:p>
        </w:tc>
        <w:tc>
          <w:tcPr>
            <w:tcW w:type="dxa" w:w="2434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SOP 01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The wedge, and where most clients start. Fixed fee, 2–3 weeks, low risk. A real prioritized diagnosis ending in a prescription — which components would move the needle, and in what order. Nothing else is required.</w:t>
            </w:r>
          </w:p>
        </w:tc>
      </w:tr>
      <w:tr>
        <w:tc>
          <w:tcPr>
            <w:tcW w:type="dxa" w:w="2246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One component — Analytics</w:t>
            </w:r>
          </w:p>
        </w:tc>
        <w:tc>
          <w:tcPr>
            <w:tcW w:type="dxa" w:w="2434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SOP 03</w:t>
            </w:r>
          </w:p>
        </w:tc>
        <w:tc>
          <w:tcPr>
            <w:tcW w:type="dxa" w:w="4680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Marcus reads intake directly and delivers a complete Profit Map and scenario model. With no owner-validated constraint from Insights, he derives a working hypothesis from the financials and labels it as derived.</w:t>
            </w:r>
          </w:p>
        </w:tc>
      </w:tr>
      <w:tr>
        <w:tc>
          <w:tcPr>
            <w:tcW w:type="dxa" w:w="224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One component — Intelligence</w:t>
            </w:r>
          </w:p>
        </w:tc>
        <w:tc>
          <w:tcPr>
            <w:tcW w:type="dxa" w:w="2434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SOP 04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Natalie runs the whole spatial arc from intake — geocode, segment, trade areas, penetration, site selection — and delivers the map plus a load-and-go ArcGIS package. Framed as where demand is, rather than what to do.</w:t>
            </w:r>
          </w:p>
        </w:tc>
      </w:tr>
      <w:tr>
        <w:tc>
          <w:tcPr>
            <w:tcW w:type="dxa" w:w="2246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 few — X-Ray + Analytics + Compass</w:t>
            </w:r>
          </w:p>
        </w:tc>
        <w:tc>
          <w:tcPr>
            <w:tcW w:type="dxa" w:w="2434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SOP 01, 03, 05</w:t>
            </w:r>
          </w:p>
        </w:tc>
        <w:tc>
          <w:tcPr>
            <w:tcW w:type="dxa" w:w="4680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 common partial path. The X-Ray names the constraint, Analytics quantifies the money, Compass sequences the moves. Aria scores what is evidenced and lists what would need Intelligence to resolve.</w:t>
            </w:r>
          </w:p>
        </w:tc>
      </w:tr>
      <w:tr>
        <w:tc>
          <w:tcPr>
            <w:tcW w:type="dxa" w:w="224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Full Method</w:t>
            </w:r>
          </w:p>
        </w:tc>
        <w:tc>
          <w:tcPr>
            <w:tcW w:type="dxa" w:w="2434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SOP 01–06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The complete arc. Roughly 10–14 weeks to the Focus Plan, then ongoing. Analytics and Intelligence run in parallel.</w:t>
            </w:r>
          </w:p>
        </w:tc>
      </w:tr>
      <w:tr>
        <w:tc>
          <w:tcPr>
            <w:tcW w:type="dxa" w:w="2246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Atlas subscription only</w:t>
            </w:r>
          </w:p>
        </w:tc>
        <w:tc>
          <w:tcPr>
            <w:tcW w:type="dxa" w:w="2434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SOP 06</w:t>
            </w:r>
          </w:p>
        </w:tc>
        <w:tc>
          <w:tcPr>
            <w:tcW w:type="dxa" w:w="4680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Underrated. A client can subscribe to the Scoreboard without ever buying an engagement — Thomas baselines on their own stated goals, establishes period zero, and runs the monthly cadence.</w:t>
            </w:r>
          </w:p>
        </w:tc>
      </w:tr>
    </w:tbl>
    <w:p>
      <w:r>
        <w:br w:type="page"/>
      </w:r>
    </w:p>
    <w:p>
      <w:pPr>
        <w:pStyle w:val="Heading2"/>
        <w:keepNext/>
        <w:spacing w:after="140" w:before="200" w:line="42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The arc</w:t>
      </w:r>
    </w:p>
    <w:tbl>
      <w:tblPr>
        <w:tblW w:type="dxa" w:w="9360"/>
        <w:tblBorders>
          <w:top w:val="single" w:color="D9D9D9" w:sz="2"/>
          <w:left w:val="none"/>
          <w:bottom w:val="single" w:color="D9D9D9" w:sz="2"/>
          <w:right w:val="none"/>
          <w:insideH w:val="single" w:color="D9D9D9" w:sz="2"/>
          <w:insideV w:val="none"/>
        </w:tblBorders>
      </w:tblPr>
      <w:tblGrid>
        <w:gridCol w:w="1498"/>
        <w:gridCol w:w="1404"/>
        <w:gridCol w:w="1217"/>
        <w:gridCol w:w="2246"/>
        <w:gridCol w:w="1872"/>
        <w:gridCol w:w="1123"/>
      </w:tblGrid>
      <w:tr>
        <w:trPr>
          <w:tblHeader/>
        </w:trPr>
        <w:tc>
          <w:tcPr>
            <w:tcW w:type="dxa" w:w="1498"/>
            <w:shd w:fill="0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SOP</w:t>
            </w:r>
          </w:p>
        </w:tc>
        <w:tc>
          <w:tcPr>
            <w:tcW w:type="dxa" w:w="1404"/>
            <w:shd w:fill="0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Segment</w:t>
            </w:r>
          </w:p>
        </w:tc>
        <w:tc>
          <w:tcPr>
            <w:tcW w:type="dxa" w:w="1217"/>
            <w:shd w:fill="0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2246"/>
            <w:shd w:fill="0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The question it answers</w:t>
            </w:r>
          </w:p>
        </w:tc>
        <w:tc>
          <w:tcPr>
            <w:tcW w:type="dxa" w:w="1872"/>
            <w:shd w:fill="0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1123"/>
            <w:shd w:fill="0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Duration</w:t>
            </w:r>
          </w:p>
        </w:tc>
      </w:tr>
      <w:tr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00 Intake &amp; Acceptance</w:t>
            </w:r>
          </w:p>
        </w:tc>
        <w:tc>
          <w:tcPr>
            <w:tcW w:type="dxa" w:w="1404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Prerequisite</w:t>
            </w:r>
          </w:p>
        </w:tc>
        <w:tc>
          <w:tcPr>
            <w:tcW w:type="dxa" w:w="1217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Fenwick</w:t>
            </w:r>
          </w:p>
        </w:tc>
        <w:tc>
          <w:tcPr>
            <w:tcW w:type="dxa" w:w="224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“Do the numbers tie, and what is missing?”</w:t>
            </w:r>
          </w:p>
        </w:tc>
        <w:tc>
          <w:tcPr>
            <w:tcW w:type="dxa" w:w="1872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Reconciled data store + Gap Memo</w:t>
            </w:r>
          </w:p>
        </w:tc>
        <w:tc>
          <w:tcPr>
            <w:tcW w:type="dxa" w:w="1123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Continuous</w:t>
            </w:r>
          </w:p>
        </w:tc>
      </w:tr>
      <w:tr>
        <w:tc>
          <w:tcPr>
            <w:tcW w:type="dxa" w:w="1498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01 Business X-Ray</w:t>
            </w:r>
          </w:p>
        </w:tc>
        <w:tc>
          <w:tcPr>
            <w:tcW w:type="dxa" w:w="1404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Entry / wedge</w:t>
            </w:r>
          </w:p>
        </w:tc>
        <w:tc>
          <w:tcPr>
            <w:tcW w:type="dxa" w:w="1217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Lena</w:t>
            </w:r>
          </w:p>
        </w:tc>
        <w:tc>
          <w:tcPr>
            <w:tcW w:type="dxa" w:w="2246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“Where do we stand, and what do we fix first?”</w:t>
            </w:r>
          </w:p>
        </w:tc>
        <w:tc>
          <w:tcPr>
            <w:tcW w:type="dxa" w:w="1872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X-Ray report + Aperture Score</w:t>
            </w:r>
          </w:p>
        </w:tc>
        <w:tc>
          <w:tcPr>
            <w:tcW w:type="dxa" w:w="1123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2–3 wk</w:t>
            </w:r>
          </w:p>
        </w:tc>
      </w:tr>
      <w:tr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02 Aperture Insights</w:t>
            </w:r>
          </w:p>
        </w:tc>
        <w:tc>
          <w:tcPr>
            <w:tcW w:type="dxa" w:w="1404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01 · Understand</w:t>
            </w:r>
          </w:p>
        </w:tc>
        <w:tc>
          <w:tcPr>
            <w:tcW w:type="dxa" w:w="1217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Lena</w:t>
            </w:r>
          </w:p>
        </w:tc>
        <w:tc>
          <w:tcPr>
            <w:tcW w:type="dxa" w:w="224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“What is happening?”</w:t>
            </w:r>
          </w:p>
        </w:tc>
        <w:tc>
          <w:tcPr>
            <w:tcW w:type="dxa" w:w="1872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Validated constraint, success measures, plan</w:t>
            </w:r>
          </w:p>
        </w:tc>
        <w:tc>
          <w:tcPr>
            <w:tcW w:type="dxa" w:w="1123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2–3 wk</w:t>
            </w:r>
          </w:p>
        </w:tc>
      </w:tr>
      <w:tr>
        <w:tc>
          <w:tcPr>
            <w:tcW w:type="dxa" w:w="1498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03 Aperture Analytics</w:t>
            </w:r>
          </w:p>
        </w:tc>
        <w:tc>
          <w:tcPr>
            <w:tcW w:type="dxa" w:w="1404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02 · Quantify</w:t>
            </w:r>
          </w:p>
        </w:tc>
        <w:tc>
          <w:tcPr>
            <w:tcW w:type="dxa" w:w="1217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Marcus</w:t>
            </w:r>
          </w:p>
        </w:tc>
        <w:tc>
          <w:tcPr>
            <w:tcW w:type="dxa" w:w="2246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“Why is it happening?”</w:t>
            </w:r>
          </w:p>
        </w:tc>
        <w:tc>
          <w:tcPr>
            <w:tcW w:type="dxa" w:w="1872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Profit Map + scenario model</w:t>
            </w:r>
          </w:p>
        </w:tc>
        <w:tc>
          <w:tcPr>
            <w:tcW w:type="dxa" w:w="1123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3–4 wk</w:t>
            </w:r>
          </w:p>
        </w:tc>
      </w:tr>
      <w:tr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04 Aperture Intelligence</w:t>
            </w:r>
          </w:p>
        </w:tc>
        <w:tc>
          <w:tcPr>
            <w:tcW w:type="dxa" w:w="1404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03 · Reveal</w:t>
            </w:r>
          </w:p>
        </w:tc>
        <w:tc>
          <w:tcPr>
            <w:tcW w:type="dxa" w:w="1217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Natalie</w:t>
            </w:r>
          </w:p>
        </w:tc>
        <w:tc>
          <w:tcPr>
            <w:tcW w:type="dxa" w:w="224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“What opportunities does it reveal?”</w:t>
            </w:r>
          </w:p>
        </w:tc>
        <w:tc>
          <w:tcPr>
            <w:tcW w:type="dxa" w:w="1872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Customer &amp; Market Map + ArcGIS package</w:t>
            </w:r>
          </w:p>
        </w:tc>
        <w:tc>
          <w:tcPr>
            <w:tcW w:type="dxa" w:w="1123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2–3 wk</w:t>
            </w:r>
          </w:p>
        </w:tc>
      </w:tr>
      <w:tr>
        <w:tc>
          <w:tcPr>
            <w:tcW w:type="dxa" w:w="1498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05 Aperture Compass</w:t>
            </w:r>
          </w:p>
        </w:tc>
        <w:tc>
          <w:tcPr>
            <w:tcW w:type="dxa" w:w="1404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04 · Navigate</w:t>
            </w:r>
          </w:p>
        </w:tc>
        <w:tc>
          <w:tcPr>
            <w:tcW w:type="dxa" w:w="1217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Aria</w:t>
            </w:r>
          </w:p>
        </w:tc>
        <w:tc>
          <w:tcPr>
            <w:tcW w:type="dxa" w:w="2246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“Where should we go next?”</w:t>
            </w:r>
          </w:p>
        </w:tc>
        <w:tc>
          <w:tcPr>
            <w:tcW w:type="dxa" w:w="1872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Opportunity Matrix + Focus Plan</w:t>
            </w:r>
          </w:p>
        </w:tc>
        <w:tc>
          <w:tcPr>
            <w:tcW w:type="dxa" w:w="1123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1–2 wk</w:t>
            </w:r>
          </w:p>
        </w:tc>
      </w:tr>
      <w:tr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06 Aperture Atlas</w:t>
            </w:r>
          </w:p>
        </w:tc>
        <w:tc>
          <w:tcPr>
            <w:tcW w:type="dxa" w:w="1404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05 · Perform</w:t>
            </w:r>
          </w:p>
        </w:tc>
        <w:tc>
          <w:tcPr>
            <w:tcW w:type="dxa" w:w="1217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Thomas</w:t>
            </w:r>
          </w:p>
        </w:tc>
        <w:tc>
          <w:tcPr>
            <w:tcW w:type="dxa" w:w="224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“How do we sustain and improve results?”</w:t>
            </w:r>
          </w:p>
        </w:tc>
        <w:tc>
          <w:tcPr>
            <w:tcW w:type="dxa" w:w="1872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Live Scoreboard + KPI system</w:t>
            </w:r>
          </w:p>
        </w:tc>
        <w:tc>
          <w:tcPr>
            <w:tcW w:type="dxa" w:w="1123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Ongoing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/>
      </w:r>
    </w:p>
    <w:tbl>
      <w:tblPr>
        <w:tblW w:type="dxa" w:w="9360"/>
        <w:tblBorders>
          <w:top w:val="none"/>
          <w:left w:val="single" w:color="500000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5F2F2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00000"/>
                <w:sz w:val="20"/>
                <w:szCs w:val="20"/>
              </w:rPr>
              <w:t xml:space="preserve">Atlas is a loop, not an end</w:t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Fresh data re-opens the next constraint and can trigger a new component engagement. The arc restarts rather than finishing.</w:t>
            </w:r>
          </w:p>
        </w:tc>
      </w:tr>
    </w:tbl>
    <w:p>
      <w:r>
        <w:br w:type="page"/>
      </w:r>
    </w:p>
    <w:p>
      <w:pPr>
        <w:pStyle w:val="Heading2"/>
        <w:keepNext/>
        <w:spacing w:after="140" w:before="200" w:line="42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Who does what</w:t>
      </w:r>
    </w:p>
    <w:tbl>
      <w:tblPr>
        <w:tblW w:type="dxa" w:w="9360"/>
        <w:tblBorders>
          <w:top w:val="single" w:color="D9D9D9" w:sz="2"/>
          <w:left w:val="none"/>
          <w:bottom w:val="single" w:color="D9D9D9" w:sz="2"/>
          <w:right w:val="none"/>
          <w:insideH w:val="single" w:color="D9D9D9" w:sz="2"/>
          <w:insideV w:val="none"/>
        </w:tblBorders>
      </w:tblPr>
      <w:tblGrid>
        <w:gridCol w:w="1310"/>
        <w:gridCol w:w="2808"/>
        <w:gridCol w:w="5242"/>
      </w:tblGrid>
      <w:tr>
        <w:trPr>
          <w:tblHeader/>
        </w:trPr>
        <w:tc>
          <w:tcPr>
            <w:tcW w:type="dxa" w:w="1310"/>
            <w:shd w:fill="0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Marker</w:t>
            </w:r>
          </w:p>
        </w:tc>
        <w:tc>
          <w:tcPr>
            <w:tcW w:type="dxa" w:w="2808"/>
            <w:shd w:fill="0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Who</w:t>
            </w:r>
          </w:p>
        </w:tc>
        <w:tc>
          <w:tcPr>
            <w:tcW w:type="dxa" w:w="5242"/>
            <w:shd w:fill="0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Examples</w:t>
            </w:r>
          </w:p>
        </w:tc>
      </w:tr>
      <w:tr>
        <w:tc>
          <w:tcPr>
            <w:tcW w:type="dxa" w:w="131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FENWICK</w:t>
            </w:r>
          </w:p>
        </w:tc>
        <w:tc>
          <w:tcPr>
            <w:tcW w:type="dxa" w:w="280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Fenwick. Irreducible.</w:t>
            </w:r>
          </w:p>
        </w:tc>
        <w:tc>
          <w:tcPr>
            <w:tcW w:type="dxa" w:w="5242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Kickoff, the 3–5 interviews, naming the constraint, every readout, setting the cadence.</w:t>
            </w:r>
          </w:p>
        </w:tc>
      </w:tr>
      <w:tr>
        <w:tc>
          <w:tcPr>
            <w:tcW w:type="dxa" w:w="1310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AGENT</w:t>
            </w:r>
          </w:p>
        </w:tc>
        <w:tc>
          <w:tcPr>
            <w:tcW w:type="dxa" w:w="2808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The model reasons, drafts, triangulates.</w:t>
            </w:r>
          </w:p>
        </w:tc>
        <w:tc>
          <w:tcPr>
            <w:tcW w:type="dxa" w:w="5242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Scoring the seven lenses, triangulating interview claims against the ledger, interpreting a site model, drafting a report.</w:t>
            </w:r>
          </w:p>
        </w:tc>
      </w:tr>
      <w:tr>
        <w:tc>
          <w:tcPr>
            <w:tcW w:type="dxa" w:w="131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TOOL</w:t>
            </w:r>
          </w:p>
        </w:tc>
        <w:tc>
          <w:tcPr>
            <w:tcW w:type="dxa" w:w="280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Deterministic code. The number of record.</w:t>
            </w:r>
          </w:p>
        </w:tc>
        <w:tc>
          <w:tcPr>
            <w:tcW w:type="dxa" w:w="5242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Reconciliation, the Profit Map, break-even and sensitivity, trade areas, the weighted matrix, the Aperture Score composite.</w:t>
            </w:r>
          </w:p>
        </w:tc>
      </w:tr>
      <w:tr>
        <w:tc>
          <w:tcPr>
            <w:tcW w:type="dxa" w:w="1310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HYBRID</w:t>
            </w:r>
          </w:p>
        </w:tc>
        <w:tc>
          <w:tcPr>
            <w:tcW w:type="dxa" w:w="2808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The agent proposes, a person decides.</w:t>
            </w:r>
          </w:p>
        </w:tc>
        <w:tc>
          <w:tcPr>
            <w:tcW w:type="dxa" w:w="5242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Constraint candidates, success measures, component sequencing, Now/Next/Later, KPI definitions.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/>
      </w:r>
    </w:p>
    <w:p>
      <w:pPr>
        <w:keepNext/>
        <w:spacing w:after="50" w:before="180" w:line="2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The split that matters</w:t>
      </w:r>
    </w:p>
    <w:p>
      <w:pPr>
        <w:spacing w:after="13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Agents compress the mechanical 80%. They do not touch the judgment 20%. Every agent produces findings and artifacts, never conclusions and advice — the recommendation and the call stay with you, because that is the mile the client is paying for.</w:t>
      </w:r>
    </w:p>
    <w:p>
      <w:r>
        <w:br w:type="page"/>
      </w:r>
    </w:p>
    <w:p>
      <w:pPr>
        <w:pStyle w:val="Heading2"/>
        <w:keepNext/>
        <w:spacing w:after="140" w:before="200" w:line="42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When it happens</w:t>
      </w:r>
    </w:p>
    <w:p>
      <w:pPr>
        <w:spacing w:after="13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Elapsed weeks for a full Method engagement. These durations are calendar-bound by client scheduling, not by analysis time — which is exactly what the agents change. A standalone purchase collapses to its own bar.</w:t>
      </w:r>
    </w:p>
    <w:tbl>
      <w:tblPr>
        <w:tblW w:type="dxa" w:w="9360"/>
        <w:tblBorders>
          <w:top w:val="single" w:color="D9D9D9" w:sz="2"/>
          <w:left w:val="none"/>
          <w:bottom w:val="single" w:color="D9D9D9" w:sz="2"/>
          <w:right w:val="none"/>
          <w:insideH w:val="single" w:color="D9D9D9" w:sz="2"/>
          <w:insideV w:val="none"/>
        </w:tblBorders>
      </w:tblPr>
      <w:tblGrid>
        <w:gridCol w:w="3182"/>
        <w:gridCol w:w="2059"/>
        <w:gridCol w:w="4118"/>
      </w:tblGrid>
      <w:tr>
        <w:trPr>
          <w:tblHeader/>
        </w:trPr>
        <w:tc>
          <w:tcPr>
            <w:tcW w:type="dxa" w:w="3182"/>
            <w:shd w:fill="0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Segment</w:t>
            </w:r>
          </w:p>
        </w:tc>
        <w:tc>
          <w:tcPr>
            <w:tcW w:type="dxa" w:w="2059"/>
            <w:shd w:fill="0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Weeks</w:t>
            </w:r>
          </w:p>
        </w:tc>
        <w:tc>
          <w:tcPr>
            <w:tcW w:type="dxa" w:w="4118"/>
            <w:shd w:fill="0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Runs in parallel with</w:t>
            </w:r>
          </w:p>
        </w:tc>
      </w:tr>
      <w:tr>
        <w:tc>
          <w:tcPr>
            <w:tcW w:type="dxa" w:w="3182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Business X-Ray</w:t>
            </w:r>
          </w:p>
        </w:tc>
        <w:tc>
          <w:tcPr>
            <w:tcW w:type="dxa" w:w="2059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0 – 3</w:t>
            </w:r>
          </w:p>
        </w:tc>
        <w:tc>
          <w:tcPr>
            <w:tcW w:type="dxa" w:w="411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82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Aperture Insights</w:t>
            </w:r>
          </w:p>
        </w:tc>
        <w:tc>
          <w:tcPr>
            <w:tcW w:type="dxa" w:w="2059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3 – 6</w:t>
            </w:r>
          </w:p>
        </w:tc>
        <w:tc>
          <w:tcPr>
            <w:tcW w:type="dxa" w:w="4118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82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Aperture Analytics</w:t>
            </w:r>
          </w:p>
        </w:tc>
        <w:tc>
          <w:tcPr>
            <w:tcW w:type="dxa" w:w="2059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6 – 10</w:t>
            </w:r>
          </w:p>
        </w:tc>
        <w:tc>
          <w:tcPr>
            <w:tcW w:type="dxa" w:w="411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Aperture Intelligence</w:t>
            </w:r>
          </w:p>
        </w:tc>
      </w:tr>
      <w:tr>
        <w:tc>
          <w:tcPr>
            <w:tcW w:type="dxa" w:w="3182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Aperture Intelligence</w:t>
            </w:r>
          </w:p>
        </w:tc>
        <w:tc>
          <w:tcPr>
            <w:tcW w:type="dxa" w:w="2059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6 – 9</w:t>
            </w:r>
          </w:p>
        </w:tc>
        <w:tc>
          <w:tcPr>
            <w:tcW w:type="dxa" w:w="4118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Aperture Analytics</w:t>
            </w:r>
          </w:p>
        </w:tc>
      </w:tr>
      <w:tr>
        <w:tc>
          <w:tcPr>
            <w:tcW w:type="dxa" w:w="3182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Aperture Compass</w:t>
            </w:r>
          </w:p>
        </w:tc>
        <w:tc>
          <w:tcPr>
            <w:tcW w:type="dxa" w:w="2059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10 – 12</w:t>
            </w:r>
          </w:p>
        </w:tc>
        <w:tc>
          <w:tcPr>
            <w:tcW w:type="dxa" w:w="411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— (needs both above)</w:t>
            </w:r>
          </w:p>
        </w:tc>
      </w:tr>
      <w:tr>
        <w:tc>
          <w:tcPr>
            <w:tcW w:type="dxa" w:w="3182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Aperture Atlas</w:t>
            </w:r>
          </w:p>
        </w:tc>
        <w:tc>
          <w:tcPr>
            <w:tcW w:type="dxa" w:w="2059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12 onward</w:t>
            </w:r>
          </w:p>
        </w:tc>
        <w:tc>
          <w:tcPr>
            <w:tcW w:type="dxa" w:w="4118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Ongoing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/>
      </w:r>
    </w:p>
    <w:tbl>
      <w:tblPr>
        <w:tblW w:type="dxa" w:w="9360"/>
        <w:tblBorders>
          <w:top w:val="none"/>
          <w:left w:val="single" w:color="500000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5F2F2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00000"/>
                <w:sz w:val="20"/>
                <w:szCs w:val="20"/>
              </w:rPr>
              <w:t xml:space="preserve">What the 2–3 weeks of an X-Ray actually is</w:t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 45–60 minute kickoff, a data-return wait on the client, 3–5 interviews of 45 minutes each that have to be scheduled, and a 60-minute readout. Those are irreducibly human. What agents compress is everything between the meetings — so the duration stays the same and your hands-on time inside it drops from most of two weeks to a day of review. That is what lets you run five or ten at once.</w:t>
            </w:r>
          </w:p>
        </w:tc>
      </w:tr>
    </w:tbl>
    <w:p>
      <w:r>
        <w:br w:type="page"/>
      </w:r>
    </w:p>
    <w:p>
      <w:pPr>
        <w:pStyle w:val="Heading2"/>
        <w:keepNext/>
        <w:spacing w:after="140" w:before="200" w:line="42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SOP 01 · Business X-Ray</w:t>
      </w:r>
    </w:p>
    <w:p>
      <w:pPr>
        <w:spacing w:after="130" w:before="0" w:line="276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00000"/>
          <w:sz w:val="21"/>
          <w:szCs w:val="21"/>
        </w:rPr>
        <w:t xml:space="preserve">Lena · The Strategist · 2–3 weeks</w:t>
      </w:r>
    </w:p>
    <w:p>
      <w:pPr>
        <w:spacing w:after="13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A structured, seven-lens read of the whole business, the single biggest constraint holding it back, and an Aperture Score baseline the client can track.</w:t>
      </w:r>
    </w:p>
    <w:p>
      <w:pPr>
        <w:keepNext/>
        <w:spacing w:after="50" w:before="180" w:line="2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Process</w:t>
      </w:r>
    </w:p>
    <w:tbl>
      <w:tblPr>
        <w:tblW w:type="dxa" w:w="9360"/>
        <w:tblBorders>
          <w:top w:val="single" w:color="D9D9D9" w:sz="2"/>
          <w:left w:val="none"/>
          <w:bottom w:val="single" w:color="D9D9D9" w:sz="2"/>
          <w:right w:val="none"/>
          <w:insideH w:val="single" w:color="D9D9D9" w:sz="2"/>
          <w:insideV w:val="none"/>
        </w:tblBorders>
      </w:tblPr>
      <w:tblGrid>
        <w:gridCol w:w="4867"/>
        <w:gridCol w:w="1498"/>
        <w:gridCol w:w="2995"/>
      </w:tblGrid>
      <w:tr>
        <w:trPr>
          <w:tblHeader/>
        </w:trPr>
        <w:tc>
          <w:tcPr>
            <w:tcW w:type="dxa" w:w="4867"/>
            <w:shd w:fill="0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1498"/>
            <w:shd w:fill="0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Who</w:t>
            </w:r>
          </w:p>
        </w:tc>
        <w:tc>
          <w:tcPr>
            <w:tcW w:type="dxa" w:w="2995"/>
            <w:shd w:fill="0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Output</w:t>
            </w:r>
          </w:p>
        </w:tc>
      </w:tr>
      <w:tr>
        <w:tc>
          <w:tcPr>
            <w:tcW w:type="dxa" w:w="4867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 Kickoff &amp; data request</w:t>
            </w:r>
          </w:p>
        </w:tc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FENWICK</w:t>
            </w:r>
          </w:p>
        </w:tc>
        <w:tc>
          <w:tcPr>
            <w:tcW w:type="dxa" w:w="2995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Signed-off scope</w:t>
            </w:r>
          </w:p>
        </w:tc>
      </w:tr>
      <w:tr>
        <w:tc>
          <w:tcPr>
            <w:tcW w:type="dxa" w:w="4867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 Assemble &amp; sanity-check</w:t>
            </w:r>
          </w:p>
        </w:tc>
        <w:tc>
          <w:tcPr>
            <w:tcW w:type="dxa" w:w="1498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TOOL</w:t>
            </w:r>
          </w:p>
        </w:tc>
        <w:tc>
          <w:tcPr>
            <w:tcW w:type="dxa" w:w="2995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Reconciled model</w:t>
            </w:r>
          </w:p>
        </w:tc>
      </w:tr>
      <w:tr>
        <w:tc>
          <w:tcPr>
            <w:tcW w:type="dxa" w:w="4867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3 Seven-lens diagnostic</w:t>
            </w:r>
          </w:p>
        </w:tc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AGENT</w:t>
            </w:r>
          </w:p>
        </w:tc>
        <w:tc>
          <w:tcPr>
            <w:tcW w:type="dxa" w:w="2995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7 scored lenses</w:t>
            </w:r>
          </w:p>
        </w:tc>
      </w:tr>
      <w:tr>
        <w:tc>
          <w:tcPr>
            <w:tcW w:type="dxa" w:w="4867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4 Interviews</w:t>
            </w:r>
          </w:p>
        </w:tc>
        <w:tc>
          <w:tcPr>
            <w:tcW w:type="dxa" w:w="1498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FENWICK</w:t>
            </w:r>
          </w:p>
        </w:tc>
        <w:tc>
          <w:tcPr>
            <w:tcW w:type="dxa" w:w="2995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Triangulated findings</w:t>
            </w:r>
          </w:p>
        </w:tc>
      </w:tr>
      <w:tr>
        <w:tc>
          <w:tcPr>
            <w:tcW w:type="dxa" w:w="4867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5 Score &amp; weight</w:t>
            </w:r>
          </w:p>
        </w:tc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TOOL</w:t>
            </w:r>
          </w:p>
        </w:tc>
        <w:tc>
          <w:tcPr>
            <w:tcW w:type="dxa" w:w="2995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Aperture Score</w:t>
            </w:r>
          </w:p>
        </w:tc>
      </w:tr>
      <w:tr>
        <w:tc>
          <w:tcPr>
            <w:tcW w:type="dxa" w:w="4867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6 Name the binding constraint</w:t>
            </w:r>
          </w:p>
        </w:tc>
        <w:tc>
          <w:tcPr>
            <w:tcW w:type="dxa" w:w="1498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HYBRID</w:t>
            </w:r>
          </w:p>
        </w:tc>
        <w:tc>
          <w:tcPr>
            <w:tcW w:type="dxa" w:w="2995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The #1 constraint</w:t>
            </w:r>
          </w:p>
        </w:tc>
      </w:tr>
      <w:tr>
        <w:tc>
          <w:tcPr>
            <w:tcW w:type="dxa" w:w="4867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7 Synthesis &amp; report</w:t>
            </w:r>
          </w:p>
        </w:tc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AGENT</w:t>
            </w:r>
          </w:p>
        </w:tc>
        <w:tc>
          <w:tcPr>
            <w:tcW w:type="dxa" w:w="2995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X-Ray report</w:t>
            </w:r>
          </w:p>
        </w:tc>
      </w:tr>
      <w:tr>
        <w:tc>
          <w:tcPr>
            <w:tcW w:type="dxa" w:w="4867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8 Readout</w:t>
            </w:r>
          </w:p>
        </w:tc>
        <w:tc>
          <w:tcPr>
            <w:tcW w:type="dxa" w:w="1498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FENWICK</w:t>
            </w:r>
          </w:p>
        </w:tc>
        <w:tc>
          <w:tcPr>
            <w:tcW w:type="dxa" w:w="2995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Client decision</w:t>
            </w:r>
          </w:p>
        </w:tc>
      </w:tr>
    </w:tbl>
    <w:p>
      <w:pPr>
        <w:keepNext/>
        <w:spacing w:after="50" w:before="180" w:line="2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Quality gates — each becomes an executable assertion</w:t>
      </w:r>
    </w:p>
    <w:p>
      <w:pPr>
        <w:pStyle w:val="ListParagraph"/>
        <w:numPr>
          <w:ilvl w:val="0"/>
          <w:numId w:val="1"/>
        </w:numPr>
        <w:spacing w:after="7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Every headline number reconciles to the client’s financials</w:t>
      </w:r>
    </w:p>
    <w:p>
      <w:pPr>
        <w:pStyle w:val="ListParagraph"/>
        <w:numPr>
          <w:ilvl w:val="0"/>
          <w:numId w:val="1"/>
        </w:numPr>
        <w:spacing w:after="7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Each of the seven lenses has evidence, not just an opinion</w:t>
      </w:r>
    </w:p>
    <w:p>
      <w:pPr>
        <w:pStyle w:val="ListParagraph"/>
        <w:numPr>
          <w:ilvl w:val="0"/>
          <w:numId w:val="1"/>
        </w:numPr>
        <w:spacing w:after="7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The Aperture Score is reproducible from recorded inputs and weights</w:t>
      </w:r>
    </w:p>
    <w:p>
      <w:pPr>
        <w:pStyle w:val="ListParagraph"/>
        <w:numPr>
          <w:ilvl w:val="0"/>
          <w:numId w:val="1"/>
        </w:numPr>
        <w:spacing w:after="7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The #1 constraint is singular, specific, and defensible</w:t>
      </w:r>
    </w:p>
    <w:p>
      <w:pPr>
        <w:pStyle w:val="ListParagraph"/>
        <w:numPr>
          <w:ilvl w:val="0"/>
          <w:numId w:val="1"/>
        </w:numPr>
        <w:spacing w:after="7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The report is readable by a non-analyst</w:t>
      </w:r>
    </w:p>
    <w:p>
      <w:pPr>
        <w:pStyle w:val="ListParagraph"/>
        <w:numPr>
          <w:ilvl w:val="0"/>
          <w:numId w:val="1"/>
        </w:numPr>
        <w:spacing w:after="7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The prescription names concrete next components and why</w:t>
      </w:r>
    </w:p>
    <w:p>
      <w:pPr>
        <w:pStyle w:val="ListParagraph"/>
        <w:numPr>
          <w:ilvl w:val="0"/>
          <w:numId w:val="1"/>
        </w:numPr>
        <w:spacing w:after="7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All PII handled per the data-security standard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/>
      </w:r>
    </w:p>
    <w:tbl>
      <w:tblPr>
        <w:tblW w:type="dxa" w:w="9360"/>
        <w:tblBorders>
          <w:top w:val="none"/>
          <w:left w:val="single" w:color="500000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5F2F2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00000"/>
                <w:sz w:val="20"/>
                <w:szCs w:val="20"/>
              </w:rPr>
              <w:t xml:space="preserve">Standalone behaviour</w:t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The standalone product by design. It needs nothing but intake.</w:t>
            </w:r>
          </w:p>
        </w:tc>
      </w:tr>
    </w:tbl>
    <w:p>
      <w:r>
        <w:br w:type="page"/>
      </w:r>
    </w:p>
    <w:p>
      <w:pPr>
        <w:pStyle w:val="Heading2"/>
        <w:keepNext/>
        <w:spacing w:after="140" w:before="200" w:line="42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SOP 02 · Aperture Insights</w:t>
      </w:r>
    </w:p>
    <w:p>
      <w:pPr>
        <w:spacing w:after="130" w:before="0" w:line="276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00000"/>
          <w:sz w:val="21"/>
          <w:szCs w:val="21"/>
        </w:rPr>
        <w:t xml:space="preserve">Lena · The Strategist · 2–3 weeks</w:t>
      </w:r>
    </w:p>
    <w:p>
      <w:pPr>
        <w:spacing w:after="13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The shared, quantified baseline the rest of the Method builds on — confirms or produces the X-Ray, then frames the full engagement.</w:t>
      </w:r>
    </w:p>
    <w:p>
      <w:pPr>
        <w:keepNext/>
        <w:spacing w:after="50" w:before="180" w:line="2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Process</w:t>
      </w:r>
    </w:p>
    <w:tbl>
      <w:tblPr>
        <w:tblW w:type="dxa" w:w="9360"/>
        <w:tblBorders>
          <w:top w:val="single" w:color="D9D9D9" w:sz="2"/>
          <w:left w:val="none"/>
          <w:bottom w:val="single" w:color="D9D9D9" w:sz="2"/>
          <w:right w:val="none"/>
          <w:insideH w:val="single" w:color="D9D9D9" w:sz="2"/>
          <w:insideV w:val="none"/>
        </w:tblBorders>
      </w:tblPr>
      <w:tblGrid>
        <w:gridCol w:w="4867"/>
        <w:gridCol w:w="1498"/>
        <w:gridCol w:w="2995"/>
      </w:tblGrid>
      <w:tr>
        <w:trPr>
          <w:tblHeader/>
        </w:trPr>
        <w:tc>
          <w:tcPr>
            <w:tcW w:type="dxa" w:w="4867"/>
            <w:shd w:fill="0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1498"/>
            <w:shd w:fill="0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Who</w:t>
            </w:r>
          </w:p>
        </w:tc>
        <w:tc>
          <w:tcPr>
            <w:tcW w:type="dxa" w:w="2995"/>
            <w:shd w:fill="0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Output</w:t>
            </w:r>
          </w:p>
        </w:tc>
      </w:tr>
      <w:tr>
        <w:tc>
          <w:tcPr>
            <w:tcW w:type="dxa" w:w="4867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 Confirm or produce the X-Ray</w:t>
            </w:r>
          </w:p>
        </w:tc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AGENT</w:t>
            </w:r>
          </w:p>
        </w:tc>
        <w:tc>
          <w:tcPr>
            <w:tcW w:type="dxa" w:w="2995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X-Ray on file</w:t>
            </w:r>
          </w:p>
        </w:tc>
      </w:tr>
      <w:tr>
        <w:tc>
          <w:tcPr>
            <w:tcW w:type="dxa" w:w="4867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 Validate the constraint with the owner</w:t>
            </w:r>
          </w:p>
        </w:tc>
        <w:tc>
          <w:tcPr>
            <w:tcW w:type="dxa" w:w="1498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FENWICK</w:t>
            </w:r>
          </w:p>
        </w:tc>
        <w:tc>
          <w:tcPr>
            <w:tcW w:type="dxa" w:w="2995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Constraint agreed in writing</w:t>
            </w:r>
          </w:p>
        </w:tc>
      </w:tr>
      <w:tr>
        <w:tc>
          <w:tcPr>
            <w:tcW w:type="dxa" w:w="4867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3 Define success measures</w:t>
            </w:r>
          </w:p>
        </w:tc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HYBRID</w:t>
            </w:r>
          </w:p>
        </w:tc>
        <w:tc>
          <w:tcPr>
            <w:tcW w:type="dxa" w:w="2995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Baselines + targets</w:t>
            </w:r>
          </w:p>
        </w:tc>
      </w:tr>
      <w:tr>
        <w:tc>
          <w:tcPr>
            <w:tcW w:type="dxa" w:w="4867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4 Sequence the components</w:t>
            </w:r>
          </w:p>
        </w:tc>
        <w:tc>
          <w:tcPr>
            <w:tcW w:type="dxa" w:w="1498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HYBRID</w:t>
            </w:r>
          </w:p>
        </w:tc>
        <w:tc>
          <w:tcPr>
            <w:tcW w:type="dxa" w:w="2995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Engagement plan</w:t>
            </w:r>
          </w:p>
        </w:tc>
      </w:tr>
      <w:tr>
        <w:tc>
          <w:tcPr>
            <w:tcW w:type="dxa" w:w="4867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5 Readout &amp; mobilize</w:t>
            </w:r>
          </w:p>
        </w:tc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FENWICK</w:t>
            </w:r>
          </w:p>
        </w:tc>
        <w:tc>
          <w:tcPr>
            <w:tcW w:type="dxa" w:w="2995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Plan approved</w:t>
            </w:r>
          </w:p>
        </w:tc>
      </w:tr>
    </w:tbl>
    <w:p>
      <w:pPr>
        <w:keepNext/>
        <w:spacing w:after="50" w:before="180" w:line="2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Quality gates — each becomes an executable assertion</w:t>
      </w:r>
    </w:p>
    <w:p>
      <w:pPr>
        <w:pStyle w:val="ListParagraph"/>
        <w:numPr>
          <w:ilvl w:val="0"/>
          <w:numId w:val="1"/>
        </w:numPr>
        <w:spacing w:after="7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The constraint is agreed with the owner in writing</w:t>
      </w:r>
    </w:p>
    <w:p>
      <w:pPr>
        <w:pStyle w:val="ListParagraph"/>
        <w:numPr>
          <w:ilvl w:val="0"/>
          <w:numId w:val="1"/>
        </w:numPr>
        <w:spacing w:after="7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Success measures are specific, baselined, and trackable</w:t>
      </w:r>
    </w:p>
    <w:p>
      <w:pPr>
        <w:pStyle w:val="ListParagraph"/>
        <w:numPr>
          <w:ilvl w:val="0"/>
          <w:numId w:val="1"/>
        </w:numPr>
        <w:spacing w:after="7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Each downstream component has its data prerequisites listed</w:t>
      </w:r>
    </w:p>
    <w:p>
      <w:pPr>
        <w:pStyle w:val="ListParagraph"/>
        <w:numPr>
          <w:ilvl w:val="0"/>
          <w:numId w:val="1"/>
        </w:numPr>
        <w:spacing w:after="7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Phase-gate dates and decision criteria are set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/>
      </w:r>
    </w:p>
    <w:tbl>
      <w:tblPr>
        <w:tblW w:type="dxa" w:w="9360"/>
        <w:tblBorders>
          <w:top w:val="none"/>
          <w:left w:val="single" w:color="500000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5F2F2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00000"/>
                <w:sz w:val="20"/>
                <w:szCs w:val="20"/>
              </w:rPr>
              <w:t xml:space="preserve">Standalone behaviour</w:t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The engagement-opening phase. Bought without a prior X-Ray, it runs the X-Ray SOP first.</w:t>
            </w:r>
          </w:p>
        </w:tc>
      </w:tr>
    </w:tbl>
    <w:p>
      <w:r>
        <w:br w:type="page"/>
      </w:r>
    </w:p>
    <w:p>
      <w:pPr>
        <w:pStyle w:val="Heading2"/>
        <w:keepNext/>
        <w:spacing w:after="140" w:before="200" w:line="42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SOP 03 · Aperture Analytics</w:t>
      </w:r>
    </w:p>
    <w:p>
      <w:pPr>
        <w:spacing w:after="130" w:before="0" w:line="276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00000"/>
          <w:sz w:val="21"/>
          <w:szCs w:val="21"/>
        </w:rPr>
        <w:t xml:space="preserve">Marcus · The Analyst · 3–4 weeks</w:t>
      </w:r>
    </w:p>
    <w:p>
      <w:pPr>
        <w:spacing w:after="13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Exactly where the business makes and loses money — by product, location, and customer — plus a scenario model so decisions can be tested before they are made.</w:t>
      </w:r>
    </w:p>
    <w:p>
      <w:pPr>
        <w:keepNext/>
        <w:spacing w:after="50" w:before="180" w:line="2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Process</w:t>
      </w:r>
    </w:p>
    <w:tbl>
      <w:tblPr>
        <w:tblW w:type="dxa" w:w="9360"/>
        <w:tblBorders>
          <w:top w:val="single" w:color="D9D9D9" w:sz="2"/>
          <w:left w:val="none"/>
          <w:bottom w:val="single" w:color="D9D9D9" w:sz="2"/>
          <w:right w:val="none"/>
          <w:insideH w:val="single" w:color="D9D9D9" w:sz="2"/>
          <w:insideV w:val="none"/>
        </w:tblBorders>
      </w:tblPr>
      <w:tblGrid>
        <w:gridCol w:w="4867"/>
        <w:gridCol w:w="1498"/>
        <w:gridCol w:w="2995"/>
      </w:tblGrid>
      <w:tr>
        <w:trPr>
          <w:tblHeader/>
        </w:trPr>
        <w:tc>
          <w:tcPr>
            <w:tcW w:type="dxa" w:w="4867"/>
            <w:shd w:fill="0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1498"/>
            <w:shd w:fill="0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Who</w:t>
            </w:r>
          </w:p>
        </w:tc>
        <w:tc>
          <w:tcPr>
            <w:tcW w:type="dxa" w:w="2995"/>
            <w:shd w:fill="0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Output</w:t>
            </w:r>
          </w:p>
        </w:tc>
      </w:tr>
      <w:tr>
        <w:tc>
          <w:tcPr>
            <w:tcW w:type="dxa" w:w="4867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 Build the financial model</w:t>
            </w:r>
          </w:p>
        </w:tc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TOOL</w:t>
            </w:r>
          </w:p>
        </w:tc>
        <w:tc>
          <w:tcPr>
            <w:tcW w:type="dxa" w:w="2995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Reconciled model</w:t>
            </w:r>
          </w:p>
        </w:tc>
      </w:tr>
      <w:tr>
        <w:tc>
          <w:tcPr>
            <w:tcW w:type="dxa" w:w="4867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 Map profitability</w:t>
            </w:r>
          </w:p>
        </w:tc>
        <w:tc>
          <w:tcPr>
            <w:tcW w:type="dxa" w:w="1498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TOOL</w:t>
            </w:r>
          </w:p>
        </w:tc>
        <w:tc>
          <w:tcPr>
            <w:tcW w:type="dxa" w:w="2995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Profit Map</w:t>
            </w:r>
          </w:p>
        </w:tc>
      </w:tr>
      <w:tr>
        <w:tc>
          <w:tcPr>
            <w:tcW w:type="dxa" w:w="4867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3 80/20 &amp; cost structure</w:t>
            </w:r>
          </w:p>
        </w:tc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TOOL</w:t>
            </w:r>
          </w:p>
        </w:tc>
        <w:tc>
          <w:tcPr>
            <w:tcW w:type="dxa" w:w="2995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Ranked drivers</w:t>
            </w:r>
          </w:p>
        </w:tc>
      </w:tr>
      <w:tr>
        <w:tc>
          <w:tcPr>
            <w:tcW w:type="dxa" w:w="4867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4 Break-even &amp; sensitivity</w:t>
            </w:r>
          </w:p>
        </w:tc>
        <w:tc>
          <w:tcPr>
            <w:tcW w:type="dxa" w:w="1498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TOOL</w:t>
            </w:r>
          </w:p>
        </w:tc>
        <w:tc>
          <w:tcPr>
            <w:tcW w:type="dxa" w:w="2995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Sensitivity ranges</w:t>
            </w:r>
          </w:p>
        </w:tc>
      </w:tr>
      <w:tr>
        <w:tc>
          <w:tcPr>
            <w:tcW w:type="dxa" w:w="4867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5 Scenario / forecast model</w:t>
            </w:r>
          </w:p>
        </w:tc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AGENT</w:t>
            </w:r>
          </w:p>
        </w:tc>
        <w:tc>
          <w:tcPr>
            <w:tcW w:type="dxa" w:w="2995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Interactive model</w:t>
            </w:r>
          </w:p>
        </w:tc>
      </w:tr>
      <w:tr>
        <w:tc>
          <w:tcPr>
            <w:tcW w:type="dxa" w:w="4867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6 Synthesis &amp; readout</w:t>
            </w:r>
          </w:p>
        </w:tc>
        <w:tc>
          <w:tcPr>
            <w:tcW w:type="dxa" w:w="1498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AGENT</w:t>
            </w:r>
          </w:p>
        </w:tc>
        <w:tc>
          <w:tcPr>
            <w:tcW w:type="dxa" w:w="2995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Prioritized moves</w:t>
            </w:r>
          </w:p>
        </w:tc>
      </w:tr>
    </w:tbl>
    <w:p>
      <w:pPr>
        <w:keepNext/>
        <w:spacing w:after="50" w:before="180" w:line="2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Quality gates — each becomes an executable assertion</w:t>
      </w:r>
    </w:p>
    <w:p>
      <w:pPr>
        <w:pStyle w:val="ListParagraph"/>
        <w:numPr>
          <w:ilvl w:val="0"/>
          <w:numId w:val="1"/>
        </w:numPr>
        <w:spacing w:after="7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The model reconciles to the client’s financials to the dollar</w:t>
      </w:r>
    </w:p>
    <w:p>
      <w:pPr>
        <w:pStyle w:val="ListParagraph"/>
        <w:numPr>
          <w:ilvl w:val="0"/>
          <w:numId w:val="1"/>
        </w:numPr>
        <w:spacing w:after="7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Cost allocations are documented and defensible</w:t>
      </w:r>
    </w:p>
    <w:p>
      <w:pPr>
        <w:pStyle w:val="ListParagraph"/>
        <w:numPr>
          <w:ilvl w:val="0"/>
          <w:numId w:val="1"/>
        </w:numPr>
        <w:spacing w:after="7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Profit cuts are shown only at the level the data supports — no false precision</w:t>
      </w:r>
    </w:p>
    <w:p>
      <w:pPr>
        <w:pStyle w:val="ListParagraph"/>
        <w:numPr>
          <w:ilvl w:val="0"/>
          <w:numId w:val="1"/>
        </w:numPr>
        <w:spacing w:after="7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Scenario assumptions are explicit and adjustable</w:t>
      </w:r>
    </w:p>
    <w:p>
      <w:pPr>
        <w:pStyle w:val="ListParagraph"/>
        <w:numPr>
          <w:ilvl w:val="0"/>
          <w:numId w:val="1"/>
        </w:numPr>
        <w:spacing w:after="7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Recommendations tie back to the #1 constraint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/>
      </w:r>
    </w:p>
    <w:tbl>
      <w:tblPr>
        <w:tblW w:type="dxa" w:w="9360"/>
        <w:tblBorders>
          <w:top w:val="none"/>
          <w:left w:val="single" w:color="500000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5F2F2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00000"/>
                <w:sz w:val="20"/>
                <w:szCs w:val="20"/>
              </w:rPr>
              <w:t xml:space="preserve">Standalone behaviour</w:t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Bought alone, Marcus derives a working constraint hypothesis from the financials and labels it “derived — not owner-validated.”</w:t>
            </w:r>
          </w:p>
        </w:tc>
      </w:tr>
    </w:tbl>
    <w:p>
      <w:r>
        <w:br w:type="page"/>
      </w:r>
    </w:p>
    <w:p>
      <w:pPr>
        <w:pStyle w:val="Heading2"/>
        <w:keepNext/>
        <w:spacing w:after="140" w:before="200" w:line="42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SOP 04 · Aperture Intelligence</w:t>
      </w:r>
    </w:p>
    <w:p>
      <w:pPr>
        <w:spacing w:after="130" w:before="0" w:line="276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00000"/>
          <w:sz w:val="21"/>
          <w:szCs w:val="21"/>
        </w:rPr>
        <w:t xml:space="preserve">Natalie · The Explorer · 2–3 weeks</w:t>
      </w:r>
    </w:p>
    <w:p>
      <w:pPr>
        <w:spacing w:after="13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Who the best customers are, where they are, and where the next ones will come from — market, customers, and competitors over real geography.</w:t>
      </w:r>
    </w:p>
    <w:p>
      <w:pPr>
        <w:keepNext/>
        <w:spacing w:after="50" w:before="180" w:line="2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Process</w:t>
      </w:r>
    </w:p>
    <w:tbl>
      <w:tblPr>
        <w:tblW w:type="dxa" w:w="9360"/>
        <w:tblBorders>
          <w:top w:val="single" w:color="D9D9D9" w:sz="2"/>
          <w:left w:val="none"/>
          <w:bottom w:val="single" w:color="D9D9D9" w:sz="2"/>
          <w:right w:val="none"/>
          <w:insideH w:val="single" w:color="D9D9D9" w:sz="2"/>
          <w:insideV w:val="none"/>
        </w:tblBorders>
      </w:tblPr>
      <w:tblGrid>
        <w:gridCol w:w="4867"/>
        <w:gridCol w:w="1498"/>
        <w:gridCol w:w="2995"/>
      </w:tblGrid>
      <w:tr>
        <w:trPr>
          <w:tblHeader/>
        </w:trPr>
        <w:tc>
          <w:tcPr>
            <w:tcW w:type="dxa" w:w="4867"/>
            <w:shd w:fill="0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1498"/>
            <w:shd w:fill="0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Who</w:t>
            </w:r>
          </w:p>
        </w:tc>
        <w:tc>
          <w:tcPr>
            <w:tcW w:type="dxa" w:w="2995"/>
            <w:shd w:fill="0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Output</w:t>
            </w:r>
          </w:p>
        </w:tc>
      </w:tr>
      <w:tr>
        <w:tc>
          <w:tcPr>
            <w:tcW w:type="dxa" w:w="4867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 Assemble &amp; geocode</w:t>
            </w:r>
          </w:p>
        </w:tc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TOOL</w:t>
            </w:r>
          </w:p>
        </w:tc>
        <w:tc>
          <w:tcPr>
            <w:tcW w:type="dxa" w:w="2995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De-identified layer</w:t>
            </w:r>
          </w:p>
        </w:tc>
      </w:tr>
      <w:tr>
        <w:tc>
          <w:tcPr>
            <w:tcW w:type="dxa" w:w="4867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 Customer analytics</w:t>
            </w:r>
          </w:p>
        </w:tc>
        <w:tc>
          <w:tcPr>
            <w:tcW w:type="dxa" w:w="1498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TOOL</w:t>
            </w:r>
          </w:p>
        </w:tc>
        <w:tc>
          <w:tcPr>
            <w:tcW w:type="dxa" w:w="2995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Segments + CLV</w:t>
            </w:r>
          </w:p>
        </w:tc>
      </w:tr>
      <w:tr>
        <w:tc>
          <w:tcPr>
            <w:tcW w:type="dxa" w:w="4867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3 Trade-area &amp; drive-time</w:t>
            </w:r>
          </w:p>
        </w:tc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TOOL</w:t>
            </w:r>
          </w:p>
        </w:tc>
        <w:tc>
          <w:tcPr>
            <w:tcW w:type="dxa" w:w="2995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Demand concentration</w:t>
            </w:r>
          </w:p>
        </w:tc>
      </w:tr>
      <w:tr>
        <w:tc>
          <w:tcPr>
            <w:tcW w:type="dxa" w:w="4867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4 Market penetration &amp; competition</w:t>
            </w:r>
          </w:p>
        </w:tc>
        <w:tc>
          <w:tcPr>
            <w:tcW w:type="dxa" w:w="1498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TOOL</w:t>
            </w:r>
          </w:p>
        </w:tc>
        <w:tc>
          <w:tcPr>
            <w:tcW w:type="dxa" w:w="2995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Competitive map</w:t>
            </w:r>
          </w:p>
        </w:tc>
      </w:tr>
      <w:tr>
        <w:tc>
          <w:tcPr>
            <w:tcW w:type="dxa" w:w="4867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5 Site-selection modeling</w:t>
            </w:r>
          </w:p>
        </w:tc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AGENT</w:t>
            </w:r>
          </w:p>
        </w:tc>
        <w:tc>
          <w:tcPr>
            <w:tcW w:type="dxa" w:w="2995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Ranked areas</w:t>
            </w:r>
          </w:p>
        </w:tc>
      </w:tr>
      <w:tr>
        <w:tc>
          <w:tcPr>
            <w:tcW w:type="dxa" w:w="4867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6 ArcGIS package &amp; readout</w:t>
            </w:r>
          </w:p>
        </w:tc>
        <w:tc>
          <w:tcPr>
            <w:tcW w:type="dxa" w:w="1498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AGENT</w:t>
            </w:r>
          </w:p>
        </w:tc>
        <w:tc>
          <w:tcPr>
            <w:tcW w:type="dxa" w:w="2995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GIS package</w:t>
            </w:r>
          </w:p>
        </w:tc>
      </w:tr>
    </w:tbl>
    <w:p>
      <w:pPr>
        <w:keepNext/>
        <w:spacing w:after="50" w:before="180" w:line="2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Quality gates — each becomes an executable assertion</w:t>
      </w:r>
    </w:p>
    <w:p>
      <w:pPr>
        <w:pStyle w:val="ListParagraph"/>
        <w:numPr>
          <w:ilvl w:val="0"/>
          <w:numId w:val="1"/>
        </w:numPr>
        <w:spacing w:after="7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Geocoding accuracy checked; unmatched records reported, not hidden</w:t>
      </w:r>
    </w:p>
    <w:p>
      <w:pPr>
        <w:pStyle w:val="ListParagraph"/>
        <w:numPr>
          <w:ilvl w:val="0"/>
          <w:numId w:val="1"/>
        </w:numPr>
        <w:spacing w:after="7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PII removed from the analysis layer after geocoding</w:t>
      </w:r>
    </w:p>
    <w:p>
      <w:pPr>
        <w:pStyle w:val="ListParagraph"/>
        <w:numPr>
          <w:ilvl w:val="0"/>
          <w:numId w:val="1"/>
        </w:numPr>
        <w:spacing w:after="7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Trade areas and drive-times use documented, sensible parameters</w:t>
      </w:r>
    </w:p>
    <w:p>
      <w:pPr>
        <w:pStyle w:val="ListParagraph"/>
        <w:numPr>
          <w:ilvl w:val="0"/>
          <w:numId w:val="1"/>
        </w:numPr>
        <w:spacing w:after="7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The growth recommendation is backed by the client’s own demand data</w:t>
      </w:r>
    </w:p>
    <w:p>
      <w:pPr>
        <w:pStyle w:val="ListParagraph"/>
        <w:numPr>
          <w:ilvl w:val="0"/>
          <w:numId w:val="1"/>
        </w:numPr>
        <w:spacing w:after="7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The ArcGIS package opens cleanly with the layer guide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/>
      </w:r>
    </w:p>
    <w:tbl>
      <w:tblPr>
        <w:tblW w:type="dxa" w:w="9360"/>
        <w:tblBorders>
          <w:top w:val="none"/>
          <w:left w:val="single" w:color="500000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5F2F2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00000"/>
                <w:sz w:val="20"/>
                <w:szCs w:val="20"/>
              </w:rPr>
              <w:t xml:space="preserve">Standalone behaviour</w:t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Bought alone, Natalie runs the full spatial arc from intake and frames output as “where demand is,” not “what to do.”</w:t>
            </w:r>
          </w:p>
        </w:tc>
      </w:tr>
    </w:tbl>
    <w:p>
      <w:r>
        <w:br w:type="page"/>
      </w:r>
    </w:p>
    <w:p>
      <w:pPr>
        <w:pStyle w:val="Heading2"/>
        <w:keepNext/>
        <w:spacing w:after="140" w:before="200" w:line="42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SOP 05 · Aperture Compass</w:t>
      </w:r>
    </w:p>
    <w:p>
      <w:pPr>
        <w:spacing w:after="130" w:before="0" w:line="276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00000"/>
          <w:sz w:val="21"/>
          <w:szCs w:val="21"/>
        </w:rPr>
        <w:t xml:space="preserve">Aria · The Navigator · 1–2 weeks</w:t>
      </w:r>
    </w:p>
    <w:p>
      <w:pPr>
        <w:spacing w:after="13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Everything the earlier phases surfaced, turned into a prioritized, board-ready plan — scored, ranked, and sequenced.</w:t>
      </w:r>
    </w:p>
    <w:p>
      <w:pPr>
        <w:keepNext/>
        <w:spacing w:after="50" w:before="180" w:line="2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Process</w:t>
      </w:r>
    </w:p>
    <w:tbl>
      <w:tblPr>
        <w:tblW w:type="dxa" w:w="9360"/>
        <w:tblBorders>
          <w:top w:val="single" w:color="D9D9D9" w:sz="2"/>
          <w:left w:val="none"/>
          <w:bottom w:val="single" w:color="D9D9D9" w:sz="2"/>
          <w:right w:val="none"/>
          <w:insideH w:val="single" w:color="D9D9D9" w:sz="2"/>
          <w:insideV w:val="none"/>
        </w:tblBorders>
      </w:tblPr>
      <w:tblGrid>
        <w:gridCol w:w="4867"/>
        <w:gridCol w:w="1498"/>
        <w:gridCol w:w="2995"/>
      </w:tblGrid>
      <w:tr>
        <w:trPr>
          <w:tblHeader/>
        </w:trPr>
        <w:tc>
          <w:tcPr>
            <w:tcW w:type="dxa" w:w="4867"/>
            <w:shd w:fill="0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1498"/>
            <w:shd w:fill="0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Who</w:t>
            </w:r>
          </w:p>
        </w:tc>
        <w:tc>
          <w:tcPr>
            <w:tcW w:type="dxa" w:w="2995"/>
            <w:shd w:fill="0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Output</w:t>
            </w:r>
          </w:p>
        </w:tc>
      </w:tr>
      <w:tr>
        <w:tc>
          <w:tcPr>
            <w:tcW w:type="dxa" w:w="4867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 Consolidate the opportunity set</w:t>
            </w:r>
          </w:p>
        </w:tc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AGENT</w:t>
            </w:r>
          </w:p>
        </w:tc>
        <w:tc>
          <w:tcPr>
            <w:tcW w:type="dxa" w:w="2995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Master list</w:t>
            </w:r>
          </w:p>
        </w:tc>
      </w:tr>
      <w:tr>
        <w:tc>
          <w:tcPr>
            <w:tcW w:type="dxa" w:w="4867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 Score in the weighted matrix</w:t>
            </w:r>
          </w:p>
        </w:tc>
        <w:tc>
          <w:tcPr>
            <w:tcW w:type="dxa" w:w="1498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TOOL</w:t>
            </w:r>
          </w:p>
        </w:tc>
        <w:tc>
          <w:tcPr>
            <w:tcW w:type="dxa" w:w="2995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Scored matrix</w:t>
            </w:r>
          </w:p>
        </w:tc>
      </w:tr>
      <w:tr>
        <w:tc>
          <w:tcPr>
            <w:tcW w:type="dxa" w:w="4867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3 Stress-test against scenarios</w:t>
            </w:r>
          </w:p>
        </w:tc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TOOL</w:t>
            </w:r>
          </w:p>
        </w:tc>
        <w:tc>
          <w:tcPr>
            <w:tcW w:type="dxa" w:w="2995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Robust ranking</w:t>
            </w:r>
          </w:p>
        </w:tc>
      </w:tr>
      <w:tr>
        <w:tc>
          <w:tcPr>
            <w:tcW w:type="dxa" w:w="4867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4 Sequence into Now / Next / Later</w:t>
            </w:r>
          </w:p>
        </w:tc>
        <w:tc>
          <w:tcPr>
            <w:tcW w:type="dxa" w:w="1498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HYBRID</w:t>
            </w:r>
          </w:p>
        </w:tc>
        <w:tc>
          <w:tcPr>
            <w:tcW w:type="dxa" w:w="2995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Sequenced roadmap</w:t>
            </w:r>
          </w:p>
        </w:tc>
      </w:tr>
      <w:tr>
        <w:tc>
          <w:tcPr>
            <w:tcW w:type="dxa" w:w="4867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5 Build the Focus Plan &amp; readout</w:t>
            </w:r>
          </w:p>
        </w:tc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AGENT</w:t>
            </w:r>
          </w:p>
        </w:tc>
        <w:tc>
          <w:tcPr>
            <w:tcW w:type="dxa" w:w="2995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Approved Focus Plan</w:t>
            </w:r>
          </w:p>
        </w:tc>
      </w:tr>
    </w:tbl>
    <w:p>
      <w:pPr>
        <w:keepNext/>
        <w:spacing w:after="50" w:before="180" w:line="2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Quality gates — each becomes an executable assertion</w:t>
      </w:r>
    </w:p>
    <w:p>
      <w:pPr>
        <w:pStyle w:val="ListParagraph"/>
        <w:numPr>
          <w:ilvl w:val="0"/>
          <w:numId w:val="1"/>
        </w:numPr>
        <w:spacing w:after="7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Every opportunity is scored on the same criteria and weights</w:t>
      </w:r>
    </w:p>
    <w:p>
      <w:pPr>
        <w:pStyle w:val="ListParagraph"/>
        <w:numPr>
          <w:ilvl w:val="0"/>
          <w:numId w:val="1"/>
        </w:numPr>
        <w:spacing w:after="7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The ranking is reproducible and the weights are recorded</w:t>
      </w:r>
    </w:p>
    <w:p>
      <w:pPr>
        <w:pStyle w:val="ListParagraph"/>
        <w:numPr>
          <w:ilvl w:val="0"/>
          <w:numId w:val="1"/>
        </w:numPr>
        <w:spacing w:after="7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The sequence puts the constraint first; expansion is gated on evidence</w:t>
      </w:r>
    </w:p>
    <w:p>
      <w:pPr>
        <w:pStyle w:val="ListParagraph"/>
        <w:numPr>
          <w:ilvl w:val="0"/>
          <w:numId w:val="1"/>
        </w:numPr>
        <w:spacing w:after="7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Each item has an owner, milestones, and dependencies</w:t>
      </w:r>
    </w:p>
    <w:p>
      <w:pPr>
        <w:pStyle w:val="ListParagraph"/>
        <w:numPr>
          <w:ilvl w:val="0"/>
          <w:numId w:val="1"/>
        </w:numPr>
        <w:spacing w:after="7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The plan is genuinely board-ready — one page tells the story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/>
      </w:r>
    </w:p>
    <w:tbl>
      <w:tblPr>
        <w:tblW w:type="dxa" w:w="9360"/>
        <w:tblBorders>
          <w:top w:val="none"/>
          <w:left w:val="single" w:color="500000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5F2F2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00000"/>
                <w:sz w:val="20"/>
                <w:szCs w:val="20"/>
              </w:rPr>
              <w:t xml:space="preserve">Standalone behaviour</w:t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Bought alone, Aria generates candidates from intake, scores what is evidenced, and lists what would need Analytics or Intelligence to resolve.</w:t>
            </w:r>
          </w:p>
        </w:tc>
      </w:tr>
    </w:tbl>
    <w:p>
      <w:r>
        <w:br w:type="page"/>
      </w:r>
    </w:p>
    <w:p>
      <w:pPr>
        <w:pStyle w:val="Heading2"/>
        <w:keepNext/>
        <w:spacing w:after="140" w:before="200" w:line="42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SOP 06 · Aperture Atlas</w:t>
      </w:r>
    </w:p>
    <w:p>
      <w:pPr>
        <w:spacing w:after="130" w:before="0" w:line="276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00000"/>
          <w:sz w:val="21"/>
          <w:szCs w:val="21"/>
        </w:rPr>
        <w:t xml:space="preserve">Thomas · The Operator · ongoing</w:t>
      </w:r>
    </w:p>
    <w:p>
      <w:pPr>
        <w:spacing w:after="13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An always-on executive Scoreboard of the few KPIs that matter, plus the cadence that keeps the plan honest quarter after quarter.</w:t>
      </w:r>
    </w:p>
    <w:p>
      <w:pPr>
        <w:keepNext/>
        <w:spacing w:after="50" w:before="180" w:line="2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Process</w:t>
      </w:r>
    </w:p>
    <w:tbl>
      <w:tblPr>
        <w:tblW w:type="dxa" w:w="9360"/>
        <w:tblBorders>
          <w:top w:val="single" w:color="D9D9D9" w:sz="2"/>
          <w:left w:val="none"/>
          <w:bottom w:val="single" w:color="D9D9D9" w:sz="2"/>
          <w:right w:val="none"/>
          <w:insideH w:val="single" w:color="D9D9D9" w:sz="2"/>
          <w:insideV w:val="none"/>
        </w:tblBorders>
      </w:tblPr>
      <w:tblGrid>
        <w:gridCol w:w="4867"/>
        <w:gridCol w:w="1498"/>
        <w:gridCol w:w="2995"/>
      </w:tblGrid>
      <w:tr>
        <w:trPr>
          <w:tblHeader/>
        </w:trPr>
        <w:tc>
          <w:tcPr>
            <w:tcW w:type="dxa" w:w="4867"/>
            <w:shd w:fill="0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1498"/>
            <w:shd w:fill="0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Who</w:t>
            </w:r>
          </w:p>
        </w:tc>
        <w:tc>
          <w:tcPr>
            <w:tcW w:type="dxa" w:w="2995"/>
            <w:shd w:fill="0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Output</w:t>
            </w:r>
          </w:p>
        </w:tc>
      </w:tr>
      <w:tr>
        <w:tc>
          <w:tcPr>
            <w:tcW w:type="dxa" w:w="4867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 Define the KPIs</w:t>
            </w:r>
          </w:p>
        </w:tc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HYBRID</w:t>
            </w:r>
          </w:p>
        </w:tc>
        <w:tc>
          <w:tcPr>
            <w:tcW w:type="dxa" w:w="2995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KPI definitions</w:t>
            </w:r>
          </w:p>
        </w:tc>
      </w:tr>
      <w:tr>
        <w:tc>
          <w:tcPr>
            <w:tcW w:type="dxa" w:w="4867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 Wire the data</w:t>
            </w:r>
          </w:p>
        </w:tc>
        <w:tc>
          <w:tcPr>
            <w:tcW w:type="dxa" w:w="1498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TOOL</w:t>
            </w:r>
          </w:p>
        </w:tc>
        <w:tc>
          <w:tcPr>
            <w:tcW w:type="dxa" w:w="2995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Validated feed</w:t>
            </w:r>
          </w:p>
        </w:tc>
      </w:tr>
      <w:tr>
        <w:tc>
          <w:tcPr>
            <w:tcW w:type="dxa" w:w="4867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3 Build the Scoreboard</w:t>
            </w:r>
          </w:p>
        </w:tc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TOOL</w:t>
            </w:r>
          </w:p>
        </w:tc>
        <w:tc>
          <w:tcPr>
            <w:tcW w:type="dxa" w:w="2995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Published Scoreboard</w:t>
            </w:r>
          </w:p>
        </w:tc>
      </w:tr>
      <w:tr>
        <w:tc>
          <w:tcPr>
            <w:tcW w:type="dxa" w:w="4867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4 Set the cadence</w:t>
            </w:r>
          </w:p>
        </w:tc>
        <w:tc>
          <w:tcPr>
            <w:tcW w:type="dxa" w:w="1498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FENWICK</w:t>
            </w:r>
          </w:p>
        </w:tc>
        <w:tc>
          <w:tcPr>
            <w:tcW w:type="dxa" w:w="2995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Cadence live</w:t>
            </w:r>
          </w:p>
        </w:tc>
      </w:tr>
      <w:tr>
        <w:tc>
          <w:tcPr>
            <w:tcW w:type="dxa" w:w="4867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5 Re-score &amp; steer</w:t>
            </w:r>
          </w:p>
        </w:tc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AGENT</w:t>
            </w:r>
          </w:p>
        </w:tc>
        <w:tc>
          <w:tcPr>
            <w:tcW w:type="dxa" w:w="2995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Signal Brief + next constraint</w:t>
            </w:r>
          </w:p>
        </w:tc>
      </w:tr>
    </w:tbl>
    <w:p>
      <w:pPr>
        <w:keepNext/>
        <w:spacing w:after="50" w:before="180" w:line="2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Quality gates — each becomes an executable assertion</w:t>
      </w:r>
    </w:p>
    <w:p>
      <w:pPr>
        <w:pStyle w:val="ListParagraph"/>
        <w:numPr>
          <w:ilvl w:val="0"/>
          <w:numId w:val="1"/>
        </w:numPr>
        <w:spacing w:after="7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Every KPI has a definition, source, target, owner, and cadence</w:t>
      </w:r>
    </w:p>
    <w:p>
      <w:pPr>
        <w:pStyle w:val="ListParagraph"/>
        <w:numPr>
          <w:ilvl w:val="0"/>
          <w:numId w:val="1"/>
        </w:numPr>
        <w:spacing w:after="7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Dashboard numbers reconcile to the source systems</w:t>
      </w:r>
    </w:p>
    <w:p>
      <w:pPr>
        <w:pStyle w:val="ListParagraph"/>
        <w:numPr>
          <w:ilvl w:val="0"/>
          <w:numId w:val="1"/>
        </w:numPr>
        <w:spacing w:after="7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Access is least-privilege and documented</w:t>
      </w:r>
    </w:p>
    <w:p>
      <w:pPr>
        <w:pStyle w:val="ListParagraph"/>
        <w:numPr>
          <w:ilvl w:val="0"/>
          <w:numId w:val="1"/>
        </w:numPr>
        <w:spacing w:after="7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The re-scored Aperture Score uses the identical baseline method</w:t>
      </w:r>
    </w:p>
    <w:p>
      <w:pPr>
        <w:pStyle w:val="ListParagraph"/>
        <w:numPr>
          <w:ilvl w:val="0"/>
          <w:numId w:val="1"/>
        </w:numPr>
        <w:spacing w:after="7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The client can operate the Scoreboard themselves — it is theirs to keep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/>
      </w:r>
    </w:p>
    <w:tbl>
      <w:tblPr>
        <w:tblW w:type="dxa" w:w="9360"/>
        <w:tblBorders>
          <w:top w:val="none"/>
          <w:left w:val="single" w:color="500000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5F2F2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00000"/>
                <w:sz w:val="20"/>
                <w:szCs w:val="20"/>
              </w:rPr>
              <w:t xml:space="preserve">Standalone behaviour</w:t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Subscribable on intake alone. Without a Focus Plan, Thomas baselines on the client’s stated goals and establishes period zero.</w:t>
            </w:r>
          </w:p>
        </w:tc>
      </w:tr>
    </w:tbl>
    <w:p>
      <w:r>
        <w:br w:type="page"/>
      </w:r>
    </w:p>
    <w:p>
      <w:pPr>
        <w:pStyle w:val="Heading2"/>
        <w:keepNext/>
        <w:spacing w:after="140" w:before="200" w:line="42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Where to go next</w:t>
      </w:r>
    </w:p>
    <w:tbl>
      <w:tblPr>
        <w:tblW w:type="dxa" w:w="9360"/>
        <w:tblBorders>
          <w:top w:val="single" w:color="D9D9D9" w:sz="2"/>
          <w:left w:val="none"/>
          <w:bottom w:val="single" w:color="D9D9D9" w:sz="2"/>
          <w:right w:val="none"/>
          <w:insideH w:val="single" w:color="D9D9D9" w:sz="2"/>
          <w:insideV w:val="none"/>
        </w:tblBorders>
      </w:tblPr>
      <w:tblGrid>
        <w:gridCol w:w="3557"/>
        <w:gridCol w:w="5803"/>
      </w:tblGrid>
      <w:tr>
        <w:trPr>
          <w:tblHeader/>
        </w:trPr>
        <w:tc>
          <w:tcPr>
            <w:tcW w:type="dxa" w:w="3557"/>
            <w:shd w:fill="0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Document</w:t>
            </w:r>
          </w:p>
        </w:tc>
        <w:tc>
          <w:tcPr>
            <w:tcW w:type="dxa" w:w="5803"/>
            <w:shd w:fill="0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is in it</w:t>
            </w:r>
          </w:p>
        </w:tc>
      </w:tr>
      <w:tr>
        <w:tc>
          <w:tcPr>
            <w:tcW w:type="dxa" w:w="3557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Aperture Method — Agent Build Spec</w:t>
            </w:r>
          </w:p>
        </w:tc>
        <w:tc>
          <w:tcPr>
            <w:tcW w:type="dxa" w:w="5803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The full technical specification: data model, run contract, prompt architecture, gates, privacy layer, Aperture Score spec, a profile page and build spec per agent, repository layout, and the phased roadmap.</w:t>
            </w:r>
          </w:p>
        </w:tc>
      </w:tr>
      <w:tr>
        <w:tc>
          <w:tcPr>
            <w:tcW w:type="dxa" w:w="3557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aperture-agent-workflow.html</w:t>
            </w:r>
          </w:p>
        </w:tc>
        <w:tc>
          <w:tcPr>
            <w:tcW w:type="dxa" w:w="5803"/>
            <w:shd w:fill="F7F7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 interactive version of this map. Pick a purchase path and click any SOP to expand its steps and gates.</w:t>
            </w:r>
          </w:p>
        </w:tc>
      </w:tr>
      <w:tr>
        <w:tc>
          <w:tcPr>
            <w:tcW w:type="dxa" w:w="3557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The Aperture Method — Method SOPs</w:t>
            </w:r>
          </w:p>
        </w:tc>
        <w:tc>
          <w:tcPr>
            <w:tcW w:type="dxa" w:w="5803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The source manual. The agents load these chapters verbatim, so this document remains the single home of the procedure.</w:t>
            </w:r>
          </w:p>
        </w:tc>
      </w:tr>
    </w:tbl>
    <w:p>
      <w:pPr>
        <w:spacing w:after="2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/>
      </w:r>
    </w:p>
    <w:p>
      <w:pPr>
        <w:pBdr>
          <w:bottom w:val="single" w:color="500000" w:sz="14" w:space="2"/>
        </w:pBdr>
        <w:spacing w:after="170" w:before="0" w:line="276"/>
      </w:pPr>
    </w:p>
    <w:p>
      <w:pPr>
        <w:spacing w:after="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B6B"/>
          <w:sz w:val="18"/>
          <w:szCs w:val="18"/>
        </w:rPr>
        <w:t xml:space="preserve">The Aperture Method™  ·  Understand · Quantify · Reveal · Navigate · Perform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A1A1A"/>
        <w:sz w:val="21"/>
        <w:szCs w:val="21"/>
      </w:rP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6"/>
      </w:pBdr>
      <w:tabs>
        <w:tab w:val="right" w:pos="9360"/>
      </w:tabs>
      <w:spacing w:before="60"/>
    </w:pPr>
    <w:r>
      <w:rPr>
        <w:rFonts w:ascii="Arial" w:cs="Arial" w:eastAsia="Arial" w:hAnsi="Arial"/>
        <w:color w:val="6B6B6B"/>
        <w:sz w:val="14"/>
        <w:szCs w:val="14"/>
      </w:rPr>
      <w:t xml:space="preserve">Confidential · Internal build reference</w:t>
    </w:r>
    <w:r>
      <w:rPr>
        <w:rFonts w:ascii="Arial" w:cs="Arial" w:eastAsia="Arial" w:hAnsi="Arial"/>
        <w:color w:val="6B6B6B"/>
        <w:sz w:val="14"/>
        <w:szCs w:val="14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76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A1A1A"/>
        <w:sz w:val="21"/>
        <w:szCs w:val="21"/>
      </w:rP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6"/>
      </w:pBdr>
      <w:tabs>
        <w:tab w:val="right" w:pos="9360"/>
      </w:tabs>
      <w:spacing w:after="120"/>
    </w:pPr>
    <w:r>
      <w:drawing>
        <wp:inline distT="0" distB="0" distL="0" distR="0">
          <wp:extent cx="152400" cy="1143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" cy="114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b/>
        <w:bCs/>
        <w:i w:val="false"/>
        <w:iCs w:val="false"/>
        <w:caps/>
        <w:color w:val="500000"/>
        <w:sz w:val="14"/>
        <w:szCs w:val="14"/>
      </w:rPr>
      <w:t xml:space="preserve">  THE APERTURE METHOD™</w:t>
    </w:r>
    <w:r>
      <w:rPr>
        <w:rFonts w:ascii="Arial" w:cs="Arial" w:eastAsia="Arial" w:hAnsi="Arial"/>
        <w:color w:val="6B6B6B"/>
        <w:sz w:val="15"/>
        <w:szCs w:val="15"/>
      </w:rPr>
      <w:t xml:space="preserve">	Agent Workflow 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00" w:line="420"/>
    </w:pPr>
    <w:rPr>
      <w:rFonts w:ascii="Arial" w:cs="Arial" w:eastAsia="Arial" w:hAnsi="Arial"/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90" w:before="280" w:line="320"/>
    </w:pPr>
    <w:rPr>
      <w:rFonts w:ascii="Arial" w:cs="Arial" w:eastAsia="Arial" w:hAnsi="Arial"/>
      <w:b/>
      <w:bCs/>
      <w:color w:val="00000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50" w:before="180" w:line="280"/>
    </w:pPr>
    <w:rPr>
      <w:rFonts w:ascii="Arial" w:cs="Arial" w:eastAsia="Arial" w:hAnsi="Arial"/>
      <w:b/>
      <w:bCs/>
      <w:color w:val="00000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60d60fe5ce08182c215feed15555d18788d8298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78340de8315aa041a2d088a6d882e13da1d0831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Workflow Map</dc:title>
  <dc:creator>The Aperture Method</dc:creator>
  <cp:lastModifiedBy>Un-named</cp:lastModifiedBy>
  <cp:revision>1</cp:revision>
  <dcterms:created xsi:type="dcterms:W3CDTF">2026-08-07T16:42:06.825Z</dcterms:created>
  <dcterms:modified xsi:type="dcterms:W3CDTF">2026-08-07T16:42:06.825Z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