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4"/>
          <w:szCs w:val="34"/>
        </w:rPr>
        <w:t xml:space="preserve">CODE OF CONDUCT POLICY</w:t>
      </w:r>
    </w:p>
    <w:p>
      <w:pPr>
        <w:spacing w:before="0" w:after="4"/>
      </w:pPr>
      <w:r>
        <w:rPr>
          <w:rFonts w:ascii="Times New Roman" w:cs="Times New Roman" w:eastAsia="Times New Roman" w:hAnsi="Times New Roman"/>
          <w:b/>
          <w:bCs/>
          <w:color w:val="4A9FD4"/>
          <w:sz w:val="20"/>
          <w:szCs w:val="20"/>
        </w:rPr>
        <w:t xml:space="preserve">Celerity Energy Advisors LLC</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Effective Date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[EFFECTIVE DATE]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Policy Owner</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[POLICY OWNER / COMPLIANCE OFFICER]</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Approved By</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[CEO / MANAGING PARTNER]</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Review Frequency</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9"/>
                <w:szCs w:val="19"/>
              </w:rPr>
              <w:t xml:space="preserve">At least every </w:t>
            </w:r>
          </w:p>
        </w:tc>
      </w:tr>
    </w:tbl>
    <w:p>
      <w:pPr>
        <w:spacing w:before="100" w:after="60"/>
      </w:pPr>
    </w:p>
    <w:p>
      <w:pPr>
        <w:pBdr>
          <w:bottom w:val="single" w:color="D0D7E3" w:sz="4" w:space="1"/>
        </w:pBdr>
        <w:spacing w:before="0" w:after="0"/>
      </w:pPr>
    </w:p>
    <w:p>
      <w:pPr>
        <w:spacing w:before="80" w:after="60"/>
      </w:pP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Purpose</w:t>
      </w:r>
    </w:p>
    <w:p>
      <w:pPr>
        <w:spacing w:before="60" w:after="100"/>
        <w:jc w:val="both"/>
      </w:pPr>
      <w:r>
        <w:rPr>
          <w:rFonts w:ascii="Times New Roman" w:cs="Times New Roman" w:eastAsia="Times New Roman" w:hAnsi="Times New Roman"/>
          <w:color w:val="1A1A2A"/>
          <w:sz w:val="20"/>
          <w:szCs w:val="20"/>
        </w:rPr>
        <w:t xml:space="preserve">This Code of Conduct Policy (the "</w:t>
      </w:r>
      <w:r>
        <w:rPr>
          <w:rFonts w:ascii="Times New Roman" w:cs="Times New Roman" w:eastAsia="Times New Roman" w:hAnsi="Times New Roman"/>
          <w:b/>
          <w:bCs/>
          <w:color w:val="1A1A2A"/>
          <w:sz w:val="20"/>
          <w:szCs w:val="20"/>
        </w:rPr>
        <w:t xml:space="preserve">Code</w:t>
      </w:r>
      <w:r>
        <w:rPr>
          <w:rFonts w:ascii="Times New Roman" w:cs="Times New Roman" w:eastAsia="Times New Roman" w:hAnsi="Times New Roman"/>
          <w:color w:val="1A1A2A"/>
          <w:sz w:val="20"/>
          <w:szCs w:val="20"/>
        </w:rPr>
        <w:t xml:space="preserve">") sets clear, practical standards for how we work — internally, with clients, and with third parties — consistent with Celerity's values and our obligations as a professional services firm serving the energy industry.</w:t>
      </w:r>
    </w:p>
    <w:p>
      <w:pPr>
        <w:spacing w:before="60" w:after="100"/>
        <w:jc w:val="both"/>
      </w:pPr>
      <w:r>
        <w:rPr>
          <w:rFonts w:ascii="Times New Roman" w:cs="Times New Roman" w:eastAsia="Times New Roman" w:hAnsi="Times New Roman"/>
          <w:color w:val="1A1A2A"/>
          <w:sz w:val="20"/>
          <w:szCs w:val="20"/>
        </w:rPr>
        <w:t xml:space="preserve">This Code is intended to be implementation-ready and to operate alongside (and not duplicate) Celerity's: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Code of Business Ethics </w:t>
      </w:r>
      <w:r>
        <w:rPr>
          <w:rFonts w:ascii="Times New Roman" w:cs="Times New Roman" w:eastAsia="Times New Roman" w:hAnsi="Times New Roman"/>
          <w:color w:val="1A1A2A"/>
          <w:sz w:val="20"/>
          <w:szCs w:val="20"/>
        </w:rPr>
        <w:t xml:space="preserve">(integrity, ethics, anti-bribery, records, reporting); and</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Human Rights Policy </w:t>
      </w:r>
      <w:r>
        <w:rPr>
          <w:rFonts w:ascii="Times New Roman" w:cs="Times New Roman" w:eastAsia="Times New Roman" w:hAnsi="Times New Roman"/>
          <w:color w:val="1A1A2A"/>
          <w:sz w:val="20"/>
          <w:szCs w:val="20"/>
        </w:rPr>
        <w:t xml:space="preserve">(human rights commitments and due diligence expectations).</w:t>
      </w:r>
    </w:p>
    <w:p>
      <w:pPr>
        <w:spacing w:before="60" w:after="100"/>
        <w:jc w:val="both"/>
      </w:pPr>
      <w:r>
        <w:rPr>
          <w:rFonts w:ascii="Times New Roman" w:cs="Times New Roman" w:eastAsia="Times New Roman" w:hAnsi="Times New Roman"/>
          <w:color w:val="1A1A2A"/>
          <w:sz w:val="20"/>
          <w:szCs w:val="20"/>
        </w:rPr>
        <w:t xml:space="preserve">If there is any inconsistency, the more protective or higher standard applies, unless prohibited by applicable law.</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Scope and Applicability</w:t>
      </w:r>
    </w:p>
    <w:p>
      <w:pPr>
        <w:spacing w:before="60" w:after="100"/>
        <w:jc w:val="both"/>
      </w:pPr>
      <w:r>
        <w:rPr>
          <w:rFonts w:ascii="Times New Roman" w:cs="Times New Roman" w:eastAsia="Times New Roman" w:hAnsi="Times New Roman"/>
          <w:color w:val="1A1A2A"/>
          <w:sz w:val="20"/>
          <w:szCs w:val="20"/>
        </w:rPr>
        <w:t xml:space="preserve">This Code applies globally to:</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all employees, officers, directors (if any), interns, and temporary workers;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all independent contractors, consultants, subcontractors, agents, and other individuals or entities performing services for or on behalf of Celerity,</w:t>
      </w:r>
    </w:p>
    <w:p>
      <w:pPr>
        <w:spacing w:before="60" w:after="100"/>
        <w:jc w:val="both"/>
      </w:pPr>
      <w:r>
        <w:rPr>
          <w:rFonts w:ascii="Times New Roman" w:cs="Times New Roman" w:eastAsia="Times New Roman" w:hAnsi="Times New Roman"/>
          <w:color w:val="1A1A2A"/>
          <w:sz w:val="20"/>
          <w:szCs w:val="20"/>
        </w:rPr>
        <w:t xml:space="preserve">(each, "</w:t>
      </w:r>
      <w:r>
        <w:rPr>
          <w:rFonts w:ascii="Times New Roman" w:cs="Times New Roman" w:eastAsia="Times New Roman" w:hAnsi="Times New Roman"/>
          <w:b/>
          <w:bCs/>
          <w:color w:val="1A1A2A"/>
          <w:sz w:val="20"/>
          <w:szCs w:val="20"/>
        </w:rPr>
        <w:t xml:space="preserve">Personnel</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color w:val="1A1A2A"/>
          <w:sz w:val="20"/>
          <w:szCs w:val="20"/>
        </w:rPr>
        <w:t xml:space="preserve">Certain provisions (e.g., investigations, discipline, use of systems) apply differently depending on whether the individual is an employee or contractor; however, </w:t>
      </w:r>
      <w:r>
        <w:rPr>
          <w:rFonts w:ascii="Times New Roman" w:cs="Times New Roman" w:eastAsia="Times New Roman" w:hAnsi="Times New Roman"/>
          <w:b/>
          <w:bCs/>
          <w:color w:val="1A1A2A"/>
          <w:sz w:val="20"/>
          <w:szCs w:val="20"/>
        </w:rPr>
        <w:t xml:space="preserve">compliance with the conduct standards is mandatory for all Personnel</w:t>
      </w:r>
      <w:r>
        <w:rPr>
          <w:rFonts w:ascii="Times New Roman" w:cs="Times New Roman" w:eastAsia="Times New Roman" w:hAnsi="Times New Roman"/>
          <w:color w:val="1A1A2A"/>
          <w:sz w:val="20"/>
          <w:szCs w:val="20"/>
        </w:rPr>
        <w:t xml:space="preserve"> as a condition of employment or engagement.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Core Conduct Expectations</w:t>
      </w:r>
    </w:p>
    <w:p>
      <w:pPr>
        <w:pStyle w:val="Heading2"/>
        <w:spacing w:before="200" w:after="80"/>
      </w:pPr>
      <w:r>
        <w:rPr>
          <w:rFonts w:ascii="Times New Roman" w:cs="Times New Roman" w:eastAsia="Times New Roman" w:hAnsi="Times New Roman"/>
          <w:b/>
          <w:bCs/>
          <w:color w:val="1B2A5E"/>
          <w:sz w:val="22"/>
          <w:szCs w:val="22"/>
        </w:rPr>
        <w:t xml:space="preserve">3.1  Integrity and Professionalism</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act honestly and in good faith;</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provide advice and work product consistent with professional standards and applicable engagement terms;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avoid deception, misrepresentation, or omission of material facts;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promptly correct known inaccuracies in communications or deliverables.</w:t>
      </w:r>
    </w:p>
    <w:p>
      <w:pPr>
        <w:pStyle w:val="Heading2"/>
        <w:spacing w:before="200" w:after="80"/>
      </w:pPr>
      <w:r>
        <w:rPr>
          <w:rFonts w:ascii="Times New Roman" w:cs="Times New Roman" w:eastAsia="Times New Roman" w:hAnsi="Times New Roman"/>
          <w:b/>
          <w:bCs/>
          <w:color w:val="1B2A5E"/>
          <w:sz w:val="22"/>
          <w:szCs w:val="22"/>
        </w:rPr>
        <w:t xml:space="preserve">3.2  Fair Dealing</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deal fairly with clients, counterparties, vendors, regulators, and colleagues;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take unfair advantage of anyone through manipulation, concealment, abuse of privileged information, or other unfair dealing practice;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compete lawfully and ethically.</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Confidentiality, Information Handling, and Data Security</w:t>
      </w:r>
    </w:p>
    <w:p>
      <w:pPr>
        <w:pStyle w:val="Heading2"/>
        <w:spacing w:before="200" w:after="80"/>
      </w:pPr>
      <w:r>
        <w:rPr>
          <w:rFonts w:ascii="Times New Roman" w:cs="Times New Roman" w:eastAsia="Times New Roman" w:hAnsi="Times New Roman"/>
          <w:b/>
          <w:bCs/>
          <w:color w:val="1B2A5E"/>
          <w:sz w:val="22"/>
          <w:szCs w:val="22"/>
        </w:rPr>
        <w:t xml:space="preserve">4.1  Confidentiality</w:t>
      </w:r>
    </w:p>
    <w:p>
      <w:pPr>
        <w:spacing w:before="60" w:after="100"/>
        <w:jc w:val="both"/>
      </w:pPr>
      <w:r>
        <w:rPr>
          <w:rFonts w:ascii="Times New Roman" w:cs="Times New Roman" w:eastAsia="Times New Roman" w:hAnsi="Times New Roman"/>
          <w:color w:val="1A1A2A"/>
          <w:sz w:val="20"/>
          <w:szCs w:val="20"/>
        </w:rPr>
        <w:t xml:space="preserve">Personnel must protect Celerity and client confidential information, including commercial, operational, geologic/geophysical, reservoir, production, pricing, transaction, vendor, and security information, and must use it only for legitimate business purposes and only as permitted under applicable agreements.</w:t>
      </w:r>
    </w:p>
    <w:p>
      <w:pPr>
        <w:pStyle w:val="Heading2"/>
        <w:spacing w:before="200" w:after="80"/>
      </w:pPr>
      <w:r>
        <w:rPr>
          <w:rFonts w:ascii="Times New Roman" w:cs="Times New Roman" w:eastAsia="Times New Roman" w:hAnsi="Times New Roman"/>
          <w:b/>
          <w:bCs/>
          <w:color w:val="1B2A5E"/>
          <w:sz w:val="22"/>
          <w:szCs w:val="22"/>
        </w:rPr>
        <w:t xml:space="preserve">4.2  Data Security Minimum Standards</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strong passwords and multi-factor authentication where available;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store Company and client information only in approved systems (no unapproved personal email, messaging apps, or storage);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encrypt or password-protect sensitive files when transmitted externally (as required by Company guidance);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immediately report suspected phishing, malware, unauthorized access, lost devices, or data incidents.</w:t>
      </w:r>
    </w:p>
    <w:p>
      <w:pPr>
        <w:spacing w:before="60" w:after="100"/>
        <w:jc w:val="both"/>
      </w:pPr>
      <w:r>
        <w:rPr>
          <w:rFonts w:ascii="Times New Roman" w:cs="Times New Roman" w:eastAsia="Times New Roman" w:hAnsi="Times New Roman"/>
          <w:b/>
          <w:bCs/>
          <w:color w:val="1A1A2A"/>
          <w:sz w:val="20"/>
          <w:szCs w:val="20"/>
        </w:rPr>
        <w:t xml:space="preserve">Incident reporting: </w:t>
      </w:r>
      <w:r>
        <w:rPr>
          <w:rFonts w:ascii="Times New Roman" w:cs="Times New Roman" w:eastAsia="Times New Roman" w:hAnsi="Times New Roman"/>
          <w:color w:val="1A1A2A"/>
          <w:sz w:val="20"/>
          <w:szCs w:val="20"/>
        </w:rPr>
        <w:t xml:space="preserve">suspected data security incidents must be reported immediately to </w:t>
      </w:r>
      <w:r>
        <w:rPr>
          <w:rFonts w:ascii="Times New Roman" w:cs="Times New Roman" w:eastAsia="Times New Roman" w:hAnsi="Times New Roman"/>
          <w:i/>
          <w:iCs/>
          <w:color w:val="5A6070"/>
          <w:sz w:val="20"/>
          <w:szCs w:val="20"/>
          <w:highlight w:val="yellow"/>
        </w:rPr>
        <w:t xml:space="preserve">[SECURITY / IT EMAIL]</w:t>
      </w:r>
      <w:r>
        <w:rPr>
          <w:rFonts w:ascii="Times New Roman" w:cs="Times New Roman" w:eastAsia="Times New Roman" w:hAnsi="Times New Roman"/>
          <w:color w:val="1A1A2A"/>
          <w:sz w:val="20"/>
          <w:szCs w:val="20"/>
        </w:rPr>
        <w:t xml:space="preserve"> and/or </w:t>
      </w:r>
      <w:r>
        <w:rPr>
          <w:rFonts w:ascii="Times New Roman" w:cs="Times New Roman" w:eastAsia="Times New Roman" w:hAnsi="Times New Roman"/>
          <w:i/>
          <w:iCs/>
          <w:color w:val="5A6070"/>
          <w:sz w:val="20"/>
          <w:szCs w:val="20"/>
          <w:highlight w:val="yellow"/>
        </w:rPr>
        <w:t xml:space="preserve">[SECURITY / IT PHONE]</w:t>
      </w:r>
      <w:r>
        <w:rPr>
          <w:rFonts w:ascii="Times New Roman" w:cs="Times New Roman" w:eastAsia="Times New Roman" w:hAnsi="Times New Roman"/>
          <w:color w:val="1A1A2A"/>
          <w:sz w:val="20"/>
          <w:szCs w:val="20"/>
        </w:rPr>
        <w:t xml:space="preserve">, and to the engagement lead if client data may be affected.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Anti-Bribery and Anti-Corruption; Gifts and Entertainment</w:t>
      </w:r>
    </w:p>
    <w:p>
      <w:pPr>
        <w:pStyle w:val="Heading2"/>
        <w:spacing w:before="200" w:after="80"/>
      </w:pPr>
      <w:r>
        <w:rPr>
          <w:rFonts w:ascii="Times New Roman" w:cs="Times New Roman" w:eastAsia="Times New Roman" w:hAnsi="Times New Roman"/>
          <w:b/>
          <w:bCs/>
          <w:color w:val="1B2A5E"/>
          <w:sz w:val="22"/>
          <w:szCs w:val="22"/>
        </w:rPr>
        <w:t xml:space="preserve">5.1  Zero Tolerance for Bribery</w:t>
      </w:r>
    </w:p>
    <w:p>
      <w:pPr>
        <w:spacing w:before="60" w:after="100"/>
        <w:jc w:val="both"/>
      </w:pPr>
      <w:r>
        <w:rPr>
          <w:rFonts w:ascii="Times New Roman" w:cs="Times New Roman" w:eastAsia="Times New Roman" w:hAnsi="Times New Roman"/>
          <w:color w:val="1A1A2A"/>
          <w:sz w:val="20"/>
          <w:szCs w:val="20"/>
        </w:rPr>
        <w:t xml:space="preserve">Celerity prohibits bribery and corruption in any form. Personnel must comply with all applicable anti-corruption laws, including the </w:t>
      </w:r>
      <w:r>
        <w:rPr>
          <w:rFonts w:ascii="Times New Roman" w:cs="Times New Roman" w:eastAsia="Times New Roman" w:hAnsi="Times New Roman"/>
          <w:b/>
          <w:bCs/>
          <w:color w:val="1A1A2A"/>
          <w:sz w:val="20"/>
          <w:szCs w:val="20"/>
        </w:rPr>
        <w:t xml:space="preserve">U.S. Foreign Corrupt Practices Act (FCPA)</w:t>
      </w:r>
      <w:r>
        <w:rPr>
          <w:rFonts w:ascii="Times New Roman" w:cs="Times New Roman" w:eastAsia="Times New Roman" w:hAnsi="Times New Roman"/>
          <w:color w:val="1A1A2A"/>
          <w:sz w:val="20"/>
          <w:szCs w:val="20"/>
        </w:rPr>
        <w:t xml:space="preserve"> and the </w:t>
      </w:r>
      <w:r>
        <w:rPr>
          <w:rFonts w:ascii="Times New Roman" w:cs="Times New Roman" w:eastAsia="Times New Roman" w:hAnsi="Times New Roman"/>
          <w:b/>
          <w:bCs/>
          <w:color w:val="1A1A2A"/>
          <w:sz w:val="20"/>
          <w:szCs w:val="20"/>
        </w:rPr>
        <w:t xml:space="preserve">UK Bribery Act</w:t>
      </w:r>
      <w:r>
        <w:rPr>
          <w:rFonts w:ascii="Times New Roman" w:cs="Times New Roman" w:eastAsia="Times New Roman" w:hAnsi="Times New Roman"/>
          <w:color w:val="1A1A2A"/>
          <w:sz w:val="20"/>
          <w:szCs w:val="20"/>
        </w:rPr>
        <w:t xml:space="preserve">, and any local anti-bribery laws.</w:t>
      </w:r>
    </w:p>
    <w:p>
      <w:pPr>
        <w:spacing w:before="60" w:after="100"/>
        <w:jc w:val="both"/>
      </w:pPr>
      <w:r>
        <w:rPr>
          <w:rFonts w:ascii="Times New Roman" w:cs="Times New Roman" w:eastAsia="Times New Roman" w:hAnsi="Times New Roman"/>
          <w:color w:val="1A1A2A"/>
          <w:sz w:val="20"/>
          <w:szCs w:val="20"/>
        </w:rPr>
        <w:t xml:space="preserve">Personnel must never: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offer, promise, give, authorize, solicit, or accept anything of value to obtain or retain business or an improper advantage;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make or approve facilitation payments (even if "customary") unless permitted by law and approved in writing by the Policy Owner;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third parties (agents, consultants, intermediaries) to do anything prohibited directly.</w:t>
      </w:r>
    </w:p>
    <w:p>
      <w:pPr>
        <w:pStyle w:val="Heading2"/>
        <w:spacing w:before="200" w:after="80"/>
      </w:pPr>
      <w:r>
        <w:rPr>
          <w:rFonts w:ascii="Times New Roman" w:cs="Times New Roman" w:eastAsia="Times New Roman" w:hAnsi="Times New Roman"/>
          <w:b/>
          <w:bCs/>
          <w:color w:val="1B2A5E"/>
          <w:sz w:val="22"/>
          <w:szCs w:val="22"/>
        </w:rPr>
        <w:t xml:space="preserve">5.2  Gifts, Meals, and Entertainment (Modest and Infrequent)</w:t>
      </w:r>
    </w:p>
    <w:p>
      <w:pPr>
        <w:spacing w:before="60" w:after="100"/>
        <w:jc w:val="both"/>
      </w:pPr>
      <w:r>
        <w:rPr>
          <w:rFonts w:ascii="Times New Roman" w:cs="Times New Roman" w:eastAsia="Times New Roman" w:hAnsi="Times New Roman"/>
          <w:color w:val="1A1A2A"/>
          <w:sz w:val="20"/>
          <w:szCs w:val="20"/>
        </w:rPr>
        <w:t xml:space="preserve">Gifts and entertainment may be offered or accepted only if they are: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lawful and reasonable,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modest in value,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infrequent,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intended to influence (or appear to influence) a business decision,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consistent with client and third-party policies (which may be stricter).</w:t>
      </w:r>
    </w:p>
    <w:p>
      <w:pPr>
        <w:spacing w:before="60" w:after="100"/>
        <w:jc w:val="both"/>
      </w:pPr>
      <w:r>
        <w:rPr>
          <w:rFonts w:ascii="Times New Roman" w:cs="Times New Roman" w:eastAsia="Times New Roman" w:hAnsi="Times New Roman"/>
          <w:color w:val="1A1A2A"/>
          <w:sz w:val="20"/>
          <w:szCs w:val="20"/>
        </w:rPr>
        <w:t xml:space="preserve">Thresholds requiring pre-approval: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single gift/entertainment with a value above </w:t>
      </w:r>
      <w:r>
        <w:rPr>
          <w:rFonts w:ascii="Times New Roman" w:cs="Times New Roman" w:eastAsia="Times New Roman" w:hAnsi="Times New Roman"/>
          <w:b/>
          <w:bCs/>
          <w:color w:val="1A1A2A"/>
          <w:sz w:val="20"/>
          <w:szCs w:val="20"/>
        </w:rPr>
        <w:t xml:space="preserve">$</w:t>
      </w:r>
      <w:r>
        <w:rPr>
          <w:rFonts w:ascii="Times New Roman" w:cs="Times New Roman" w:eastAsia="Times New Roman" w:hAnsi="Times New Roman"/>
          <w:i/>
          <w:iCs/>
          <w:color w:val="5A6070"/>
          <w:sz w:val="20"/>
          <w:szCs w:val="20"/>
          <w:highlight w:val="yellow"/>
        </w:rPr>
        <w:t xml:space="preserve">[SINGLE-INSTANCE THRESHOLD]</w:t>
      </w:r>
      <w:r>
        <w:rPr>
          <w:rFonts w:ascii="Times New Roman" w:cs="Times New Roman" w:eastAsia="Times New Roman" w:hAnsi="Times New Roman"/>
          <w:color w:val="1A1A2A"/>
          <w:sz w:val="20"/>
          <w:szCs w:val="20"/>
        </w:rPr>
        <w:t xml:space="preserve">,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aggregate gifts/entertainment above </w:t>
      </w:r>
      <w:r>
        <w:rPr>
          <w:rFonts w:ascii="Times New Roman" w:cs="Times New Roman" w:eastAsia="Times New Roman" w:hAnsi="Times New Roman"/>
          <w:b/>
          <w:bCs/>
          <w:color w:val="1A1A2A"/>
          <w:sz w:val="20"/>
          <w:szCs w:val="20"/>
        </w:rPr>
        <w:t xml:space="preserve">$</w:t>
      </w:r>
      <w:r>
        <w:rPr>
          <w:rFonts w:ascii="Times New Roman" w:cs="Times New Roman" w:eastAsia="Times New Roman" w:hAnsi="Times New Roman"/>
          <w:i/>
          <w:iCs/>
          <w:color w:val="5A6070"/>
          <w:sz w:val="20"/>
          <w:szCs w:val="20"/>
          <w:highlight w:val="yellow"/>
        </w:rPr>
        <w:t xml:space="preserve">[ANNUAL AGGREGATE THRESHOLD]</w:t>
      </w:r>
      <w:r>
        <w:rPr>
          <w:rFonts w:ascii="Times New Roman" w:cs="Times New Roman" w:eastAsia="Times New Roman" w:hAnsi="Times New Roman"/>
          <w:color w:val="1A1A2A"/>
          <w:sz w:val="20"/>
          <w:szCs w:val="20"/>
        </w:rPr>
        <w:t xml:space="preserve"> per source/recipient in a calendar year, must be pre-approved in writing by </w:t>
      </w:r>
      <w:r>
        <w:rPr>
          <w:rFonts w:ascii="Times New Roman" w:cs="Times New Roman" w:eastAsia="Times New Roman" w:hAnsi="Times New Roman"/>
          <w:i/>
          <w:iCs/>
          <w:color w:val="5A6070"/>
          <w:sz w:val="20"/>
          <w:szCs w:val="20"/>
          <w:highlight w:val="yellow"/>
        </w:rPr>
        <w:t xml:space="preserve">[APPROVAL AUTHORITY]</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5.3  Government Officials</w:t>
      </w:r>
    </w:p>
    <w:p>
      <w:pPr>
        <w:spacing w:before="60" w:after="100"/>
        <w:jc w:val="both"/>
      </w:pPr>
      <w:r>
        <w:rPr>
          <w:rFonts w:ascii="Times New Roman" w:cs="Times New Roman" w:eastAsia="Times New Roman" w:hAnsi="Times New Roman"/>
          <w:b/>
          <w:bCs/>
          <w:color w:val="1A1A2A"/>
          <w:sz w:val="20"/>
          <w:szCs w:val="20"/>
        </w:rPr>
        <w:t xml:space="preserve">Heightened rules</w:t>
      </w:r>
      <w:r>
        <w:rPr>
          <w:rFonts w:ascii="Times New Roman" w:cs="Times New Roman" w:eastAsia="Times New Roman" w:hAnsi="Times New Roman"/>
          <w:color w:val="1A1A2A"/>
          <w:sz w:val="20"/>
          <w:szCs w:val="20"/>
        </w:rPr>
        <w:t xml:space="preserve"> apply to </w:t>
      </w:r>
      <w:r>
        <w:rPr>
          <w:rFonts w:ascii="Times New Roman" w:cs="Times New Roman" w:eastAsia="Times New Roman" w:hAnsi="Times New Roman"/>
          <w:b/>
          <w:bCs/>
          <w:color w:val="1A1A2A"/>
          <w:sz w:val="20"/>
          <w:szCs w:val="20"/>
        </w:rPr>
        <w:t xml:space="preserve">government officials</w:t>
      </w:r>
      <w:r>
        <w:rPr>
          <w:rFonts w:ascii="Times New Roman" w:cs="Times New Roman" w:eastAsia="Times New Roman" w:hAnsi="Times New Roman"/>
          <w:color w:val="1A1A2A"/>
          <w:sz w:val="20"/>
          <w:szCs w:val="20"/>
        </w:rPr>
        <w:t xml:space="preserve"> (broadly defined under FCPA/UK Bribery Act, including employees of state-owned enterprises). Personnel must obtain written pre-approval from the Policy Owner before offering anything of value (including meals, travel, lodging, per diem, or sponsorship) to any government official.</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Conflicts of Interest (Including Multi-Operator / Same-Basin Work)</w:t>
      </w:r>
    </w:p>
    <w:p>
      <w:pPr>
        <w:pStyle w:val="Heading2"/>
        <w:spacing w:before="200" w:after="80"/>
      </w:pPr>
      <w:r>
        <w:rPr>
          <w:rFonts w:ascii="Times New Roman" w:cs="Times New Roman" w:eastAsia="Times New Roman" w:hAnsi="Times New Roman"/>
          <w:b/>
          <w:bCs/>
          <w:color w:val="1B2A5E"/>
          <w:sz w:val="22"/>
          <w:szCs w:val="22"/>
        </w:rPr>
        <w:t xml:space="preserve">6.1  General Standard</w:t>
      </w:r>
    </w:p>
    <w:p>
      <w:pPr>
        <w:spacing w:before="60" w:after="100"/>
        <w:jc w:val="both"/>
      </w:pPr>
      <w:r>
        <w:rPr>
          <w:rFonts w:ascii="Times New Roman" w:cs="Times New Roman" w:eastAsia="Times New Roman" w:hAnsi="Times New Roman"/>
          <w:color w:val="1A1A2A"/>
          <w:sz w:val="20"/>
          <w:szCs w:val="20"/>
        </w:rPr>
        <w:t xml:space="preserve">A </w:t>
      </w:r>
      <w:r>
        <w:rPr>
          <w:rFonts w:ascii="Times New Roman" w:cs="Times New Roman" w:eastAsia="Times New Roman" w:hAnsi="Times New Roman"/>
          <w:b/>
          <w:bCs/>
          <w:color w:val="1A1A2A"/>
          <w:sz w:val="20"/>
          <w:szCs w:val="20"/>
        </w:rPr>
        <w:t xml:space="preserve">conflict of interest</w:t>
      </w:r>
      <w:r>
        <w:rPr>
          <w:rFonts w:ascii="Times New Roman" w:cs="Times New Roman" w:eastAsia="Times New Roman" w:hAnsi="Times New Roman"/>
          <w:color w:val="1A1A2A"/>
          <w:sz w:val="20"/>
          <w:szCs w:val="20"/>
        </w:rPr>
        <w:t xml:space="preserve"> exists when personal interests, relationships, outside activities, or overlapping client relationships could impair — or appear to impair — Personnel's objectivity, loyalty, or ability to act in Celerity's and the client's best interests.</w:t>
      </w:r>
    </w:p>
    <w:p>
      <w:pPr>
        <w:spacing w:before="60" w:after="100"/>
        <w:jc w:val="both"/>
      </w:pPr>
      <w:r>
        <w:rPr>
          <w:rFonts w:ascii="Times New Roman" w:cs="Times New Roman" w:eastAsia="Times New Roman" w:hAnsi="Times New Roman"/>
          <w:color w:val="1A1A2A"/>
          <w:sz w:val="20"/>
          <w:szCs w:val="20"/>
        </w:rPr>
        <w:t xml:space="preserve">Personnel must avoid conflicts where possible and must </w:t>
      </w:r>
      <w:r>
        <w:rPr>
          <w:rFonts w:ascii="Times New Roman" w:cs="Times New Roman" w:eastAsia="Times New Roman" w:hAnsi="Times New Roman"/>
          <w:b/>
          <w:bCs/>
          <w:color w:val="1A1A2A"/>
          <w:sz w:val="20"/>
          <w:szCs w:val="20"/>
        </w:rPr>
        <w:t xml:space="preserve">promptly disclose</w:t>
      </w:r>
      <w:r>
        <w:rPr>
          <w:rFonts w:ascii="Times New Roman" w:cs="Times New Roman" w:eastAsia="Times New Roman" w:hAnsi="Times New Roman"/>
          <w:color w:val="1A1A2A"/>
          <w:sz w:val="20"/>
          <w:szCs w:val="20"/>
        </w:rPr>
        <w:t xml:space="preserve"> actual, potential, or perceived conflicts.</w:t>
      </w:r>
    </w:p>
    <w:p>
      <w:pPr>
        <w:pStyle w:val="Heading2"/>
        <w:spacing w:before="200" w:after="80"/>
      </w:pPr>
      <w:r>
        <w:rPr>
          <w:rFonts w:ascii="Times New Roman" w:cs="Times New Roman" w:eastAsia="Times New Roman" w:hAnsi="Times New Roman"/>
          <w:b/>
          <w:bCs/>
          <w:color w:val="1B2A5E"/>
          <w:sz w:val="22"/>
          <w:szCs w:val="22"/>
        </w:rPr>
        <w:t xml:space="preserve">6.2  Operator-in-the-Same-Basin Guidance (Critical for Energy Consulting)</w:t>
      </w:r>
    </w:p>
    <w:p>
      <w:pPr>
        <w:spacing w:before="60" w:after="100"/>
        <w:jc w:val="both"/>
      </w:pPr>
      <w:r>
        <w:rPr>
          <w:rFonts w:ascii="Times New Roman" w:cs="Times New Roman" w:eastAsia="Times New Roman" w:hAnsi="Times New Roman"/>
          <w:color w:val="1A1A2A"/>
          <w:sz w:val="20"/>
          <w:szCs w:val="20"/>
        </w:rPr>
        <w:t xml:space="preserve">Because Celerity may advise multiple operators, private equity sponsors, service companies, and mineral/royalty owners in the same basin or play, Personnel must follow these baseline rules: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No misuse of client confidential information: </w:t>
      </w:r>
      <w:r>
        <w:rPr>
          <w:rFonts w:ascii="Times New Roman" w:cs="Times New Roman" w:eastAsia="Times New Roman" w:hAnsi="Times New Roman"/>
          <w:color w:val="1A1A2A"/>
          <w:sz w:val="20"/>
          <w:szCs w:val="20"/>
        </w:rPr>
        <w:t xml:space="preserve">Information learned on one engagement must never be used to benefit another client or to disadvantage the first client.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Engagement separation: </w:t>
      </w:r>
      <w:r>
        <w:rPr>
          <w:rFonts w:ascii="Times New Roman" w:cs="Times New Roman" w:eastAsia="Times New Roman" w:hAnsi="Times New Roman"/>
          <w:color w:val="1A1A2A"/>
          <w:sz w:val="20"/>
          <w:szCs w:val="20"/>
        </w:rPr>
        <w:t xml:space="preserve">Celerity will use practical safeguards (e.g., limited-access folders, role-based access, need-to-know staffing) where appropriate.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Disclosure and consent: </w:t>
      </w:r>
      <w:r>
        <w:rPr>
          <w:rFonts w:ascii="Times New Roman" w:cs="Times New Roman" w:eastAsia="Times New Roman" w:hAnsi="Times New Roman"/>
          <w:color w:val="1A1A2A"/>
          <w:sz w:val="20"/>
          <w:szCs w:val="20"/>
        </w:rPr>
        <w:t xml:space="preserve">If a new engagement could reasonably be viewed as adverse, competitive, or sensitive relative to another client engagement in the same basin/play, Personnel must escalate under Section 6.3 before accepting or staffing the work.</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Client-imposed restrictions: </w:t>
      </w:r>
      <w:r>
        <w:rPr>
          <w:rFonts w:ascii="Times New Roman" w:cs="Times New Roman" w:eastAsia="Times New Roman" w:hAnsi="Times New Roman"/>
          <w:color w:val="1A1A2A"/>
          <w:sz w:val="20"/>
          <w:szCs w:val="20"/>
        </w:rPr>
        <w:t xml:space="preserve">If a client contract restricts work for certain competitors or in certain assets/areas, Personnel must comply and immediately escalate any potential overlap.</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No "inside" commentary: </w:t>
      </w:r>
      <w:r>
        <w:rPr>
          <w:rFonts w:ascii="Times New Roman" w:cs="Times New Roman" w:eastAsia="Times New Roman" w:hAnsi="Times New Roman"/>
          <w:color w:val="1A1A2A"/>
          <w:sz w:val="20"/>
          <w:szCs w:val="20"/>
        </w:rPr>
        <w:t xml:space="preserve">Personnel should not discuss client strategies, bids, asset valuations, or transaction positions across client teams.</w:t>
      </w:r>
    </w:p>
    <w:p>
      <w:pPr>
        <w:pStyle w:val="Heading2"/>
        <w:spacing w:before="200" w:after="80"/>
      </w:pPr>
      <w:r>
        <w:rPr>
          <w:rFonts w:ascii="Times New Roman" w:cs="Times New Roman" w:eastAsia="Times New Roman" w:hAnsi="Times New Roman"/>
          <w:b/>
          <w:bCs/>
          <w:color w:val="1B2A5E"/>
          <w:sz w:val="22"/>
          <w:szCs w:val="22"/>
        </w:rPr>
        <w:t xml:space="preserve">6.3  Disclosure and Resolution Procedure</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Immediate disclosure: </w:t>
      </w:r>
      <w:r>
        <w:rPr>
          <w:rFonts w:ascii="Times New Roman" w:cs="Times New Roman" w:eastAsia="Times New Roman" w:hAnsi="Times New Roman"/>
          <w:color w:val="1A1A2A"/>
          <w:sz w:val="20"/>
          <w:szCs w:val="20"/>
        </w:rPr>
        <w:t xml:space="preserve">Personnel must disclose conflicts to the Policy Owner at </w:t>
      </w:r>
      <w:r>
        <w:rPr>
          <w:rFonts w:ascii="Times New Roman" w:cs="Times New Roman" w:eastAsia="Times New Roman" w:hAnsi="Times New Roman"/>
          <w:i/>
          <w:iCs/>
          <w:color w:val="5A6070"/>
          <w:sz w:val="20"/>
          <w:szCs w:val="20"/>
          <w:highlight w:val="yellow"/>
        </w:rPr>
        <w:t xml:space="preserve">[CONFLICTS/COMPLIANCE EMAIL]</w:t>
      </w:r>
      <w:r>
        <w:rPr>
          <w:rFonts w:ascii="Times New Roman" w:cs="Times New Roman" w:eastAsia="Times New Roman" w:hAnsi="Times New Roman"/>
          <w:color w:val="1A1A2A"/>
          <w:sz w:val="20"/>
          <w:szCs w:val="20"/>
        </w:rPr>
        <w:t xml:space="preserve"> and their engagement lead (if applicable).</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Required information: </w:t>
      </w:r>
      <w:r>
        <w:rPr>
          <w:rFonts w:ascii="Times New Roman" w:cs="Times New Roman" w:eastAsia="Times New Roman" w:hAnsi="Times New Roman"/>
          <w:color w:val="1A1A2A"/>
          <w:sz w:val="20"/>
          <w:szCs w:val="20"/>
        </w:rPr>
        <w:t xml:space="preserve">Disclosures should include the parties involved, nature of the conflict, affected engagements/basins, and any relevant timing.</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Triage and decision: </w:t>
      </w:r>
      <w:r>
        <w:rPr>
          <w:rFonts w:ascii="Times New Roman" w:cs="Times New Roman" w:eastAsia="Times New Roman" w:hAnsi="Times New Roman"/>
          <w:color w:val="1A1A2A"/>
          <w:sz w:val="20"/>
          <w:szCs w:val="20"/>
        </w:rPr>
        <w:t xml:space="preserve">The Policy Owner (with senior management as needed) will determine mitigation steps, which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staffing changes / recusal,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information barriers,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 disclosure and written consent (where appropriate),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declining or terminating an engagement,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other documented controls.</w:t>
      </w:r>
    </w:p>
    <w:p>
      <w:pPr>
        <w:spacing w:before="40" w:after="60"/>
        <w:ind w:left="720" w:hanging="360"/>
        <w:jc w:val="both"/>
      </w:pPr>
      <w:r>
        <w:rPr>
          <w:rFonts w:ascii="Times New Roman" w:cs="Times New Roman" w:eastAsia="Times New Roman" w:hAnsi="Times New Roman"/>
          <w:b/>
          <w:bCs/>
          <w:color w:val="1A1A2A"/>
          <w:sz w:val="20"/>
          <w:szCs w:val="20"/>
        </w:rPr>
        <w:t xml:space="preserve">4.  </w:t>
      </w:r>
      <w:r>
        <w:rPr>
          <w:rFonts w:ascii="Times New Roman" w:cs="Times New Roman" w:eastAsia="Times New Roman" w:hAnsi="Times New Roman"/>
          <w:b/>
          <w:bCs/>
          <w:color w:val="1A1A2A"/>
          <w:sz w:val="20"/>
          <w:szCs w:val="20"/>
        </w:rPr>
        <w:t xml:space="preserve">Documentation: </w:t>
      </w:r>
      <w:r>
        <w:rPr>
          <w:rFonts w:ascii="Times New Roman" w:cs="Times New Roman" w:eastAsia="Times New Roman" w:hAnsi="Times New Roman"/>
          <w:color w:val="1A1A2A"/>
          <w:sz w:val="20"/>
          <w:szCs w:val="20"/>
        </w:rPr>
        <w:t xml:space="preserve">Resolutions will be documented and retained per Company policy.</w:t>
      </w:r>
    </w:p>
    <w:p>
      <w:pPr>
        <w:spacing w:before="40" w:after="60"/>
        <w:ind w:left="720" w:hanging="360"/>
        <w:jc w:val="both"/>
      </w:pPr>
      <w:r>
        <w:rPr>
          <w:rFonts w:ascii="Times New Roman" w:cs="Times New Roman" w:eastAsia="Times New Roman" w:hAnsi="Times New Roman"/>
          <w:b/>
          <w:bCs/>
          <w:color w:val="1A1A2A"/>
          <w:sz w:val="20"/>
          <w:szCs w:val="20"/>
        </w:rPr>
        <w:t xml:space="preserve">5.  </w:t>
      </w:r>
      <w:r>
        <w:rPr>
          <w:rFonts w:ascii="Times New Roman" w:cs="Times New Roman" w:eastAsia="Times New Roman" w:hAnsi="Times New Roman"/>
          <w:b/>
          <w:bCs/>
          <w:color w:val="1A1A2A"/>
          <w:sz w:val="20"/>
          <w:szCs w:val="20"/>
        </w:rPr>
        <w:t xml:space="preserve">Ongoing duty: </w:t>
      </w:r>
      <w:r>
        <w:rPr>
          <w:rFonts w:ascii="Times New Roman" w:cs="Times New Roman" w:eastAsia="Times New Roman" w:hAnsi="Times New Roman"/>
          <w:color w:val="1A1A2A"/>
          <w:sz w:val="20"/>
          <w:szCs w:val="20"/>
        </w:rPr>
        <w:t xml:space="preserve">Conflicts must be updated if circumstances change.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Compliance with Laws and Regulations</w:t>
      </w:r>
    </w:p>
    <w:p>
      <w:pPr>
        <w:spacing w:before="60" w:after="100"/>
        <w:jc w:val="both"/>
      </w:pPr>
      <w:r>
        <w:rPr>
          <w:rFonts w:ascii="Times New Roman" w:cs="Times New Roman" w:eastAsia="Times New Roman" w:hAnsi="Times New Roman"/>
          <w:color w:val="1A1A2A"/>
          <w:sz w:val="20"/>
          <w:szCs w:val="20"/>
        </w:rPr>
        <w:t xml:space="preserve">Personnel must comply with all applicable laws and regulations, including those relevant to global energy advisory work. This includes:</w:t>
      </w:r>
    </w:p>
    <w:p>
      <w:pPr>
        <w:pStyle w:val="Heading2"/>
        <w:spacing w:before="200" w:after="80"/>
      </w:pPr>
      <w:r>
        <w:rPr>
          <w:rFonts w:ascii="Times New Roman" w:cs="Times New Roman" w:eastAsia="Times New Roman" w:hAnsi="Times New Roman"/>
          <w:b/>
          <w:bCs/>
          <w:color w:val="1B2A5E"/>
          <w:sz w:val="22"/>
          <w:szCs w:val="22"/>
        </w:rPr>
        <w:t xml:space="preserve">7.1  Securities Laws and Insider Trading</w:t>
      </w:r>
    </w:p>
    <w:p>
      <w:pPr>
        <w:spacing w:before="60" w:after="100"/>
        <w:jc w:val="both"/>
      </w:pPr>
      <w:r>
        <w:rPr>
          <w:rFonts w:ascii="Times New Roman" w:cs="Times New Roman" w:eastAsia="Times New Roman" w:hAnsi="Times New Roman"/>
          <w:color w:val="1A1A2A"/>
          <w:sz w:val="20"/>
          <w:szCs w:val="20"/>
        </w:rPr>
        <w:t xml:space="preserve">Personnel must not trade in securities or advise others to trade based on </w:t>
      </w:r>
      <w:r>
        <w:rPr>
          <w:rFonts w:ascii="Times New Roman" w:cs="Times New Roman" w:eastAsia="Times New Roman" w:hAnsi="Times New Roman"/>
          <w:b/>
          <w:bCs/>
          <w:color w:val="1A1A2A"/>
          <w:sz w:val="20"/>
          <w:szCs w:val="20"/>
        </w:rPr>
        <w:t xml:space="preserve">material nonpublic information (MNPI)</w:t>
      </w:r>
      <w:r>
        <w:rPr>
          <w:rFonts w:ascii="Times New Roman" w:cs="Times New Roman" w:eastAsia="Times New Roman" w:hAnsi="Times New Roman"/>
          <w:color w:val="1A1A2A"/>
          <w:sz w:val="20"/>
          <w:szCs w:val="20"/>
        </w:rPr>
        <w:t xml:space="preserve"> obtained through client work or Company business. Suspected MNPI exposure must be reported to the Policy Owner.</w:t>
      </w:r>
    </w:p>
    <w:p>
      <w:pPr>
        <w:pStyle w:val="Heading2"/>
        <w:spacing w:before="200" w:after="80"/>
      </w:pPr>
      <w:r>
        <w:rPr>
          <w:rFonts w:ascii="Times New Roman" w:cs="Times New Roman" w:eastAsia="Times New Roman" w:hAnsi="Times New Roman"/>
          <w:b/>
          <w:bCs/>
          <w:color w:val="1B2A5E"/>
          <w:sz w:val="22"/>
          <w:szCs w:val="22"/>
        </w:rPr>
        <w:t xml:space="preserve">7.2  Antitrust and Competition Laws</w:t>
      </w:r>
    </w:p>
    <w:p>
      <w:pPr>
        <w:spacing w:before="60" w:after="100"/>
        <w:jc w:val="both"/>
      </w:pPr>
      <w:r>
        <w:rPr>
          <w:rFonts w:ascii="Times New Roman" w:cs="Times New Roman" w:eastAsia="Times New Roman" w:hAnsi="Times New Roman"/>
          <w:color w:val="1A1A2A"/>
          <w:sz w:val="20"/>
          <w:szCs w:val="20"/>
        </w:rPr>
        <w:t xml:space="preserve">Personnel must not: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agree (formally or informally) with competitors on prices, bids, terms, market allocation, or boycotts;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exchange competitively sensitive information without lawful basis and approval;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participate in trade association activities that create antitrust risk without appropriate safeguards.</w:t>
      </w:r>
    </w:p>
    <w:p>
      <w:pPr>
        <w:pStyle w:val="Heading2"/>
        <w:spacing w:before="200" w:after="80"/>
      </w:pPr>
      <w:r>
        <w:rPr>
          <w:rFonts w:ascii="Times New Roman" w:cs="Times New Roman" w:eastAsia="Times New Roman" w:hAnsi="Times New Roman"/>
          <w:b/>
          <w:bCs/>
          <w:color w:val="1B2A5E"/>
          <w:sz w:val="22"/>
          <w:szCs w:val="22"/>
        </w:rPr>
        <w:t xml:space="preserve">7.3  Sanctions, Export Controls, and Restricted Parties</w:t>
      </w:r>
    </w:p>
    <w:p>
      <w:pPr>
        <w:spacing w:before="60" w:after="100"/>
        <w:jc w:val="both"/>
      </w:pPr>
      <w:r>
        <w:rPr>
          <w:rFonts w:ascii="Times New Roman" w:cs="Times New Roman" w:eastAsia="Times New Roman" w:hAnsi="Times New Roman"/>
          <w:color w:val="1A1A2A"/>
          <w:sz w:val="20"/>
          <w:szCs w:val="20"/>
        </w:rPr>
        <w:t xml:space="preserve">Personnel must comply with U.S. and applicable international sanctions and export controls (including OFAC-related restrictions). Personnel must not engage in prohibited transactions or dealings with restricted parties or embargoed jurisdictions.</w:t>
      </w:r>
    </w:p>
    <w:p>
      <w:pPr>
        <w:pStyle w:val="Heading2"/>
        <w:spacing w:before="200" w:after="80"/>
      </w:pPr>
      <w:r>
        <w:rPr>
          <w:rFonts w:ascii="Times New Roman" w:cs="Times New Roman" w:eastAsia="Times New Roman" w:hAnsi="Times New Roman"/>
          <w:b/>
          <w:bCs/>
          <w:color w:val="1B2A5E"/>
          <w:sz w:val="22"/>
          <w:szCs w:val="22"/>
        </w:rPr>
        <w:t xml:space="preserve">7.4  Anti-Money Laundering (AML)</w:t>
      </w:r>
    </w:p>
    <w:p>
      <w:pPr>
        <w:spacing w:before="60" w:after="100"/>
        <w:jc w:val="both"/>
      </w:pPr>
      <w:r>
        <w:rPr>
          <w:rFonts w:ascii="Times New Roman" w:cs="Times New Roman" w:eastAsia="Times New Roman" w:hAnsi="Times New Roman"/>
          <w:color w:val="1A1A2A"/>
          <w:sz w:val="20"/>
          <w:szCs w:val="20"/>
        </w:rPr>
        <w:t xml:space="preserve">Personnel must be alert to AML red flags (unusual payment structures, requests for third-party payments, cash, or opaque ownership). Any suspicious activity must be reported promptly to the Policy Owner.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Workplace Conduct: Respect, Anti-Discrimination, and Anti-Harassment</w:t>
      </w:r>
    </w:p>
    <w:p>
      <w:pPr>
        <w:spacing w:before="60" w:after="100"/>
        <w:jc w:val="both"/>
      </w:pPr>
      <w:r>
        <w:rPr>
          <w:rFonts w:ascii="Times New Roman" w:cs="Times New Roman" w:eastAsia="Times New Roman" w:hAnsi="Times New Roman"/>
          <w:color w:val="1A1A2A"/>
          <w:sz w:val="20"/>
          <w:szCs w:val="20"/>
        </w:rPr>
        <w:t xml:space="preserve">Celerity is committed to a professional, inclusive, and respectful workplace. Discrimination, harassment, bullying, threats, and intimidation are prohibited.</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treat others with dignity and respect;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comply with applicable laws regarding equal employment opportunity and workplace conduct;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report inappropriate conduct promptly.</w:t>
      </w:r>
    </w:p>
    <w:p>
      <w:pPr>
        <w:spacing w:before="60" w:after="100"/>
        <w:jc w:val="both"/>
      </w:pPr>
      <w:r>
        <w:rPr>
          <w:rFonts w:ascii="Times New Roman" w:cs="Times New Roman" w:eastAsia="Times New Roman" w:hAnsi="Times New Roman"/>
          <w:color w:val="1A1A2A"/>
          <w:sz w:val="20"/>
          <w:szCs w:val="20"/>
        </w:rPr>
        <w:t xml:space="preserve">This applies to conduct in-person and via email, messaging, collaboration platforms, calls, social media, and at client/industry events.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HSE Expectations for Field Work; Stop-Work Authority</w:t>
      </w:r>
    </w:p>
    <w:p>
      <w:pPr>
        <w:pStyle w:val="Heading2"/>
        <w:spacing w:before="200" w:after="80"/>
      </w:pPr>
      <w:r>
        <w:rPr>
          <w:rFonts w:ascii="Times New Roman" w:cs="Times New Roman" w:eastAsia="Times New Roman" w:hAnsi="Times New Roman"/>
          <w:b/>
          <w:bCs/>
          <w:color w:val="1B2A5E"/>
          <w:sz w:val="22"/>
          <w:szCs w:val="22"/>
        </w:rPr>
        <w:t xml:space="preserve">9.1  General HSE Expectations</w:t>
      </w:r>
    </w:p>
    <w:p>
      <w:pPr>
        <w:spacing w:before="60" w:after="100"/>
        <w:jc w:val="both"/>
      </w:pPr>
      <w:r>
        <w:rPr>
          <w:rFonts w:ascii="Times New Roman" w:cs="Times New Roman" w:eastAsia="Times New Roman" w:hAnsi="Times New Roman"/>
          <w:color w:val="1A1A2A"/>
          <w:sz w:val="20"/>
          <w:szCs w:val="20"/>
        </w:rPr>
        <w:t xml:space="preserve">When field work, site visits, or client-site work is anticipated, 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follow applicable health, safety, environmental, and security requirements;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complete required site or client trainings before access (if required);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required PPE and comply with site rules;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immediately report safety incidents, near misses, or unsafe conditions to the site representative and to Celerity management.</w:t>
      </w:r>
    </w:p>
    <w:p>
      <w:pPr>
        <w:pStyle w:val="Heading2"/>
        <w:spacing w:before="200" w:after="80"/>
      </w:pPr>
      <w:r>
        <w:rPr>
          <w:rFonts w:ascii="Times New Roman" w:cs="Times New Roman" w:eastAsia="Times New Roman" w:hAnsi="Times New Roman"/>
          <w:b/>
          <w:bCs/>
          <w:color w:val="1B2A5E"/>
          <w:sz w:val="22"/>
          <w:szCs w:val="22"/>
        </w:rPr>
        <w:t xml:space="preserve">9.2  Stop-Work Authority</w:t>
      </w:r>
    </w:p>
    <w:p>
      <w:pPr>
        <w:spacing w:before="60" w:after="100"/>
        <w:jc w:val="both"/>
      </w:pPr>
      <w:r>
        <w:rPr>
          <w:rFonts w:ascii="Times New Roman" w:cs="Times New Roman" w:eastAsia="Times New Roman" w:hAnsi="Times New Roman"/>
          <w:color w:val="1A1A2A"/>
          <w:sz w:val="20"/>
          <w:szCs w:val="20"/>
        </w:rPr>
        <w:t xml:space="preserve">All Personnel have </w:t>
      </w:r>
      <w:r>
        <w:rPr>
          <w:rFonts w:ascii="Times New Roman" w:cs="Times New Roman" w:eastAsia="Times New Roman" w:hAnsi="Times New Roman"/>
          <w:b/>
          <w:bCs/>
          <w:color w:val="1A1A2A"/>
          <w:sz w:val="20"/>
          <w:szCs w:val="20"/>
        </w:rPr>
        <w:t xml:space="preserve">stop-work authority</w:t>
      </w:r>
      <w:r>
        <w:rPr>
          <w:rFonts w:ascii="Times New Roman" w:cs="Times New Roman" w:eastAsia="Times New Roman" w:hAnsi="Times New Roman"/>
          <w:color w:val="1A1A2A"/>
          <w:sz w:val="20"/>
          <w:szCs w:val="20"/>
        </w:rPr>
        <w:t xml:space="preserve">. If a person reasonably believes conditions are unsafe or noncompliant, they must stop work, move to safety, and promptly notify the engagement lead and the site representative. No retaliation is permitted for good-faith stop-work actions.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Accurate Records; Time and Expense Reporting</w:t>
      </w:r>
    </w:p>
    <w:p>
      <w:pPr>
        <w:spacing w:before="60" w:after="100"/>
        <w:jc w:val="both"/>
      </w:pPr>
      <w:r>
        <w:rPr>
          <w:rFonts w:ascii="Times New Roman" w:cs="Times New Roman" w:eastAsia="Times New Roman" w:hAnsi="Times New Roman"/>
          <w:color w:val="1A1A2A"/>
          <w:sz w:val="20"/>
          <w:szCs w:val="20"/>
        </w:rPr>
        <w:t xml:space="preserve">Personnel must maintain accurate and complete: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time entries,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expense reports,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invoices and supporting documentation,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engagement records,</w:t>
      </w:r>
    </w:p>
    <w:p>
      <w:pPr>
        <w:spacing w:before="60" w:after="100"/>
        <w:jc w:val="both"/>
      </w:pPr>
      <w:r>
        <w:rPr>
          <w:rFonts w:ascii="Times New Roman" w:cs="Times New Roman" w:eastAsia="Times New Roman" w:hAnsi="Times New Roman"/>
          <w:color w:val="1A1A2A"/>
          <w:sz w:val="20"/>
          <w:szCs w:val="20"/>
        </w:rPr>
        <w:t xml:space="preserve">consistent with client requirements and Company policies.</w:t>
      </w:r>
    </w:p>
    <w:p>
      <w:pPr>
        <w:spacing w:before="60" w:after="100"/>
        <w:jc w:val="both"/>
      </w:pPr>
      <w:r>
        <w:rPr>
          <w:rFonts w:ascii="Times New Roman" w:cs="Times New Roman" w:eastAsia="Times New Roman" w:hAnsi="Times New Roman"/>
          <w:color w:val="1A1A2A"/>
          <w:sz w:val="20"/>
          <w:szCs w:val="20"/>
        </w:rPr>
        <w:t xml:space="preserve">Personnel must never: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falsify time or expenses,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mischaracterize work to fit billing codes or budgets,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submit expenses that are not reasonable, necessary, and properly documented,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create off-the-books accounts or unrecorded funds.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Use of Company Assets; Communications and Social Media</w:t>
      </w:r>
    </w:p>
    <w:p>
      <w:pPr>
        <w:pStyle w:val="Heading2"/>
        <w:spacing w:before="200" w:after="80"/>
      </w:pPr>
      <w:r>
        <w:rPr>
          <w:rFonts w:ascii="Times New Roman" w:cs="Times New Roman" w:eastAsia="Times New Roman" w:hAnsi="Times New Roman"/>
          <w:b/>
          <w:bCs/>
          <w:color w:val="1B2A5E"/>
          <w:sz w:val="22"/>
          <w:szCs w:val="22"/>
        </w:rPr>
        <w:t xml:space="preserve">11.1  Company Assets</w:t>
      </w:r>
    </w:p>
    <w:p>
      <w:pPr>
        <w:spacing w:before="60" w:after="100"/>
        <w:jc w:val="both"/>
      </w:pPr>
      <w:r>
        <w:rPr>
          <w:rFonts w:ascii="Times New Roman" w:cs="Times New Roman" w:eastAsia="Times New Roman" w:hAnsi="Times New Roman"/>
          <w:color w:val="1A1A2A"/>
          <w:sz w:val="20"/>
          <w:szCs w:val="20"/>
        </w:rPr>
        <w:t xml:space="preserve">Company assets (systems, devices, software, data, intellectual property, and brand) must be used primarily for legitimate business purposes and protected from loss, theft, misuse, and unauthorized disclosure.</w:t>
      </w:r>
    </w:p>
    <w:p>
      <w:pPr>
        <w:pStyle w:val="Heading2"/>
        <w:spacing w:before="200" w:after="80"/>
      </w:pPr>
      <w:r>
        <w:rPr>
          <w:rFonts w:ascii="Times New Roman" w:cs="Times New Roman" w:eastAsia="Times New Roman" w:hAnsi="Times New Roman"/>
          <w:b/>
          <w:bCs/>
          <w:color w:val="1B2A5E"/>
          <w:sz w:val="22"/>
          <w:szCs w:val="22"/>
        </w:rPr>
        <w:t xml:space="preserve">11.2  Communications and Social Media</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communicate professionally and accurately;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avoid posting client-identifying information, engagement details, locations, or sensitive matters on social media;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imply Company endorsement of personal views;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speak on behalf of Celerity unless authorized in writing by </w:t>
      </w:r>
      <w:r>
        <w:rPr>
          <w:rFonts w:ascii="Times New Roman" w:cs="Times New Roman" w:eastAsia="Times New Roman" w:hAnsi="Times New Roman"/>
          <w:i/>
          <w:iCs/>
          <w:color w:val="5A6070"/>
          <w:sz w:val="20"/>
          <w:szCs w:val="20"/>
          <w:highlight w:val="yellow"/>
        </w:rPr>
        <w:t xml:space="preserve">[AUTHORIZED SPOKESPERSON / APPROVER]</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Reporting Concerns; Non-Retaliation; Investigation Process</w:t>
      </w:r>
    </w:p>
    <w:p>
      <w:pPr>
        <w:pStyle w:val="Heading2"/>
        <w:spacing w:before="200" w:after="80"/>
      </w:pPr>
      <w:r>
        <w:rPr>
          <w:rFonts w:ascii="Times New Roman" w:cs="Times New Roman" w:eastAsia="Times New Roman" w:hAnsi="Times New Roman"/>
          <w:b/>
          <w:bCs/>
          <w:color w:val="1B2A5E"/>
          <w:sz w:val="22"/>
          <w:szCs w:val="22"/>
        </w:rPr>
        <w:t xml:space="preserve">12.1  How to Report</w:t>
      </w:r>
    </w:p>
    <w:p>
      <w:pPr>
        <w:spacing w:before="60" w:after="100"/>
        <w:jc w:val="both"/>
      </w:pPr>
      <w:r>
        <w:rPr>
          <w:rFonts w:ascii="Times New Roman" w:cs="Times New Roman" w:eastAsia="Times New Roman" w:hAnsi="Times New Roman"/>
          <w:color w:val="1A1A2A"/>
          <w:sz w:val="20"/>
          <w:szCs w:val="20"/>
        </w:rPr>
        <w:t xml:space="preserve">Personnel must promptly report suspected violations of this Code, the Code of Business Ethics, the Human Rights Policy, law, or client/site rules.</w:t>
      </w:r>
    </w:p>
    <w:p>
      <w:pPr>
        <w:spacing w:before="60" w:after="100"/>
        <w:jc w:val="both"/>
      </w:pPr>
      <w:r>
        <w:rPr>
          <w:rFonts w:ascii="Times New Roman" w:cs="Times New Roman" w:eastAsia="Times New Roman" w:hAnsi="Times New Roman"/>
          <w:color w:val="1A1A2A"/>
          <w:sz w:val="20"/>
          <w:szCs w:val="20"/>
        </w:rPr>
        <w:t xml:space="preserve">Reports may be made to:</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Policy Owner / Compliance:  </w:t>
      </w:r>
      <w:r>
        <w:rPr>
          <w:rFonts w:ascii="Times New Roman" w:cs="Times New Roman" w:eastAsia="Times New Roman" w:hAnsi="Times New Roman"/>
          <w:i/>
          <w:iCs/>
          <w:color w:val="5A6070"/>
          <w:sz w:val="20"/>
          <w:szCs w:val="20"/>
          <w:highlight w:val="yellow"/>
        </w:rPr>
        <w:t xml:space="preserve">[REPORTING EMAIL]</w:t>
      </w:r>
      <w:r>
        <w:rPr>
          <w:rFonts w:ascii="Times New Roman" w:cs="Times New Roman" w:eastAsia="Times New Roman" w:hAnsi="Times New Roman"/>
          <w:color w:val="1A1A2A"/>
          <w:sz w:val="20"/>
          <w:szCs w:val="20"/>
        </w:rPr>
        <w:t xml:space="preserve">  |  </w:t>
      </w:r>
      <w:r>
        <w:rPr>
          <w:rFonts w:ascii="Times New Roman" w:cs="Times New Roman" w:eastAsia="Times New Roman" w:hAnsi="Times New Roman"/>
          <w:i/>
          <w:iCs/>
          <w:color w:val="5A6070"/>
          <w:sz w:val="20"/>
          <w:szCs w:val="20"/>
          <w:highlight w:val="yellow"/>
        </w:rPr>
        <w:t xml:space="preserve">[REPORTING PHONE]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Anonymous Hotline (where permitted):  </w:t>
      </w:r>
      <w:r>
        <w:rPr>
          <w:rFonts w:ascii="Times New Roman" w:cs="Times New Roman" w:eastAsia="Times New Roman" w:hAnsi="Times New Roman"/>
          <w:i/>
          <w:iCs/>
          <w:color w:val="5A6070"/>
          <w:sz w:val="20"/>
          <w:szCs w:val="20"/>
          <w:highlight w:val="yellow"/>
        </w:rPr>
        <w:t xml:space="preserve">[HOTLINE URL]</w:t>
      </w:r>
      <w:r>
        <w:rPr>
          <w:rFonts w:ascii="Times New Roman" w:cs="Times New Roman" w:eastAsia="Times New Roman" w:hAnsi="Times New Roman"/>
          <w:color w:val="1A1A2A"/>
          <w:sz w:val="20"/>
          <w:szCs w:val="20"/>
        </w:rPr>
        <w:t xml:space="preserve">  |  </w:t>
      </w:r>
      <w:r>
        <w:rPr>
          <w:rFonts w:ascii="Times New Roman" w:cs="Times New Roman" w:eastAsia="Times New Roman" w:hAnsi="Times New Roman"/>
          <w:i/>
          <w:iCs/>
          <w:color w:val="5A6070"/>
          <w:sz w:val="20"/>
          <w:szCs w:val="20"/>
          <w:highlight w:val="yellow"/>
        </w:rPr>
        <w:t xml:space="preserve">[HOTLINE NUMBER]</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Management:  </w:t>
      </w:r>
      <w:r>
        <w:rPr>
          <w:rFonts w:ascii="Times New Roman" w:cs="Times New Roman" w:eastAsia="Times New Roman" w:hAnsi="Times New Roman"/>
          <w:color w:val="1A1A2A"/>
          <w:sz w:val="20"/>
          <w:szCs w:val="20"/>
        </w:rPr>
        <w:t xml:space="preserve">any supervisor, engagement lead, or senior management</w:t>
      </w:r>
    </w:p>
    <w:p>
      <w:pPr>
        <w:pStyle w:val="Heading2"/>
        <w:spacing w:before="200" w:after="80"/>
      </w:pPr>
      <w:r>
        <w:rPr>
          <w:rFonts w:ascii="Times New Roman" w:cs="Times New Roman" w:eastAsia="Times New Roman" w:hAnsi="Times New Roman"/>
          <w:b/>
          <w:bCs/>
          <w:color w:val="1B2A5E"/>
          <w:sz w:val="22"/>
          <w:szCs w:val="22"/>
        </w:rPr>
        <w:t xml:space="preserve">12.2  Non-Retaliation</w:t>
      </w:r>
    </w:p>
    <w:p>
      <w:pPr>
        <w:spacing w:before="60" w:after="100"/>
        <w:jc w:val="both"/>
      </w:pPr>
      <w:r>
        <w:rPr>
          <w:rFonts w:ascii="Times New Roman" w:cs="Times New Roman" w:eastAsia="Times New Roman" w:hAnsi="Times New Roman"/>
          <w:color w:val="1A1A2A"/>
          <w:sz w:val="20"/>
          <w:szCs w:val="20"/>
        </w:rPr>
        <w:t xml:space="preserve">Celerity prohibits retaliation against anyone who, in good faith:</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reports a concern,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asks for guidance,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participates in an investigation.</w:t>
      </w:r>
    </w:p>
    <w:p>
      <w:pPr>
        <w:spacing w:before="60" w:after="100"/>
        <w:jc w:val="both"/>
      </w:pPr>
      <w:r>
        <w:rPr>
          <w:rFonts w:ascii="Times New Roman" w:cs="Times New Roman" w:eastAsia="Times New Roman" w:hAnsi="Times New Roman"/>
          <w:color w:val="1A1A2A"/>
          <w:sz w:val="20"/>
          <w:szCs w:val="20"/>
        </w:rPr>
        <w:t xml:space="preserve">Retaliation is itself a serious violation and may result in discipline up to and including termination of employment or engagement.</w:t>
      </w:r>
    </w:p>
    <w:p>
      <w:pPr>
        <w:pStyle w:val="Heading2"/>
        <w:spacing w:before="200" w:after="80"/>
      </w:pPr>
      <w:r>
        <w:rPr>
          <w:rFonts w:ascii="Times New Roman" w:cs="Times New Roman" w:eastAsia="Times New Roman" w:hAnsi="Times New Roman"/>
          <w:b/>
          <w:bCs/>
          <w:color w:val="1B2A5E"/>
          <w:sz w:val="22"/>
          <w:szCs w:val="22"/>
        </w:rPr>
        <w:t xml:space="preserve">12.3  Investigation Process</w:t>
      </w:r>
    </w:p>
    <w:p>
      <w:pPr>
        <w:spacing w:before="60" w:after="100"/>
        <w:jc w:val="both"/>
      </w:pPr>
      <w:r>
        <w:rPr>
          <w:rFonts w:ascii="Times New Roman" w:cs="Times New Roman" w:eastAsia="Times New Roman" w:hAnsi="Times New Roman"/>
          <w:color w:val="1A1A2A"/>
          <w:sz w:val="20"/>
          <w:szCs w:val="20"/>
        </w:rPr>
        <w:t xml:space="preserve">Celerity will investigate reports promptly, fairly, and as confidentially as practicable. Investigations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triage for immediate risk (including safety and data security),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document preservation and access controls,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interviews and review of relevant records,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findings and corrective action recommendations.</w:t>
      </w:r>
    </w:p>
    <w:p>
      <w:pPr>
        <w:spacing w:before="60" w:after="100"/>
        <w:jc w:val="both"/>
      </w:pPr>
      <w:r>
        <w:rPr>
          <w:rFonts w:ascii="Times New Roman" w:cs="Times New Roman" w:eastAsia="Times New Roman" w:hAnsi="Times New Roman"/>
          <w:color w:val="1A1A2A"/>
          <w:sz w:val="20"/>
          <w:szCs w:val="20"/>
        </w:rPr>
        <w:t xml:space="preserve">Celerity may involve external counsel or third-party investigators as appropriate.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Disciplinary Consequences and Remedies</w:t>
      </w:r>
    </w:p>
    <w:p>
      <w:pPr>
        <w:spacing w:before="60" w:after="100"/>
        <w:jc w:val="both"/>
      </w:pPr>
      <w:r>
        <w:rPr>
          <w:rFonts w:ascii="Times New Roman" w:cs="Times New Roman" w:eastAsia="Times New Roman" w:hAnsi="Times New Roman"/>
          <w:color w:val="1A1A2A"/>
          <w:sz w:val="20"/>
          <w:szCs w:val="20"/>
        </w:rPr>
        <w:t xml:space="preserve">Violations of this Code may result in corrective action up to and including: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coaching or retraining,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written warnings,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removal from an engagement,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suspension of system access,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termination of employment,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termination of contractor/subcontractor engagement, and/or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referral to law enforcement or regulators where required or appropriate.</w:t>
      </w:r>
    </w:p>
    <w:p>
      <w:pPr>
        <w:spacing w:before="60" w:after="100"/>
        <w:jc w:val="both"/>
      </w:pPr>
      <w:r>
        <w:rPr>
          <w:rFonts w:ascii="Times New Roman" w:cs="Times New Roman" w:eastAsia="Times New Roman" w:hAnsi="Times New Roman"/>
          <w:color w:val="1A1A2A"/>
          <w:sz w:val="20"/>
          <w:szCs w:val="20"/>
        </w:rPr>
        <w:t xml:space="preserve">Celerity also may pursue contractual remedies and damages where permitted.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14.  Training and Acknowledgment</w:t>
      </w:r>
    </w:p>
    <w:p>
      <w:pPr>
        <w:spacing w:before="60" w:after="100"/>
        <w:jc w:val="both"/>
      </w:pPr>
      <w:r>
        <w:rPr>
          <w:rFonts w:ascii="Times New Roman" w:cs="Times New Roman" w:eastAsia="Times New Roman" w:hAnsi="Times New Roman"/>
          <w:color w:val="1A1A2A"/>
          <w:sz w:val="20"/>
          <w:szCs w:val="20"/>
        </w:rPr>
        <w:t xml:space="preserve">Personnel must complete required compliance training assigned by the Company, which may include anti-corruption, confidentiality/data security, conflicts, HSE awareness, and other role-relevant topics.</w:t>
      </w:r>
    </w:p>
    <w:p>
      <w:pPr>
        <w:spacing w:before="60" w:after="100"/>
        <w:jc w:val="both"/>
      </w:pPr>
      <w:r>
        <w:rPr>
          <w:rFonts w:ascii="Times New Roman" w:cs="Times New Roman" w:eastAsia="Times New Roman" w:hAnsi="Times New Roman"/>
          <w:color w:val="1A1A2A"/>
          <w:sz w:val="20"/>
          <w:szCs w:val="20"/>
        </w:rPr>
        <w:t xml:space="preserve">All Personnel must sign an acknowledgment of receipt and agreement (Appendix A). Failure to acknowledge does not excuse compliance.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15.  Definitions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"Confidential Information" </w:t>
      </w:r>
      <w:r>
        <w:rPr>
          <w:rFonts w:ascii="Times New Roman" w:cs="Times New Roman" w:eastAsia="Times New Roman" w:hAnsi="Times New Roman"/>
          <w:color w:val="1A1A2A"/>
          <w:sz w:val="20"/>
          <w:szCs w:val="20"/>
        </w:rPr>
        <w:t xml:space="preserve">includes any non-public information relating to Celerity, its clients, or Business Partners that is designated confidential or reasonably should be understood to be confidential.</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"Government Official" </w:t>
      </w:r>
      <w:r>
        <w:rPr>
          <w:rFonts w:ascii="Times New Roman" w:cs="Times New Roman" w:eastAsia="Times New Roman" w:hAnsi="Times New Roman"/>
          <w:color w:val="1A1A2A"/>
          <w:sz w:val="20"/>
          <w:szCs w:val="20"/>
        </w:rPr>
        <w:t xml:space="preserve">has the broad meaning used in anti-corruption laws, including employees of government agencies and state-owned or state-controlled entities.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"Personnel" </w:t>
      </w:r>
      <w:r>
        <w:rPr>
          <w:rFonts w:ascii="Times New Roman" w:cs="Times New Roman" w:eastAsia="Times New Roman" w:hAnsi="Times New Roman"/>
          <w:color w:val="1A1A2A"/>
          <w:sz w:val="20"/>
          <w:szCs w:val="20"/>
        </w:rPr>
        <w:t xml:space="preserve">has the meaning set out in Section 2.</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"Retaliation" </w:t>
      </w:r>
      <w:r>
        <w:rPr>
          <w:rFonts w:ascii="Times New Roman" w:cs="Times New Roman" w:eastAsia="Times New Roman" w:hAnsi="Times New Roman"/>
          <w:color w:val="1A1A2A"/>
          <w:sz w:val="20"/>
          <w:szCs w:val="20"/>
        </w:rPr>
        <w:t xml:space="preserve">has the meaning set out in Celerity's Human Rights Policy and includes any adverse action for good-faith reporting or participation in an investigation.</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APPENDIX A</w:t>
      </w:r>
    </w:p>
    <w:p>
      <w:pPr>
        <w:spacing w:before="0" w:after="4"/>
      </w:pPr>
      <w:r>
        <w:rPr>
          <w:rFonts w:ascii="Times New Roman" w:cs="Times New Roman" w:eastAsia="Times New Roman" w:hAnsi="Times New Roman"/>
          <w:b/>
          <w:bCs/>
          <w:color w:val="4A9FD4"/>
          <w:sz w:val="20"/>
          <w:szCs w:val="20"/>
        </w:rPr>
        <w:t xml:space="preserve">Acknowledgment of Receipt and Agreement</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I acknowledge that I have received, read, and understand the </w:t>
      </w:r>
      <w:r>
        <w:rPr>
          <w:rFonts w:ascii="Times New Roman" w:cs="Times New Roman" w:eastAsia="Times New Roman" w:hAnsi="Times New Roman"/>
          <w:b/>
          <w:bCs/>
          <w:color w:val="1A1A2A"/>
          <w:sz w:val="20"/>
          <w:szCs w:val="20"/>
        </w:rPr>
        <w:t xml:space="preserve">Celerity Energy Advisors LLC Code of Conduct Policy</w:t>
      </w:r>
      <w:r>
        <w:rPr>
          <w:rFonts w:ascii="Times New Roman" w:cs="Times New Roman" w:eastAsia="Times New Roman" w:hAnsi="Times New Roman"/>
          <w:color w:val="1A1A2A"/>
          <w:sz w:val="20"/>
          <w:szCs w:val="20"/>
        </w:rPr>
        <w:t xml:space="preserve">. I agree to comply with this Code as a condition of my employment or engagement with Celerity. I understand that violations may result in disciplinary action up to and including termination of employment or engagement, and may lead to legal consequences.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Name (Print)</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Title / Role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[TITLE / ROLE]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Employer (if contractor)</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[COMPANY NAME]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Signature</w:t>
            </w:r>
          </w:p>
        </w:tc>
        <w:tc>
          <w:tcPr>
            <w:tcW w:type="dxa" w:w="6840"/>
            <w:tcBorders>
              <w:top w:val="single" w:color="D0D7E3" w:sz="1"/>
              <w:left w:val="single" w:color="D0D7E3" w:sz="1"/>
              <w:bottom w:val="single" w:color="D0D7E3" w:sz="1"/>
              <w:right w:val="single" w:color="D0D7E3" w:sz="1"/>
            </w:tcBorders>
            <w:shd w:fill="F4F6F9" w:val="clear"/>
            <w:tcMar>
              <w:top w:type="dxa" w:w="100"/>
              <w:left w:type="dxa" w:w="120"/>
              <w:bottom w:type="dxa" w:w="100"/>
              <w:right w:type="dxa" w:w="120"/>
            </w:tcMar>
          </w:tcPr>
          <w:p>
            <w:r>
              <w:rPr>
                <w:rFonts w:ascii="Times New Roman" w:cs="Times New Roman" w:eastAsia="Times New Roman" w:hAnsi="Times New Roman"/>
                <w:sz w:val="19"/>
                <w:szCs w:val="19"/>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Date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r>
    </w:tbl>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2026-03-06T14:00:45.831Z</dcterms:created>
  <dcterms:modified xsi:type="dcterms:W3CDTF">2026-03-06T14:00:45.832Z</dcterms:modified>
</cp:coreProperties>
</file>

<file path=docProps/custom.xml><?xml version="1.0" encoding="utf-8"?>
<Properties xmlns="http://schemas.openxmlformats.org/officeDocument/2006/custom-properties" xmlns:vt="http://schemas.openxmlformats.org/officeDocument/2006/docPropsVTypes"/>
</file>