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20"/>
      </w:pPr>
      <w:r>
        <w:rPr>
          <w:rFonts w:ascii="Times New Roman" w:cs="Times New Roman" w:eastAsia="Times New Roman" w:hAnsi="Times New Roman"/>
          <w:b/>
          <w:bCs/>
          <w:color w:val="1B2A5E"/>
          <w:sz w:val="34"/>
          <w:szCs w:val="34"/>
        </w:rPr>
        <w:t xml:space="preserve">CODE OF BUSINESS ETHICS</w:t>
      </w:r>
    </w:p>
    <w:p>
      <w:pPr>
        <w:spacing w:before="0" w:after="4"/>
      </w:pPr>
      <w:r>
        <w:rPr>
          <w:rFonts w:ascii="Times New Roman" w:cs="Times New Roman" w:eastAsia="Times New Roman" w:hAnsi="Times New Roman"/>
          <w:b/>
          <w:bCs/>
          <w:color w:val="4A9FD4"/>
          <w:sz w:val="20"/>
          <w:szCs w:val="20"/>
        </w:rPr>
        <w:t xml:space="preserve">Conflicts of Interest Policy  ·  Celerity Energy Advisors LLC</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Effective Date</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[EFFECTIVE DATE]</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Policy Owner</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[COMPLIANCE OFFICER / MANAGING PARTNER]</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Approved By</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[MANAGING PARTNER / CEO]</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Questions / Reports</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b/>
                <w:bCs/>
                <w:color w:val="1A1A2A"/>
                <w:sz w:val="18"/>
                <w:szCs w:val="18"/>
              </w:rPr>
              <w:t xml:space="preserve">Non-anonymous: </w:t>
            </w:r>
          </w:p>
        </w:tc>
      </w:tr>
      <w:tr>
        <w:tc>
          <w:tcPr>
            <w:tcW w:type="dxa" w:w="288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Anonymous Channel</w:t>
            </w:r>
          </w:p>
        </w:tc>
        <w:tc>
          <w:tcPr>
            <w:tcW w:type="dxa" w:w="648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[HOTLINE URL]  |  [HOTLINE NUMBER]</w:t>
            </w:r>
          </w:p>
        </w:tc>
      </w:tr>
    </w:tbl>
    <w:p>
      <w:pPr>
        <w:spacing w:before="100" w:after="60"/>
      </w:pPr>
    </w:p>
    <w:p>
      <w:pPr>
        <w:pBdr>
          <w:bottom w:val="single" w:color="D0D7E3" w:sz="4" w:space="1"/>
        </w:pBdr>
        <w:spacing w:before="0" w:after="0"/>
      </w:pPr>
    </w:p>
    <w:p>
      <w:pPr>
        <w:spacing w:before="80" w:after="60"/>
      </w:pP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  Purpose and Core Commitments</w:t>
      </w:r>
    </w:p>
    <w:p>
      <w:pPr>
        <w:spacing w:before="60" w:after="100"/>
        <w:jc w:val="both"/>
      </w:pPr>
      <w:r>
        <w:rPr>
          <w:rFonts w:ascii="Times New Roman" w:cs="Times New Roman" w:eastAsia="Times New Roman" w:hAnsi="Times New Roman"/>
          <w:color w:val="1A1A2A"/>
          <w:sz w:val="20"/>
          <w:szCs w:val="20"/>
        </w:rPr>
        <w:t xml:space="preserve">Celerity is an oil &amp; gas consulting and advisory firm that serves multiple clients, including operators, investors, service companies, and other participants in the energy value chain. Our reputation and business depend on integrity, independence, and professionalism.</w:t>
      </w:r>
    </w:p>
    <w:p>
      <w:pPr>
        <w:spacing w:before="60" w:after="100"/>
        <w:jc w:val="both"/>
      </w:pPr>
      <w:r>
        <w:rPr>
          <w:rFonts w:ascii="Times New Roman" w:cs="Times New Roman" w:eastAsia="Times New Roman" w:hAnsi="Times New Roman"/>
          <w:color w:val="1A1A2A"/>
          <w:sz w:val="20"/>
          <w:szCs w:val="20"/>
        </w:rPr>
        <w:t xml:space="preserve">This Code of Business Ethics and Conflicts of Interest Policy (this "</w:t>
      </w:r>
      <w:r>
        <w:rPr>
          <w:rFonts w:ascii="Times New Roman" w:cs="Times New Roman" w:eastAsia="Times New Roman" w:hAnsi="Times New Roman"/>
          <w:b/>
          <w:bCs/>
          <w:color w:val="1A1A2A"/>
          <w:sz w:val="20"/>
          <w:szCs w:val="20"/>
        </w:rPr>
        <w:t xml:space="preserve">Policy</w:t>
      </w:r>
      <w:r>
        <w:rPr>
          <w:rFonts w:ascii="Times New Roman" w:cs="Times New Roman" w:eastAsia="Times New Roman" w:hAnsi="Times New Roman"/>
          <w:color w:val="1A1A2A"/>
          <w:sz w:val="20"/>
          <w:szCs w:val="20"/>
        </w:rPr>
        <w:t xml:space="preserve">") establishes minimum standards and operational procedures for ethical conduct, conflicts management, compliance with law, protection of confidential information, and accurate records. Compliance with this Policy is a condition of employment or engagement with Celerity.</w:t>
      </w:r>
    </w:p>
    <w:p>
      <w:pPr>
        <w:spacing w:before="60" w:after="100"/>
        <w:jc w:val="both"/>
      </w:pPr>
      <w:r>
        <w:rPr>
          <w:rFonts w:ascii="Times New Roman" w:cs="Times New Roman" w:eastAsia="Times New Roman" w:hAnsi="Times New Roman"/>
          <w:color w:val="1A1A2A"/>
          <w:sz w:val="20"/>
          <w:szCs w:val="20"/>
        </w:rPr>
        <w:t xml:space="preserve">This Policy applies to all employees, officers, directors (if any), independent contractors, consultants, temporary personnel, interns, and agents of Celerity (collectively, "</w:t>
      </w:r>
      <w:r>
        <w:rPr>
          <w:rFonts w:ascii="Times New Roman" w:cs="Times New Roman" w:eastAsia="Times New Roman" w:hAnsi="Times New Roman"/>
          <w:b/>
          <w:bCs/>
          <w:color w:val="1A1A2A"/>
          <w:sz w:val="20"/>
          <w:szCs w:val="20"/>
        </w:rPr>
        <w:t xml:space="preserve">Personnel</w:t>
      </w:r>
      <w:r>
        <w:rPr>
          <w:rFonts w:ascii="Times New Roman" w:cs="Times New Roman" w:eastAsia="Times New Roman" w:hAnsi="Times New Roman"/>
          <w:color w:val="1A1A2A"/>
          <w:sz w:val="20"/>
          <w:szCs w:val="20"/>
        </w:rPr>
        <w:t xml:space="preserv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2.  Honest and Ethical Conduct</w:t>
      </w:r>
    </w:p>
    <w:p>
      <w:pPr>
        <w:spacing w:before="60" w:after="100"/>
        <w:jc w:val="both"/>
      </w:pPr>
      <w:r>
        <w:rPr>
          <w:rFonts w:ascii="Times New Roman" w:cs="Times New Roman" w:eastAsia="Times New Roman" w:hAnsi="Times New Roman"/>
          <w:color w:val="1A1A2A"/>
          <w:sz w:val="20"/>
          <w:szCs w:val="20"/>
        </w:rPr>
        <w:t xml:space="preserve">Personnel must act honestly, professionally, and in good faith in all dealings. Personnel must not: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misrepresent qualifications, capabilities, findings, assumptions, or results;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omit material facts in a way that could mislead a client, counterparty, regulator, or colleague;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make commitments on behalf of Celerity without appropriate authority; or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engage in deceptive, unfair, or unethical practices.</w:t>
      </w:r>
    </w:p>
    <w:p>
      <w:pPr>
        <w:spacing w:before="60" w:after="100"/>
        <w:jc w:val="both"/>
      </w:pPr>
      <w:r>
        <w:rPr>
          <w:rFonts w:ascii="Times New Roman" w:cs="Times New Roman" w:eastAsia="Times New Roman" w:hAnsi="Times New Roman"/>
          <w:color w:val="1A1A2A"/>
          <w:sz w:val="20"/>
          <w:szCs w:val="20"/>
        </w:rPr>
        <w:t xml:space="preserve">Personnel must raise concerns early. When in doubt, ask the Policy Owner or use the reporting channels in Section 13.</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3.  Conflicts of Interest and Outside Activities (Summary Standard)</w:t>
      </w:r>
    </w:p>
    <w:p>
      <w:pPr>
        <w:spacing w:before="60" w:after="100"/>
        <w:jc w:val="both"/>
      </w:pPr>
      <w:r>
        <w:rPr>
          <w:rFonts w:ascii="Times New Roman" w:cs="Times New Roman" w:eastAsia="Times New Roman" w:hAnsi="Times New Roman"/>
          <w:color w:val="1A1A2A"/>
          <w:sz w:val="20"/>
          <w:szCs w:val="20"/>
        </w:rPr>
        <w:t xml:space="preserve">A conflict of interest can impair — or appear to impair — independent judgment or loyalty to Celerity and its clients. Conflicts are especially sensitive in oil &amp; gas where Celerity may advise multiple operators in the same basin, or advise both buyers and sellers.</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avoid conflicts where feasible;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disclose actual or potential conflicts promptly (before work begins when possible);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comply with mitigation measures implemented by Celerity;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never use one client's confidential information to benefit another client (or Celerity).</w:t>
      </w:r>
    </w:p>
    <w:p>
      <w:pPr>
        <w:spacing w:before="60" w:after="100"/>
        <w:jc w:val="both"/>
      </w:pPr>
      <w:r>
        <w:rPr>
          <w:rFonts w:ascii="Times New Roman" w:cs="Times New Roman" w:eastAsia="Times New Roman" w:hAnsi="Times New Roman"/>
          <w:color w:val="1A1A2A"/>
          <w:sz w:val="20"/>
          <w:szCs w:val="20"/>
        </w:rPr>
        <w:t xml:space="preserve">The formal Conflicts of Interest Disclosure and Management Procedure is in Section 4.</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4.  Conflicts of Interest Disclosure and Management Procedure</w:t>
      </w:r>
    </w:p>
    <w:p>
      <w:pPr>
        <w:pStyle w:val="Heading2"/>
        <w:spacing w:before="200" w:after="80"/>
      </w:pPr>
      <w:r>
        <w:rPr>
          <w:rFonts w:ascii="Times New Roman" w:cs="Times New Roman" w:eastAsia="Times New Roman" w:hAnsi="Times New Roman"/>
          <w:b/>
          <w:bCs/>
          <w:color w:val="1B2A5E"/>
          <w:sz w:val="22"/>
          <w:szCs w:val="22"/>
        </w:rPr>
        <w:t xml:space="preserve">4.1  Definitions</w:t>
      </w:r>
    </w:p>
    <w:p>
      <w:pPr>
        <w:spacing w:before="60" w:after="100"/>
        <w:jc w:val="both"/>
      </w:pPr>
      <w:r>
        <w:rPr>
          <w:rFonts w:ascii="Times New Roman" w:cs="Times New Roman" w:eastAsia="Times New Roman" w:hAnsi="Times New Roman"/>
          <w:color w:val="1A1A2A"/>
          <w:sz w:val="20"/>
          <w:szCs w:val="20"/>
        </w:rPr>
        <w:t xml:space="preserve">For purposes of this Policy:</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"Basin" </w:t>
      </w:r>
      <w:r>
        <w:rPr>
          <w:rFonts w:ascii="Times New Roman" w:cs="Times New Roman" w:eastAsia="Times New Roman" w:hAnsi="Times New Roman"/>
          <w:color w:val="1A1A2A"/>
          <w:sz w:val="20"/>
          <w:szCs w:val="20"/>
        </w:rPr>
        <w:t xml:space="preserve">means a defined hydrocarbon-producing region or play (e.g., Delaware Basin, Midland Basin, Haynesville, Eagle Ford), including relevant sub-plays and fairways.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w:t>
      </w:r>
      <w:r>
        <w:rPr>
          <w:rFonts w:ascii="Times New Roman" w:cs="Times New Roman" w:eastAsia="Times New Roman" w:hAnsi="Times New Roman"/>
          <w:color w:val="1A1A2A"/>
          <w:sz w:val="20"/>
          <w:szCs w:val="20"/>
        </w:rPr>
        <w:t xml:space="preserve">means any current, former (within the last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months), or prospective client of Celerity for which Celerity is performing (or actively pursuing) an Engagement.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"Competitor" </w:t>
      </w:r>
      <w:r>
        <w:rPr>
          <w:rFonts w:ascii="Times New Roman" w:cs="Times New Roman" w:eastAsia="Times New Roman" w:hAnsi="Times New Roman"/>
          <w:color w:val="1A1A2A"/>
          <w:sz w:val="20"/>
          <w:szCs w:val="20"/>
        </w:rPr>
        <w:t xml:space="preserve">means an entity that competes with a Client in a relevant market for acreage, minerals, production, midstream capacity, services, capital, or acquisitions/divestitures, including (as applicable) other operators in the same Basin.</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"Engagement" </w:t>
      </w:r>
      <w:r>
        <w:rPr>
          <w:rFonts w:ascii="Times New Roman" w:cs="Times New Roman" w:eastAsia="Times New Roman" w:hAnsi="Times New Roman"/>
          <w:color w:val="1A1A2A"/>
          <w:sz w:val="20"/>
          <w:szCs w:val="20"/>
        </w:rPr>
        <w:t xml:space="preserve">means any project, statement of work, mandate, advisory assignment, diligence assignment, expert support, or other services performed or proposed to be performed by Celerity for a Client (including informal advisory support).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"Operator" </w:t>
      </w:r>
      <w:r>
        <w:rPr>
          <w:rFonts w:ascii="Times New Roman" w:cs="Times New Roman" w:eastAsia="Times New Roman" w:hAnsi="Times New Roman"/>
          <w:color w:val="1A1A2A"/>
          <w:sz w:val="20"/>
          <w:szCs w:val="20"/>
        </w:rPr>
        <w:t xml:space="preserve">means an oil &amp; gas operator (including a working interest owner that operates or controls operations).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"Material Conflict" </w:t>
      </w:r>
      <w:r>
        <w:rPr>
          <w:rFonts w:ascii="Times New Roman" w:cs="Times New Roman" w:eastAsia="Times New Roman" w:hAnsi="Times New Roman"/>
          <w:color w:val="1A1A2A"/>
          <w:sz w:val="20"/>
          <w:szCs w:val="20"/>
        </w:rPr>
        <w:t xml:space="preserve">means an actual conflict that would reasonably be expected to impair Celerity's independence, objectivity, or ability to perform an Engagement in the Client's best interests, including because (i) Celerity is advising opposing parties in the same transaction, (ii) confidential information could be used or perceived to be used against a Client, or (iii) Celerity's financial or personal interests could influence advice.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"Potential Conflict" </w:t>
      </w:r>
      <w:r>
        <w:rPr>
          <w:rFonts w:ascii="Times New Roman" w:cs="Times New Roman" w:eastAsia="Times New Roman" w:hAnsi="Times New Roman"/>
          <w:color w:val="1A1A2A"/>
          <w:sz w:val="20"/>
          <w:szCs w:val="20"/>
        </w:rPr>
        <w:t xml:space="preserve">means circumstances that could reasonably develop into a Material Conflict depending on additional facts, scope changes, staffing, or timing.</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"Appearance of Conflict" </w:t>
      </w:r>
      <w:r>
        <w:rPr>
          <w:rFonts w:ascii="Times New Roman" w:cs="Times New Roman" w:eastAsia="Times New Roman" w:hAnsi="Times New Roman"/>
          <w:color w:val="1A1A2A"/>
          <w:sz w:val="20"/>
          <w:szCs w:val="20"/>
        </w:rPr>
        <w:t xml:space="preserve">means circumstances that, even if not a Material Conflict, could reasonably be perceived by a Client or third party as undermining Celerity's independence or confidentiality.</w:t>
      </w:r>
    </w:p>
    <w:p>
      <w:pPr>
        <w:pStyle w:val="Heading2"/>
        <w:spacing w:before="200" w:after="80"/>
      </w:pPr>
      <w:r>
        <w:rPr>
          <w:rFonts w:ascii="Times New Roman" w:cs="Times New Roman" w:eastAsia="Times New Roman" w:hAnsi="Times New Roman"/>
          <w:b/>
          <w:bCs/>
          <w:color w:val="1B2A5E"/>
          <w:sz w:val="22"/>
          <w:szCs w:val="22"/>
        </w:rPr>
        <w:t xml:space="preserve">4.2  Pre-Engagement Conflict Checks (Required)</w:t>
      </w:r>
    </w:p>
    <w:p>
      <w:pPr>
        <w:spacing w:before="60" w:after="100"/>
        <w:jc w:val="both"/>
      </w:pPr>
      <w:r>
        <w:rPr>
          <w:rFonts w:ascii="Times New Roman" w:cs="Times New Roman" w:eastAsia="Times New Roman" w:hAnsi="Times New Roman"/>
          <w:color w:val="1A1A2A"/>
          <w:sz w:val="20"/>
          <w:szCs w:val="20"/>
        </w:rPr>
        <w:t xml:space="preserve">Before Celerity accepts a new Engagement (or a material scope expansion), the Engagement Lead must complete a conflict check with the Policy Owner using Celerity's conflict-check process and records.</w:t>
      </w:r>
    </w:p>
    <w:p>
      <w:pPr>
        <w:spacing w:before="60" w:after="100"/>
        <w:jc w:val="both"/>
      </w:pPr>
      <w:r>
        <w:rPr>
          <w:rFonts w:ascii="Times New Roman" w:cs="Times New Roman" w:eastAsia="Times New Roman" w:hAnsi="Times New Roman"/>
          <w:color w:val="1A1A2A"/>
          <w:sz w:val="20"/>
          <w:szCs w:val="20"/>
        </w:rPr>
        <w:t xml:space="preserve">At minimum, the conflict check must assess: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identity of the Client and known counterparties (including sellers, buyers, JV partners, targets, lenders, underwriters);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Basin(s), asset package(s), and relevant time horizon;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whether Celerity (or any Personnel proposed to staff) has worked recently for a Competitor or counterparty in the same Basin or transaction context;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whether Celerity will have access to a data room, non-public reserves/production/cost data, bids, or transaction strategy;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whether any Personnel have personal/financial interests, board/advisory roles, family ties, or outside employment that could create a conflict.</w:t>
      </w:r>
    </w:p>
    <w:p>
      <w:pPr>
        <w:spacing w:before="60" w:after="100"/>
        <w:jc w:val="both"/>
      </w:pPr>
      <w:r>
        <w:rPr>
          <w:rFonts w:ascii="Times New Roman" w:cs="Times New Roman" w:eastAsia="Times New Roman" w:hAnsi="Times New Roman"/>
          <w:b/>
          <w:bCs/>
          <w:color w:val="1A1A2A"/>
          <w:sz w:val="20"/>
          <w:szCs w:val="20"/>
        </w:rPr>
        <w:t xml:space="preserve">No Personnel may begin work</w:t>
      </w:r>
      <w:r>
        <w:rPr>
          <w:rFonts w:ascii="Times New Roman" w:cs="Times New Roman" w:eastAsia="Times New Roman" w:hAnsi="Times New Roman"/>
          <w:color w:val="1A1A2A"/>
          <w:sz w:val="20"/>
          <w:szCs w:val="20"/>
        </w:rPr>
        <w:t xml:space="preserve"> (including receiving data room credentials) until the conflict check is completed and the Engagement is approved under this Section 4.</w:t>
      </w:r>
    </w:p>
    <w:p>
      <w:pPr>
        <w:pStyle w:val="Heading2"/>
        <w:spacing w:before="200" w:after="80"/>
      </w:pPr>
      <w:r>
        <w:rPr>
          <w:rFonts w:ascii="Times New Roman" w:cs="Times New Roman" w:eastAsia="Times New Roman" w:hAnsi="Times New Roman"/>
          <w:b/>
          <w:bCs/>
          <w:color w:val="1B2A5E"/>
          <w:sz w:val="22"/>
          <w:szCs w:val="22"/>
        </w:rPr>
        <w:t xml:space="preserve">4.3  Ongoing Duty to Disclose</w:t>
      </w:r>
    </w:p>
    <w:p>
      <w:pPr>
        <w:spacing w:before="60" w:after="100"/>
        <w:jc w:val="both"/>
      </w:pPr>
      <w:r>
        <w:rPr>
          <w:rFonts w:ascii="Times New Roman" w:cs="Times New Roman" w:eastAsia="Times New Roman" w:hAnsi="Times New Roman"/>
          <w:color w:val="1A1A2A"/>
          <w:sz w:val="20"/>
          <w:szCs w:val="20"/>
        </w:rPr>
        <w:t xml:space="preserve">Conflicts can arise mid-Engagement due to new clients, acquisitions, competitive events, or expanded scope. Personnel must promptly disclose to the Policy Owner:</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actual or Potential Conflict or Appearance of Conflict;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change in outside activities or financial interests that could create a conflict;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unplanned receipt of a competitor's confidential information (including misdirected emails/data rooms).</w:t>
      </w:r>
    </w:p>
    <w:p>
      <w:pPr>
        <w:spacing w:before="60" w:after="100"/>
        <w:jc w:val="both"/>
      </w:pPr>
      <w:r>
        <w:rPr>
          <w:rFonts w:ascii="Times New Roman" w:cs="Times New Roman" w:eastAsia="Times New Roman" w:hAnsi="Times New Roman"/>
          <w:color w:val="1A1A2A"/>
          <w:sz w:val="20"/>
          <w:szCs w:val="20"/>
        </w:rPr>
        <w:t xml:space="preserve">Disclosure must be made </w:t>
      </w:r>
      <w:r>
        <w:rPr>
          <w:rFonts w:ascii="Times New Roman" w:cs="Times New Roman" w:eastAsia="Times New Roman" w:hAnsi="Times New Roman"/>
          <w:b/>
          <w:bCs/>
          <w:color w:val="1A1A2A"/>
          <w:sz w:val="20"/>
          <w:szCs w:val="20"/>
        </w:rPr>
        <w:t xml:space="preserve">immediately upon recognition</w:t>
      </w:r>
      <w:r>
        <w:rPr>
          <w:rFonts w:ascii="Times New Roman" w:cs="Times New Roman" w:eastAsia="Times New Roman" w:hAnsi="Times New Roman"/>
          <w:color w:val="1A1A2A"/>
          <w:sz w:val="20"/>
          <w:szCs w:val="20"/>
        </w:rPr>
        <w:t xml:space="preserve">, and in any event within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business days.</w:t>
      </w:r>
    </w:p>
    <w:p>
      <w:pPr>
        <w:pStyle w:val="Heading2"/>
        <w:spacing w:before="200" w:after="80"/>
      </w:pPr>
      <w:r>
        <w:rPr>
          <w:rFonts w:ascii="Times New Roman" w:cs="Times New Roman" w:eastAsia="Times New Roman" w:hAnsi="Times New Roman"/>
          <w:b/>
          <w:bCs/>
          <w:color w:val="1B2A5E"/>
          <w:sz w:val="22"/>
          <w:szCs w:val="22"/>
        </w:rPr>
        <w:t xml:space="preserve">4.4  Oil &amp; Gas–Specific Examples (Non-Exhaustive)</w:t>
      </w:r>
    </w:p>
    <w:p>
      <w:pPr>
        <w:spacing w:before="60" w:after="100"/>
        <w:jc w:val="both"/>
      </w:pPr>
      <w:r>
        <w:rPr>
          <w:rFonts w:ascii="Times New Roman" w:cs="Times New Roman" w:eastAsia="Times New Roman" w:hAnsi="Times New Roman"/>
          <w:color w:val="1A1A2A"/>
          <w:sz w:val="20"/>
          <w:szCs w:val="20"/>
        </w:rPr>
        <w:t xml:space="preserve">The following commonly create Potential Conflicts, Appearance of Conflict, or Material Conflicts:</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Same Basin / Competitive Positioning.  </w:t>
      </w:r>
      <w:r>
        <w:rPr>
          <w:rFonts w:ascii="Times New Roman" w:cs="Times New Roman" w:eastAsia="Times New Roman" w:hAnsi="Times New Roman"/>
          <w:color w:val="1A1A2A"/>
          <w:sz w:val="20"/>
          <w:szCs w:val="20"/>
        </w:rPr>
        <w:t xml:space="preserve">Advising two Operators in the same Basin on development optimization, type curves, acreage valuation, or drilling program prioritization where the work relies on competitively sensitive strategies.</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Buy-Side vs Sell-Side Engagements.  </w:t>
      </w:r>
      <w:r>
        <w:rPr>
          <w:rFonts w:ascii="Times New Roman" w:cs="Times New Roman" w:eastAsia="Times New Roman" w:hAnsi="Times New Roman"/>
          <w:color w:val="1A1A2A"/>
          <w:sz w:val="20"/>
          <w:szCs w:val="20"/>
        </w:rPr>
        <w:t xml:space="preserve">Advising a seller on marketing materials, valuation, or bid strategy for an asset while simultaneously advising a potential buyer evaluating the same package.</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b/>
          <w:bCs/>
          <w:color w:val="1A1A2A"/>
          <w:sz w:val="20"/>
          <w:szCs w:val="20"/>
        </w:rPr>
        <w:t xml:space="preserve">Acquisition Targets and Data Rooms.  </w:t>
      </w:r>
      <w:r>
        <w:rPr>
          <w:rFonts w:ascii="Times New Roman" w:cs="Times New Roman" w:eastAsia="Times New Roman" w:hAnsi="Times New Roman"/>
          <w:color w:val="1A1A2A"/>
          <w:sz w:val="20"/>
          <w:szCs w:val="20"/>
        </w:rPr>
        <w:t xml:space="preserve">Accessing a data room for a Client's acquisition target and later advising a Competitor on a similar acquisition or on the same target or adjacent assets.</w:t>
      </w:r>
    </w:p>
    <w:p>
      <w:pPr>
        <w:spacing w:before="40" w:after="60"/>
        <w:ind w:left="720" w:hanging="360"/>
        <w:jc w:val="both"/>
      </w:pPr>
      <w:r>
        <w:rPr>
          <w:rFonts w:ascii="Times New Roman" w:cs="Times New Roman" w:eastAsia="Times New Roman" w:hAnsi="Times New Roman"/>
          <w:b/>
          <w:bCs/>
          <w:color w:val="1A1A2A"/>
          <w:sz w:val="20"/>
          <w:szCs w:val="20"/>
        </w:rPr>
        <w:t xml:space="preserve">4.  </w:t>
      </w:r>
      <w:r>
        <w:rPr>
          <w:rFonts w:ascii="Times New Roman" w:cs="Times New Roman" w:eastAsia="Times New Roman" w:hAnsi="Times New Roman"/>
          <w:b/>
          <w:bCs/>
          <w:color w:val="1A1A2A"/>
          <w:sz w:val="20"/>
          <w:szCs w:val="20"/>
        </w:rPr>
        <w:t xml:space="preserve">Joint Ventures and Partnerships.  </w:t>
      </w:r>
      <w:r>
        <w:rPr>
          <w:rFonts w:ascii="Times New Roman" w:cs="Times New Roman" w:eastAsia="Times New Roman" w:hAnsi="Times New Roman"/>
          <w:color w:val="1A1A2A"/>
          <w:sz w:val="20"/>
          <w:szCs w:val="20"/>
        </w:rPr>
        <w:t xml:space="preserve">Advising JV partners with misaligned interests (e.g., operator vs non-op) on AFE governance, development timing, cost allocation disputes, or transaction exit options.</w:t>
      </w:r>
    </w:p>
    <w:p>
      <w:pPr>
        <w:spacing w:before="40" w:after="60"/>
        <w:ind w:left="720" w:hanging="360"/>
        <w:jc w:val="both"/>
      </w:pPr>
      <w:r>
        <w:rPr>
          <w:rFonts w:ascii="Times New Roman" w:cs="Times New Roman" w:eastAsia="Times New Roman" w:hAnsi="Times New Roman"/>
          <w:b/>
          <w:bCs/>
          <w:color w:val="1A1A2A"/>
          <w:sz w:val="20"/>
          <w:szCs w:val="20"/>
        </w:rPr>
        <w:t xml:space="preserve">5.  </w:t>
      </w:r>
      <w:r>
        <w:rPr>
          <w:rFonts w:ascii="Times New Roman" w:cs="Times New Roman" w:eastAsia="Times New Roman" w:hAnsi="Times New Roman"/>
          <w:b/>
          <w:bCs/>
          <w:color w:val="1A1A2A"/>
          <w:sz w:val="20"/>
          <w:szCs w:val="20"/>
        </w:rPr>
        <w:t xml:space="preserve">Financing, Restructuring, and Distress.  </w:t>
      </w:r>
      <w:r>
        <w:rPr>
          <w:rFonts w:ascii="Times New Roman" w:cs="Times New Roman" w:eastAsia="Times New Roman" w:hAnsi="Times New Roman"/>
          <w:color w:val="1A1A2A"/>
          <w:sz w:val="20"/>
          <w:szCs w:val="20"/>
        </w:rPr>
        <w:t xml:space="preserve">Advising lenders or investors in a distressed Operator while separately advising the Operator or its bidders.</w:t>
      </w:r>
    </w:p>
    <w:p>
      <w:pPr>
        <w:spacing w:before="40" w:after="60"/>
        <w:ind w:left="720" w:hanging="360"/>
        <w:jc w:val="both"/>
      </w:pPr>
      <w:r>
        <w:rPr>
          <w:rFonts w:ascii="Times New Roman" w:cs="Times New Roman" w:eastAsia="Times New Roman" w:hAnsi="Times New Roman"/>
          <w:b/>
          <w:bCs/>
          <w:color w:val="1A1A2A"/>
          <w:sz w:val="20"/>
          <w:szCs w:val="20"/>
        </w:rPr>
        <w:t xml:space="preserve">6.  </w:t>
      </w:r>
      <w:r>
        <w:rPr>
          <w:rFonts w:ascii="Times New Roman" w:cs="Times New Roman" w:eastAsia="Times New Roman" w:hAnsi="Times New Roman"/>
          <w:b/>
          <w:bCs/>
          <w:color w:val="1A1A2A"/>
          <w:sz w:val="20"/>
          <w:szCs w:val="20"/>
        </w:rPr>
        <w:t xml:space="preserve">Expert/Disputes Work.  </w:t>
      </w:r>
      <w:r>
        <w:rPr>
          <w:rFonts w:ascii="Times New Roman" w:cs="Times New Roman" w:eastAsia="Times New Roman" w:hAnsi="Times New Roman"/>
          <w:color w:val="1A1A2A"/>
          <w:sz w:val="20"/>
          <w:szCs w:val="20"/>
        </w:rPr>
        <w:t xml:space="preserve">Serving as an expert or advisor in a dispute involving an entity Celerity advises (or recently advised) on operational, commercial, or transaction matters.</w:t>
      </w:r>
    </w:p>
    <w:p>
      <w:pPr>
        <w:pStyle w:val="Heading2"/>
        <w:spacing w:before="200" w:after="80"/>
      </w:pPr>
      <w:r>
        <w:rPr>
          <w:rFonts w:ascii="Times New Roman" w:cs="Times New Roman" w:eastAsia="Times New Roman" w:hAnsi="Times New Roman"/>
          <w:b/>
          <w:bCs/>
          <w:color w:val="1B2A5E"/>
          <w:sz w:val="22"/>
          <w:szCs w:val="22"/>
        </w:rPr>
        <w:t xml:space="preserve">4.5  Mitigation and Management Options</w:t>
      </w:r>
    </w:p>
    <w:p>
      <w:pPr>
        <w:spacing w:before="60" w:after="100"/>
        <w:jc w:val="both"/>
      </w:pPr>
      <w:r>
        <w:rPr>
          <w:rFonts w:ascii="Times New Roman" w:cs="Times New Roman" w:eastAsia="Times New Roman" w:hAnsi="Times New Roman"/>
          <w:color w:val="1A1A2A"/>
          <w:sz w:val="20"/>
          <w:szCs w:val="20"/>
        </w:rPr>
        <w:t xml:space="preserve">Upon identifying a Potential Conflict, Appearance of Conflict, or Material Conflict, Celerity may implement one or more of the following, in its discretion:</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Decline or withdraw </w:t>
      </w:r>
      <w:r>
        <w:rPr>
          <w:rFonts w:ascii="Times New Roman" w:cs="Times New Roman" w:eastAsia="Times New Roman" w:hAnsi="Times New Roman"/>
          <w:color w:val="1A1A2A"/>
          <w:sz w:val="20"/>
          <w:szCs w:val="20"/>
        </w:rPr>
        <w:t xml:space="preserve">from the Engagement;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Client consent: </w:t>
      </w:r>
      <w:r>
        <w:rPr>
          <w:rFonts w:ascii="Times New Roman" w:cs="Times New Roman" w:eastAsia="Times New Roman" w:hAnsi="Times New Roman"/>
          <w:color w:val="1A1A2A"/>
          <w:sz w:val="20"/>
          <w:szCs w:val="20"/>
        </w:rPr>
        <w:t xml:space="preserve">obtain informed written consent (email acceptable unless a contract requires otherwise), describing the conflict and mitigation plan;</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Information barriers ("ethical walls"): </w:t>
      </w:r>
      <w:r>
        <w:rPr>
          <w:rFonts w:ascii="Times New Roman" w:cs="Times New Roman" w:eastAsia="Times New Roman" w:hAnsi="Times New Roman"/>
          <w:color w:val="1A1A2A"/>
          <w:sz w:val="20"/>
          <w:szCs w:val="20"/>
        </w:rPr>
        <w:t xml:space="preserve">restrict access to client data, separate file permissions, prohibit cross-staffing, and require acknowledgments;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Team separation: </w:t>
      </w:r>
      <w:r>
        <w:rPr>
          <w:rFonts w:ascii="Times New Roman" w:cs="Times New Roman" w:eastAsia="Times New Roman" w:hAnsi="Times New Roman"/>
          <w:color w:val="1A1A2A"/>
          <w:sz w:val="20"/>
          <w:szCs w:val="20"/>
        </w:rPr>
        <w:t xml:space="preserve">assign separate Personnel to competing engagements, with no overlap and separate management reporting lines where appropriate;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Scope limitations: </w:t>
      </w:r>
      <w:r>
        <w:rPr>
          <w:rFonts w:ascii="Times New Roman" w:cs="Times New Roman" w:eastAsia="Times New Roman" w:hAnsi="Times New Roman"/>
          <w:color w:val="1A1A2A"/>
          <w:sz w:val="20"/>
          <w:szCs w:val="20"/>
        </w:rPr>
        <w:t xml:space="preserve">narrow scope to avoid competitively sensitive areas;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Timing restrictions: </w:t>
      </w:r>
      <w:r>
        <w:rPr>
          <w:rFonts w:ascii="Times New Roman" w:cs="Times New Roman" w:eastAsia="Times New Roman" w:hAnsi="Times New Roman"/>
          <w:color w:val="1A1A2A"/>
          <w:sz w:val="20"/>
          <w:szCs w:val="20"/>
        </w:rPr>
        <w:t xml:space="preserve">delay start or restrict work during sensitive windows (e.g., bid period);</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Third-party supervision: </w:t>
      </w:r>
      <w:r>
        <w:rPr>
          <w:rFonts w:ascii="Times New Roman" w:cs="Times New Roman" w:eastAsia="Times New Roman" w:hAnsi="Times New Roman"/>
          <w:color w:val="1A1A2A"/>
          <w:sz w:val="20"/>
          <w:szCs w:val="20"/>
        </w:rPr>
        <w:t xml:space="preserve">use a designated compliance reviewer for deliverables where appropriate.</w:t>
      </w:r>
    </w:p>
    <w:p>
      <w:pPr>
        <w:pStyle w:val="Heading2"/>
        <w:spacing w:before="200" w:after="80"/>
      </w:pPr>
      <w:r>
        <w:rPr>
          <w:rFonts w:ascii="Times New Roman" w:cs="Times New Roman" w:eastAsia="Times New Roman" w:hAnsi="Times New Roman"/>
          <w:b/>
          <w:bCs/>
          <w:color w:val="1B2A5E"/>
          <w:sz w:val="22"/>
          <w:szCs w:val="22"/>
        </w:rPr>
        <w:t xml:space="preserve">4.6  Documentation</w:t>
      </w:r>
    </w:p>
    <w:p>
      <w:pPr>
        <w:spacing w:before="60" w:after="100"/>
        <w:jc w:val="both"/>
      </w:pPr>
      <w:r>
        <w:rPr>
          <w:rFonts w:ascii="Times New Roman" w:cs="Times New Roman" w:eastAsia="Times New Roman" w:hAnsi="Times New Roman"/>
          <w:color w:val="1A1A2A"/>
          <w:sz w:val="20"/>
          <w:szCs w:val="20"/>
        </w:rPr>
        <w:t xml:space="preserve">The Policy Owner will document: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conflict check results and decision (approved / approved with mitigation / declined);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client consents obtained;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mitigation controls and responsible individuals;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 breaches and corrective actions.</w:t>
      </w:r>
    </w:p>
    <w:p>
      <w:pPr>
        <w:spacing w:before="60" w:after="100"/>
        <w:jc w:val="both"/>
      </w:pPr>
      <w:r>
        <w:rPr>
          <w:rFonts w:ascii="Times New Roman" w:cs="Times New Roman" w:eastAsia="Times New Roman" w:hAnsi="Times New Roman"/>
          <w:color w:val="1A1A2A"/>
          <w:sz w:val="20"/>
          <w:szCs w:val="20"/>
        </w:rPr>
        <w:t xml:space="preserve">Records will be retained for at least </w:t>
      </w:r>
      <w:r>
        <w:rPr>
          <w:rFonts w:ascii="Times New Roman" w:cs="Times New Roman" w:eastAsia="Times New Roman" w:hAnsi="Times New Roman"/>
          <w:i/>
          <w:iCs/>
          <w:color w:val="5A6070"/>
          <w:sz w:val="20"/>
          <w:szCs w:val="20"/>
          <w:highlight w:val="yellow"/>
        </w:rPr>
        <w:t xml:space="preserve">[__]</w:t>
      </w:r>
      <w:r>
        <w:rPr>
          <w:rFonts w:ascii="Times New Roman" w:cs="Times New Roman" w:eastAsia="Times New Roman" w:hAnsi="Times New Roman"/>
          <w:color w:val="1A1A2A"/>
          <w:sz w:val="20"/>
          <w:szCs w:val="20"/>
        </w:rPr>
        <w:t xml:space="preserve"> years or longer if required by law, contract, or litigation hold.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5.  Gifts, Entertainment, and Business Courtesies</w:t>
      </w:r>
    </w:p>
    <w:p>
      <w:pPr>
        <w:pStyle w:val="Heading2"/>
        <w:spacing w:before="200" w:after="80"/>
      </w:pPr>
      <w:r>
        <w:rPr>
          <w:rFonts w:ascii="Times New Roman" w:cs="Times New Roman" w:eastAsia="Times New Roman" w:hAnsi="Times New Roman"/>
          <w:b/>
          <w:bCs/>
          <w:color w:val="1B2A5E"/>
          <w:sz w:val="22"/>
          <w:szCs w:val="22"/>
        </w:rPr>
        <w:t xml:space="preserve">5.1  General Standard</w:t>
      </w:r>
    </w:p>
    <w:p>
      <w:pPr>
        <w:spacing w:before="60" w:after="100"/>
        <w:jc w:val="both"/>
      </w:pPr>
      <w:r>
        <w:rPr>
          <w:rFonts w:ascii="Times New Roman" w:cs="Times New Roman" w:eastAsia="Times New Roman" w:hAnsi="Times New Roman"/>
          <w:color w:val="1A1A2A"/>
          <w:sz w:val="20"/>
          <w:szCs w:val="20"/>
        </w:rPr>
        <w:t xml:space="preserve">Personnel may give or receive reasonable, infrequent business courtesies that are consistent with customary business practice and do not influence (or appear to influence) business decisions.</w:t>
      </w:r>
    </w:p>
    <w:p>
      <w:pPr>
        <w:spacing w:before="60" w:after="100"/>
        <w:jc w:val="both"/>
      </w:pPr>
      <w:r>
        <w:rPr>
          <w:rFonts w:ascii="Times New Roman" w:cs="Times New Roman" w:eastAsia="Times New Roman" w:hAnsi="Times New Roman"/>
          <w:color w:val="1A1A2A"/>
          <w:sz w:val="20"/>
          <w:szCs w:val="20"/>
        </w:rPr>
        <w:t xml:space="preserve">Personnel must never offer, give, solicit, or accept anything of value: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to obtain or retain business improperly;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to secure an improper advantage;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 exchange for favorable treatment, confidential information, or decision-making influence.</w:t>
      </w:r>
    </w:p>
    <w:p>
      <w:pPr>
        <w:pStyle w:val="Heading2"/>
        <w:spacing w:before="200" w:after="80"/>
      </w:pPr>
      <w:r>
        <w:rPr>
          <w:rFonts w:ascii="Times New Roman" w:cs="Times New Roman" w:eastAsia="Times New Roman" w:hAnsi="Times New Roman"/>
          <w:b/>
          <w:bCs/>
          <w:color w:val="1B2A5E"/>
          <w:sz w:val="22"/>
          <w:szCs w:val="22"/>
        </w:rPr>
        <w:t xml:space="preserve">5.2  Thresholds and Pre-Approval</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Per-instance threshold (no pre-approval required up to):  </w:t>
      </w:r>
      <w:r>
        <w:rPr>
          <w:rFonts w:ascii="Times New Roman" w:cs="Times New Roman" w:eastAsia="Times New Roman" w:hAnsi="Times New Roman"/>
          <w:i/>
          <w:iCs/>
          <w:color w:val="5A6070"/>
          <w:sz w:val="20"/>
          <w:szCs w:val="20"/>
          <w:highlight w:val="yellow"/>
        </w:rPr>
        <w:t xml:space="preserve">[e.g., $100]</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Annual aggregate threshold per source (no pre-approval required up to):  </w:t>
      </w:r>
      <w:r>
        <w:rPr>
          <w:rFonts w:ascii="Times New Roman" w:cs="Times New Roman" w:eastAsia="Times New Roman" w:hAnsi="Times New Roman"/>
          <w:i/>
          <w:iCs/>
          <w:color w:val="5A6070"/>
          <w:sz w:val="20"/>
          <w:szCs w:val="20"/>
          <w:highlight w:val="yellow"/>
        </w:rPr>
        <w:t xml:space="preserve">[e.g., $250]</w:t>
      </w:r>
    </w:p>
    <w:p>
      <w:pPr>
        <w:spacing w:before="60" w:after="100"/>
        <w:jc w:val="both"/>
      </w:pPr>
      <w:r>
        <w:rPr>
          <w:rFonts w:ascii="Times New Roman" w:cs="Times New Roman" w:eastAsia="Times New Roman" w:hAnsi="Times New Roman"/>
          <w:color w:val="1A1A2A"/>
          <w:sz w:val="20"/>
          <w:szCs w:val="20"/>
        </w:rPr>
        <w:t xml:space="preserve">Any gift/entertainment above either threshold, or involving government officials, requires prior written approval from the Policy Owner.</w:t>
      </w:r>
    </w:p>
    <w:p>
      <w:pPr>
        <w:pStyle w:val="Heading2"/>
        <w:spacing w:before="200" w:after="80"/>
      </w:pPr>
      <w:r>
        <w:rPr>
          <w:rFonts w:ascii="Times New Roman" w:cs="Times New Roman" w:eastAsia="Times New Roman" w:hAnsi="Times New Roman"/>
          <w:b/>
          <w:bCs/>
          <w:color w:val="1B2A5E"/>
          <w:sz w:val="22"/>
          <w:szCs w:val="22"/>
        </w:rPr>
        <w:t xml:space="preserve">5.3  Prohibited Items (Unless Approved in Writing)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cash or cash equivalents (gift cards treated as cash equivalents unless nominal and approved);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lavish or excessive entertainment;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adult entertainment;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gifts during an active procurement/bid decision where the giver/recipient is involved;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anything illegal or that violates a client's policies.</w:t>
      </w:r>
    </w:p>
    <w:p>
      <w:pPr>
        <w:spacing w:before="60" w:after="100"/>
        <w:jc w:val="both"/>
      </w:pPr>
      <w:r>
        <w:rPr>
          <w:rFonts w:ascii="Times New Roman" w:cs="Times New Roman" w:eastAsia="Times New Roman" w:hAnsi="Times New Roman"/>
          <w:color w:val="1A1A2A"/>
          <w:sz w:val="20"/>
          <w:szCs w:val="20"/>
        </w:rPr>
        <w:t xml:space="preserve">Personnel are responsible for understanding and complying with client gift policies, which may be stricter.</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6.  Anti-Bribery and Anti-Corruption</w:t>
      </w:r>
    </w:p>
    <w:p>
      <w:pPr>
        <w:spacing w:before="60" w:after="100"/>
        <w:jc w:val="both"/>
      </w:pPr>
      <w:r>
        <w:rPr>
          <w:rFonts w:ascii="Times New Roman" w:cs="Times New Roman" w:eastAsia="Times New Roman" w:hAnsi="Times New Roman"/>
          <w:color w:val="1A1A2A"/>
          <w:sz w:val="20"/>
          <w:szCs w:val="20"/>
        </w:rPr>
        <w:t xml:space="preserve">Celerity prohibits bribery and corruption in all forms. Personnel must comply with all applicable anti-corruption laws, including the </w:t>
      </w:r>
      <w:r>
        <w:rPr>
          <w:rFonts w:ascii="Times New Roman" w:cs="Times New Roman" w:eastAsia="Times New Roman" w:hAnsi="Times New Roman"/>
          <w:b/>
          <w:bCs/>
          <w:color w:val="1A1A2A"/>
          <w:sz w:val="20"/>
          <w:szCs w:val="20"/>
        </w:rPr>
        <w:t xml:space="preserve">U.S. Foreign Corrupt Practices Act (FCPA)</w:t>
      </w:r>
      <w:r>
        <w:rPr>
          <w:rFonts w:ascii="Times New Roman" w:cs="Times New Roman" w:eastAsia="Times New Roman" w:hAnsi="Times New Roman"/>
          <w:color w:val="1A1A2A"/>
          <w:sz w:val="20"/>
          <w:szCs w:val="20"/>
        </w:rPr>
        <w:t xml:space="preserve"> and, where applicable, the </w:t>
      </w:r>
      <w:r>
        <w:rPr>
          <w:rFonts w:ascii="Times New Roman" w:cs="Times New Roman" w:eastAsia="Times New Roman" w:hAnsi="Times New Roman"/>
          <w:b/>
          <w:bCs/>
          <w:color w:val="1A1A2A"/>
          <w:sz w:val="20"/>
          <w:szCs w:val="20"/>
        </w:rPr>
        <w:t xml:space="preserve">UK Bribery Act</w:t>
      </w:r>
      <w:r>
        <w:rPr>
          <w:rFonts w:ascii="Times New Roman" w:cs="Times New Roman" w:eastAsia="Times New Roman" w:hAnsi="Times New Roman"/>
          <w:color w:val="1A1A2A"/>
          <w:sz w:val="20"/>
          <w:szCs w:val="20"/>
        </w:rPr>
        <w:t xml:space="preserve"> and local laws.</w:t>
      </w:r>
    </w:p>
    <w:p>
      <w:pPr>
        <w:spacing w:before="60" w:after="100"/>
        <w:jc w:val="both"/>
      </w:pPr>
      <w:r>
        <w:rPr>
          <w:rFonts w:ascii="Times New Roman" w:cs="Times New Roman" w:eastAsia="Times New Roman" w:hAnsi="Times New Roman"/>
          <w:color w:val="1A1A2A"/>
          <w:sz w:val="20"/>
          <w:szCs w:val="20"/>
        </w:rPr>
        <w:t xml:space="preserve">Personnel must not: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offer, promise, authorize, or provide anything of value to any person (including a government official) to obtain an improper advantage;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third parties (agents, consultants, intermediaries) to facilitate bribery;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make facilitation payments (unless necessary to protect health/safety and promptly reported).</w:t>
      </w:r>
    </w:p>
    <w:p>
      <w:pPr>
        <w:spacing w:before="60" w:after="100"/>
        <w:jc w:val="both"/>
      </w:pPr>
      <w:r>
        <w:rPr>
          <w:rFonts w:ascii="Times New Roman" w:cs="Times New Roman" w:eastAsia="Times New Roman" w:hAnsi="Times New Roman"/>
          <w:b/>
          <w:bCs/>
          <w:color w:val="1A1A2A"/>
          <w:sz w:val="20"/>
          <w:szCs w:val="20"/>
        </w:rPr>
        <w:t xml:space="preserve">Third-party risk: </w:t>
      </w:r>
      <w:r>
        <w:rPr>
          <w:rFonts w:ascii="Times New Roman" w:cs="Times New Roman" w:eastAsia="Times New Roman" w:hAnsi="Times New Roman"/>
          <w:color w:val="1A1A2A"/>
          <w:sz w:val="20"/>
          <w:szCs w:val="20"/>
        </w:rPr>
        <w:t xml:space="preserve">Before retaining any agent/intermediary in a jurisdiction with elevated risk, Celerity will conduct diligence and require written anti-corruption commitments.</w:t>
      </w:r>
    </w:p>
    <w:p>
      <w:pPr>
        <w:spacing w:before="60" w:after="100"/>
        <w:jc w:val="both"/>
      </w:pPr>
      <w:r>
        <w:rPr>
          <w:rFonts w:ascii="Times New Roman" w:cs="Times New Roman" w:eastAsia="Times New Roman" w:hAnsi="Times New Roman"/>
          <w:color w:val="1A1A2A"/>
          <w:sz w:val="20"/>
          <w:szCs w:val="20"/>
        </w:rPr>
        <w:t xml:space="preserve">Any suspected bribery, kickback, or improper payment must be reported immediately under Section 13.</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7.  Confidentiality, Data Security, and Information Handling</w:t>
      </w:r>
    </w:p>
    <w:p>
      <w:pPr>
        <w:pStyle w:val="Heading2"/>
        <w:spacing w:before="200" w:after="80"/>
      </w:pPr>
      <w:r>
        <w:rPr>
          <w:rFonts w:ascii="Times New Roman" w:cs="Times New Roman" w:eastAsia="Times New Roman" w:hAnsi="Times New Roman"/>
          <w:b/>
          <w:bCs/>
          <w:color w:val="1B2A5E"/>
          <w:sz w:val="22"/>
          <w:szCs w:val="22"/>
        </w:rPr>
        <w:t xml:space="preserve">7.1  Core Rules (Consulting Context)</w:t>
      </w:r>
    </w:p>
    <w:p>
      <w:pPr>
        <w:spacing w:before="60" w:after="100"/>
        <w:jc w:val="both"/>
      </w:pPr>
      <w:r>
        <w:rPr>
          <w:rFonts w:ascii="Times New Roman" w:cs="Times New Roman" w:eastAsia="Times New Roman" w:hAnsi="Times New Roman"/>
          <w:color w:val="1A1A2A"/>
          <w:sz w:val="20"/>
          <w:szCs w:val="20"/>
        </w:rPr>
        <w:t xml:space="preserve">Personnel must protect confidential and proprietary information belonging to Celerity, our clients, and third parties. This includes technical, geological, geophysical, reservoir, production, commercial, pricing, vendor, transaction, and security information.</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confidential information </w:t>
      </w:r>
      <w:r>
        <w:rPr>
          <w:rFonts w:ascii="Times New Roman" w:cs="Times New Roman" w:eastAsia="Times New Roman" w:hAnsi="Times New Roman"/>
          <w:b/>
          <w:bCs/>
          <w:color w:val="1A1A2A"/>
          <w:sz w:val="20"/>
          <w:szCs w:val="20"/>
        </w:rPr>
        <w:t xml:space="preserve">only for the Engagement</w:t>
      </w:r>
      <w:r>
        <w:rPr>
          <w:rFonts w:ascii="Times New Roman" w:cs="Times New Roman" w:eastAsia="Times New Roman" w:hAnsi="Times New Roman"/>
          <w:color w:val="1A1A2A"/>
          <w:sz w:val="20"/>
          <w:szCs w:val="20"/>
        </w:rPr>
        <w:t xml:space="preserve"> for which it was provided;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apply a strict </w:t>
      </w:r>
      <w:r>
        <w:rPr>
          <w:rFonts w:ascii="Times New Roman" w:cs="Times New Roman" w:eastAsia="Times New Roman" w:hAnsi="Times New Roman"/>
          <w:b/>
          <w:bCs/>
          <w:color w:val="1A1A2A"/>
          <w:sz w:val="20"/>
          <w:szCs w:val="20"/>
        </w:rPr>
        <w:t xml:space="preserve">need-to-know</w:t>
      </w:r>
      <w:r>
        <w:rPr>
          <w:rFonts w:ascii="Times New Roman" w:cs="Times New Roman" w:eastAsia="Times New Roman" w:hAnsi="Times New Roman"/>
          <w:color w:val="1A1A2A"/>
          <w:sz w:val="20"/>
          <w:szCs w:val="20"/>
        </w:rPr>
        <w:t xml:space="preserve"> standard within Celerity;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never use one client's confidential information to benefit another client, even if clients operate in the same Basin;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discuss client matters in public spaces or with friends/family;</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store client data in personal accounts or unapproved cloud services.</w:t>
      </w:r>
    </w:p>
    <w:p>
      <w:pPr>
        <w:pStyle w:val="Heading2"/>
        <w:spacing w:before="200" w:after="80"/>
      </w:pPr>
      <w:r>
        <w:rPr>
          <w:rFonts w:ascii="Times New Roman" w:cs="Times New Roman" w:eastAsia="Times New Roman" w:hAnsi="Times New Roman"/>
          <w:b/>
          <w:bCs/>
          <w:color w:val="1B2A5E"/>
          <w:sz w:val="22"/>
          <w:szCs w:val="22"/>
        </w:rPr>
        <w:t xml:space="preserve">7.2  Minimum Security Requirements</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Company-approved devices/accounts where provided; otherwise comply with Celerity security instructions;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enable MFA (multi-factor authentication) where available;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strong passwords and device encryption;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keep systems patched and protected (anti-malware);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lock screens and secure paper files;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encrypted transfer methods when required by client or by sensitivity.</w:t>
      </w:r>
    </w:p>
    <w:p>
      <w:pPr>
        <w:spacing w:before="60" w:after="100"/>
        <w:jc w:val="both"/>
      </w:pPr>
      <w:r>
        <w:rPr>
          <w:rFonts w:ascii="Times New Roman" w:cs="Times New Roman" w:eastAsia="Times New Roman" w:hAnsi="Times New Roman"/>
          <w:color w:val="1A1A2A"/>
          <w:sz w:val="20"/>
          <w:szCs w:val="20"/>
        </w:rPr>
        <w:t xml:space="preserve">If Personnel suspect a data breach, phishing, unauthorized access, lost device, or misdirected email/data room access, they must report it immediately under Section 13.</w:t>
      </w:r>
    </w:p>
    <w:p>
      <w:pPr>
        <w:pStyle w:val="Heading2"/>
        <w:spacing w:before="200" w:after="80"/>
      </w:pPr>
      <w:r>
        <w:rPr>
          <w:rFonts w:ascii="Times New Roman" w:cs="Times New Roman" w:eastAsia="Times New Roman" w:hAnsi="Times New Roman"/>
          <w:b/>
          <w:bCs/>
          <w:color w:val="1B2A5E"/>
          <w:sz w:val="22"/>
          <w:szCs w:val="22"/>
        </w:rPr>
        <w:t xml:space="preserve">7.3  Data Rooms and Client Systems</w:t>
      </w:r>
    </w:p>
    <w:p>
      <w:pPr>
        <w:spacing w:before="60" w:after="100"/>
        <w:jc w:val="both"/>
      </w:pPr>
      <w:r>
        <w:rPr>
          <w:rFonts w:ascii="Times New Roman" w:cs="Times New Roman" w:eastAsia="Times New Roman" w:hAnsi="Times New Roman"/>
          <w:color w:val="1A1A2A"/>
          <w:sz w:val="20"/>
          <w:szCs w:val="20"/>
        </w:rPr>
        <w:t xml:space="preserve">When accessing client data rooms or systems: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follow the client's terms of use and security requirements;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do not share credentials;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do not download or print except as necessary and permitted;</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clearly label and segregate downloaded materials by Client/Engagement.</w:t>
      </w:r>
    </w:p>
    <w:p>
      <w:pPr>
        <w:pStyle w:val="Heading2"/>
        <w:spacing w:before="200" w:after="80"/>
      </w:pPr>
      <w:r>
        <w:rPr>
          <w:rFonts w:ascii="Times New Roman" w:cs="Times New Roman" w:eastAsia="Times New Roman" w:hAnsi="Times New Roman"/>
          <w:b/>
          <w:bCs/>
          <w:color w:val="1B2A5E"/>
          <w:sz w:val="22"/>
          <w:szCs w:val="22"/>
        </w:rPr>
        <w:t xml:space="preserve">7.4  Return/Destruction</w:t>
      </w:r>
    </w:p>
    <w:p>
      <w:pPr>
        <w:spacing w:before="60" w:after="100"/>
        <w:jc w:val="both"/>
      </w:pPr>
      <w:r>
        <w:rPr>
          <w:rFonts w:ascii="Times New Roman" w:cs="Times New Roman" w:eastAsia="Times New Roman" w:hAnsi="Times New Roman"/>
          <w:color w:val="1A1A2A"/>
          <w:sz w:val="20"/>
          <w:szCs w:val="20"/>
        </w:rPr>
        <w:t xml:space="preserve">At the end of an Engagement or upon request (subject to legal retention obligations), Personnel must return or securely delete client confidential information, including copies, notes, extracts, and derivatives, and certify destruction if required.</w:t>
      </w:r>
    </w:p>
    <w:p>
      <w:pPr>
        <w:pStyle w:val="Heading2"/>
        <w:spacing w:before="200" w:after="80"/>
      </w:pPr>
      <w:r>
        <w:rPr>
          <w:rFonts w:ascii="Times New Roman" w:cs="Times New Roman" w:eastAsia="Times New Roman" w:hAnsi="Times New Roman"/>
          <w:b/>
          <w:bCs/>
          <w:color w:val="1B2A5E"/>
          <w:sz w:val="22"/>
          <w:szCs w:val="22"/>
        </w:rPr>
        <w:t xml:space="preserve">7.5  Permitted Retention</w:t>
      </w:r>
    </w:p>
    <w:p>
      <w:pPr>
        <w:spacing w:before="60" w:after="100"/>
        <w:jc w:val="both"/>
      </w:pPr>
      <w:r>
        <w:rPr>
          <w:rFonts w:ascii="Times New Roman" w:cs="Times New Roman" w:eastAsia="Times New Roman" w:hAnsi="Times New Roman"/>
          <w:color w:val="1A1A2A"/>
          <w:sz w:val="20"/>
          <w:szCs w:val="20"/>
        </w:rPr>
        <w:t xml:space="preserve">Celerity may retain limited information as required by law, regulation, professional standards, insurance, or bona fide internal compliance policies, provided retained information remains protected and access-restricted.</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8.  Compliance with Laws (Including Export Controls, Sanctions, and Insider Trading)</w:t>
      </w:r>
    </w:p>
    <w:p>
      <w:pPr>
        <w:spacing w:before="60" w:after="100"/>
        <w:jc w:val="both"/>
      </w:pPr>
      <w:r>
        <w:rPr>
          <w:rFonts w:ascii="Times New Roman" w:cs="Times New Roman" w:eastAsia="Times New Roman" w:hAnsi="Times New Roman"/>
          <w:color w:val="1A1A2A"/>
          <w:sz w:val="20"/>
          <w:szCs w:val="20"/>
        </w:rPr>
        <w:t xml:space="preserve">Personnel must comply with all applicable laws and regulations, including: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anti-corruption laws (Section 6);</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antitrust/competition laws (Section 9);</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environmental, health, and safety requirements when onsite;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employment and labor laws;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privacy and data protection laws;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tax laws and financial reporting requirements;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export controls and sanctions </w:t>
      </w:r>
      <w:r>
        <w:rPr>
          <w:rFonts w:ascii="Times New Roman" w:cs="Times New Roman" w:eastAsia="Times New Roman" w:hAnsi="Times New Roman"/>
          <w:color w:val="1A1A2A"/>
          <w:sz w:val="20"/>
          <w:szCs w:val="20"/>
        </w:rPr>
        <w:t xml:space="preserve">(including U.S. EAR/ITAR as applicable; OFAC sanctions);</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anti-money laundering </w:t>
      </w:r>
      <w:r>
        <w:rPr>
          <w:rFonts w:ascii="Times New Roman" w:cs="Times New Roman" w:eastAsia="Times New Roman" w:hAnsi="Times New Roman"/>
          <w:color w:val="1A1A2A"/>
          <w:sz w:val="20"/>
          <w:szCs w:val="20"/>
        </w:rPr>
        <w:t xml:space="preserve">obligations as applicable;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insider trading </w:t>
      </w:r>
      <w:r>
        <w:rPr>
          <w:rFonts w:ascii="Times New Roman" w:cs="Times New Roman" w:eastAsia="Times New Roman" w:hAnsi="Times New Roman"/>
          <w:color w:val="1A1A2A"/>
          <w:sz w:val="20"/>
          <w:szCs w:val="20"/>
        </w:rPr>
        <w:t xml:space="preserve">laws (U.S. securities laws).</w:t>
      </w:r>
    </w:p>
    <w:p>
      <w:pPr>
        <w:pStyle w:val="Heading2"/>
        <w:spacing w:before="200" w:after="80"/>
      </w:pPr>
      <w:r>
        <w:rPr>
          <w:rFonts w:ascii="Times New Roman" w:cs="Times New Roman" w:eastAsia="Times New Roman" w:hAnsi="Times New Roman"/>
          <w:b/>
          <w:bCs/>
          <w:color w:val="1B2A5E"/>
          <w:sz w:val="22"/>
          <w:szCs w:val="22"/>
        </w:rPr>
        <w:t xml:space="preserve">8.1  Export Controls and Sanctions</w:t>
      </w:r>
    </w:p>
    <w:p>
      <w:pPr>
        <w:spacing w:before="60" w:after="100"/>
        <w:jc w:val="both"/>
      </w:pPr>
      <w:r>
        <w:rPr>
          <w:rFonts w:ascii="Times New Roman" w:cs="Times New Roman" w:eastAsia="Times New Roman" w:hAnsi="Times New Roman"/>
          <w:color w:val="1A1A2A"/>
          <w:sz w:val="20"/>
          <w:szCs w:val="20"/>
        </w:rPr>
        <w:t xml:space="preserve">Personnel must not provide services, technology, software, or technical data to sanctioned persons/territories or prohibited end users, and must not facilitate prohibited transactions. Questions must be escalated to the Policy Owner before proceeding.</w:t>
      </w:r>
    </w:p>
    <w:p>
      <w:pPr>
        <w:pStyle w:val="Heading2"/>
        <w:spacing w:before="200" w:after="80"/>
      </w:pPr>
      <w:r>
        <w:rPr>
          <w:rFonts w:ascii="Times New Roman" w:cs="Times New Roman" w:eastAsia="Times New Roman" w:hAnsi="Times New Roman"/>
          <w:b/>
          <w:bCs/>
          <w:color w:val="1B2A5E"/>
          <w:sz w:val="22"/>
          <w:szCs w:val="22"/>
        </w:rPr>
        <w:t xml:space="preserve">8.2  Insider Trading and Material Nonpublic Information (MNPI)</w:t>
      </w:r>
    </w:p>
    <w:p>
      <w:pPr>
        <w:spacing w:before="60" w:after="100"/>
        <w:jc w:val="both"/>
      </w:pPr>
      <w:r>
        <w:rPr>
          <w:rFonts w:ascii="Times New Roman" w:cs="Times New Roman" w:eastAsia="Times New Roman" w:hAnsi="Times New Roman"/>
          <w:color w:val="1A1A2A"/>
          <w:sz w:val="20"/>
          <w:szCs w:val="20"/>
        </w:rPr>
        <w:t xml:space="preserve">Personnel may receive MNPI through advisory work (e.g., M&amp;A, divestitures, financing, reserves revisions, operational outages). 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trade (or tip others to trade) in securities while in possession of MNPI;</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not share MNPI outside the Engagement team and approved recipients;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follow any client-imposed "restricted list" or blackout requirements.</w:t>
      </w:r>
    </w:p>
    <w:p>
      <w:pPr>
        <w:spacing w:before="60" w:after="100"/>
        <w:jc w:val="both"/>
      </w:pPr>
      <w:r>
        <w:rPr>
          <w:rFonts w:ascii="Times New Roman" w:cs="Times New Roman" w:eastAsia="Times New Roman" w:hAnsi="Times New Roman"/>
          <w:color w:val="1A1A2A"/>
          <w:sz w:val="20"/>
          <w:szCs w:val="20"/>
        </w:rPr>
        <w:t xml:space="preserve">Violations may result in civil and criminal penalties.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9.  Fair Dealing, Competition, and Antitrust</w:t>
      </w:r>
    </w:p>
    <w:p>
      <w:pPr>
        <w:spacing w:before="60" w:after="100"/>
        <w:jc w:val="both"/>
      </w:pPr>
      <w:r>
        <w:rPr>
          <w:rFonts w:ascii="Times New Roman" w:cs="Times New Roman" w:eastAsia="Times New Roman" w:hAnsi="Times New Roman"/>
          <w:color w:val="1A1A2A"/>
          <w:sz w:val="20"/>
          <w:szCs w:val="20"/>
        </w:rPr>
        <w:t xml:space="preserve">Celerity competes fairly and lawfully. Personnel must not: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misappropriate trade secrets;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induce breaches of confidentiality obligations;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engage in deceptive or unfair practices;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enter agreements with competitors on pricing, market allocation, bid rigging, or other anti-competitive conduct.</w:t>
      </w:r>
    </w:p>
    <w:p>
      <w:pPr>
        <w:spacing w:before="60" w:after="100"/>
        <w:jc w:val="both"/>
      </w:pPr>
      <w:r>
        <w:rPr>
          <w:rFonts w:ascii="Times New Roman" w:cs="Times New Roman" w:eastAsia="Times New Roman" w:hAnsi="Times New Roman"/>
          <w:color w:val="1A1A2A"/>
          <w:sz w:val="20"/>
          <w:szCs w:val="20"/>
        </w:rPr>
        <w:t xml:space="preserve">Personnel must be particularly cautious when interacting with competitors at industry events, conferences, or trade associations.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10.  Protection of Company Assets and Intellectual Property</w:t>
      </w:r>
    </w:p>
    <w:p>
      <w:pPr>
        <w:spacing w:before="60" w:after="100"/>
        <w:jc w:val="both"/>
      </w:pPr>
      <w:r>
        <w:rPr>
          <w:rFonts w:ascii="Times New Roman" w:cs="Times New Roman" w:eastAsia="Times New Roman" w:hAnsi="Times New Roman"/>
          <w:color w:val="1A1A2A"/>
          <w:sz w:val="20"/>
          <w:szCs w:val="20"/>
        </w:rPr>
        <w:t xml:space="preserve">Company assets include funds, systems, data, tools, templates, methodologies, models, devices, software licenses, and the Company's name and reputation.</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use Company assets primarily for legitimate business purposes;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protect assets from theft, loss, misuse, and unauthorized disclosure;</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respect third-party IP and software licensing terms;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disclose inventions or work product created in the course of engagement as required by contract and Company policy.</w:t>
      </w:r>
    </w:p>
    <w:p>
      <w:pPr>
        <w:spacing w:before="60" w:after="100"/>
        <w:jc w:val="both"/>
      </w:pPr>
      <w:r>
        <w:rPr>
          <w:rFonts w:ascii="Times New Roman" w:cs="Times New Roman" w:eastAsia="Times New Roman" w:hAnsi="Times New Roman"/>
          <w:color w:val="1A1A2A"/>
          <w:sz w:val="20"/>
          <w:szCs w:val="20"/>
        </w:rPr>
        <w:t xml:space="preserve">All work product created within the scope of engagement belongs to Celerity or its clients as specified in the applicable agreement, and may be subject to assignment obligations.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11.  Workplace Conduct and Respect</w:t>
      </w:r>
    </w:p>
    <w:p>
      <w:pPr>
        <w:spacing w:before="60" w:after="100"/>
        <w:jc w:val="both"/>
      </w:pPr>
      <w:r>
        <w:rPr>
          <w:rFonts w:ascii="Times New Roman" w:cs="Times New Roman" w:eastAsia="Times New Roman" w:hAnsi="Times New Roman"/>
          <w:color w:val="1A1A2A"/>
          <w:sz w:val="20"/>
          <w:szCs w:val="20"/>
        </w:rPr>
        <w:t xml:space="preserve">Celerity is committed to a professional, respectful, and inclusive workplace. Discrimination, harassment, bullying, and retaliation are prohibited.</w:t>
      </w:r>
    </w:p>
    <w:p>
      <w:pPr>
        <w:spacing w:before="60" w:after="100"/>
        <w:jc w:val="both"/>
      </w:pPr>
      <w:r>
        <w:rPr>
          <w:rFonts w:ascii="Times New Roman" w:cs="Times New Roman" w:eastAsia="Times New Roman" w:hAnsi="Times New Roman"/>
          <w:color w:val="1A1A2A"/>
          <w:sz w:val="20"/>
          <w:szCs w:val="20"/>
        </w:rPr>
        <w:t xml:space="preserve">Personnel must: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treat colleagues, clients, and vendors with respect;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maintain professional boundaries and conduct;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raise concerns promptly using Section 13 channels.</w:t>
      </w:r>
    </w:p>
    <w:p>
      <w:pPr>
        <w:spacing w:before="60" w:after="100"/>
        <w:jc w:val="both"/>
      </w:pPr>
      <w:r>
        <w:rPr>
          <w:rFonts w:ascii="Times New Roman" w:cs="Times New Roman" w:eastAsia="Times New Roman" w:hAnsi="Times New Roman"/>
          <w:color w:val="1A1A2A"/>
          <w:sz w:val="20"/>
          <w:szCs w:val="20"/>
        </w:rPr>
        <w:t xml:space="preserve">This Policy applies to conduct at worksites, client locations, business travel, and work-related events.</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12.  Accurate Records, Timekeeping, and Expenses</w:t>
      </w:r>
    </w:p>
    <w:p>
      <w:pPr>
        <w:spacing w:before="60" w:after="100"/>
        <w:jc w:val="both"/>
      </w:pPr>
      <w:r>
        <w:rPr>
          <w:rFonts w:ascii="Times New Roman" w:cs="Times New Roman" w:eastAsia="Times New Roman" w:hAnsi="Times New Roman"/>
          <w:color w:val="1A1A2A"/>
          <w:sz w:val="20"/>
          <w:szCs w:val="20"/>
        </w:rPr>
        <w:t xml:space="preserve">All records must be accurate, complete, and timely, including: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timesheets and billing support;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expense reports and receipts;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project documentation and deliverable records;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compliance certifications and training completion.</w:t>
      </w:r>
    </w:p>
    <w:p>
      <w:pPr>
        <w:spacing w:before="60" w:after="100"/>
        <w:jc w:val="both"/>
      </w:pPr>
      <w:r>
        <w:rPr>
          <w:rFonts w:ascii="Times New Roman" w:cs="Times New Roman" w:eastAsia="Times New Roman" w:hAnsi="Times New Roman"/>
          <w:color w:val="1A1A2A"/>
          <w:sz w:val="20"/>
          <w:szCs w:val="20"/>
        </w:rPr>
        <w:t xml:space="preserve">Personnel must not: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falsify or backdate records;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submit improper expenses;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create off-the-books accounts or undisclosed funds;</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destroy documents subject to a litigation hold or client retention requirement.</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13.  Reporting Concerns, Investigation Process, and Non-Retaliation</w:t>
      </w:r>
    </w:p>
    <w:p>
      <w:pPr>
        <w:pStyle w:val="Heading2"/>
        <w:spacing w:before="200" w:after="80"/>
      </w:pPr>
      <w:r>
        <w:rPr>
          <w:rFonts w:ascii="Times New Roman" w:cs="Times New Roman" w:eastAsia="Times New Roman" w:hAnsi="Times New Roman"/>
          <w:b/>
          <w:bCs/>
          <w:color w:val="1B2A5E"/>
          <w:sz w:val="22"/>
          <w:szCs w:val="22"/>
        </w:rPr>
        <w:t xml:space="preserve">13.1  Reporting Channels</w:t>
      </w:r>
    </w:p>
    <w:p>
      <w:pPr>
        <w:spacing w:before="60" w:after="100"/>
        <w:jc w:val="both"/>
      </w:pPr>
      <w:r>
        <w:rPr>
          <w:rFonts w:ascii="Times New Roman" w:cs="Times New Roman" w:eastAsia="Times New Roman" w:hAnsi="Times New Roman"/>
          <w:color w:val="1A1A2A"/>
          <w:sz w:val="20"/>
          <w:szCs w:val="20"/>
        </w:rPr>
        <w:t xml:space="preserve">Personnel must report suspected violations of this Policy, law, or client contractual requirements through one of the following:</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Policy Owner / Compliance Contact:  </w:t>
      </w:r>
      <w:r>
        <w:rPr>
          <w:rFonts w:ascii="Times New Roman" w:cs="Times New Roman" w:eastAsia="Times New Roman" w:hAnsi="Times New Roman"/>
          <w:i/>
          <w:iCs/>
          <w:color w:val="5A6070"/>
          <w:sz w:val="20"/>
          <w:szCs w:val="20"/>
          <w:highlight w:val="yellow"/>
        </w:rPr>
        <w:t xml:space="preserve">[EMAIL]</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i/>
          <w:iCs/>
          <w:color w:val="5A6070"/>
          <w:sz w:val="20"/>
          <w:szCs w:val="20"/>
          <w:highlight w:val="yellow"/>
        </w:rPr>
        <w:t xml:space="preserve">[PHONE]</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Management:  </w:t>
      </w:r>
      <w:r>
        <w:rPr>
          <w:rFonts w:ascii="Times New Roman" w:cs="Times New Roman" w:eastAsia="Times New Roman" w:hAnsi="Times New Roman"/>
          <w:color w:val="1A1A2A"/>
          <w:sz w:val="20"/>
          <w:szCs w:val="20"/>
        </w:rPr>
        <w:t xml:space="preserve">direct supervisor, Engagement Lead, or senior management</w:t>
      </w:r>
    </w:p>
    <w:p>
      <w:pPr>
        <w:pStyle w:val="ListParagraph"/>
        <w:numPr>
          <w:ilvl w:val="0"/>
          <w:numId w:val="2"/>
        </w:numPr>
        <w:spacing w:before="40" w:after="60"/>
        <w:jc w:val="both"/>
      </w:pPr>
      <w:r>
        <w:rPr>
          <w:rFonts w:ascii="Times New Roman" w:cs="Times New Roman" w:eastAsia="Times New Roman" w:hAnsi="Times New Roman"/>
          <w:b/>
          <w:bCs/>
          <w:color w:val="1A1A2A"/>
          <w:sz w:val="20"/>
          <w:szCs w:val="20"/>
        </w:rPr>
        <w:t xml:space="preserve">Anonymous reporting (where permitted by law):  </w:t>
      </w:r>
      <w:r>
        <w:rPr>
          <w:rFonts w:ascii="Times New Roman" w:cs="Times New Roman" w:eastAsia="Times New Roman" w:hAnsi="Times New Roman"/>
          <w:i/>
          <w:iCs/>
          <w:color w:val="5A6070"/>
          <w:sz w:val="20"/>
          <w:szCs w:val="20"/>
          <w:highlight w:val="yellow"/>
        </w:rPr>
        <w:t xml:space="preserve">[HOTLINE URL]</w:t>
      </w:r>
      <w:r>
        <w:rPr>
          <w:rFonts w:ascii="Times New Roman" w:cs="Times New Roman" w:eastAsia="Times New Roman" w:hAnsi="Times New Roman"/>
          <w:color w:val="1A1A2A"/>
          <w:sz w:val="20"/>
          <w:szCs w:val="20"/>
        </w:rPr>
        <w:t xml:space="preserve">,  </w:t>
      </w:r>
      <w:r>
        <w:rPr>
          <w:rFonts w:ascii="Times New Roman" w:cs="Times New Roman" w:eastAsia="Times New Roman" w:hAnsi="Times New Roman"/>
          <w:i/>
          <w:iCs/>
          <w:color w:val="5A6070"/>
          <w:sz w:val="20"/>
          <w:szCs w:val="20"/>
          <w:highlight w:val="yellow"/>
        </w:rPr>
        <w:t xml:space="preserve">[HOTLINE NUMBER]</w:t>
      </w:r>
    </w:p>
    <w:p>
      <w:pPr>
        <w:spacing w:before="60" w:after="100"/>
        <w:jc w:val="both"/>
      </w:pPr>
      <w:r>
        <w:rPr>
          <w:rFonts w:ascii="Times New Roman" w:cs="Times New Roman" w:eastAsia="Times New Roman" w:hAnsi="Times New Roman"/>
          <w:color w:val="1A1A2A"/>
          <w:sz w:val="20"/>
          <w:szCs w:val="20"/>
        </w:rPr>
        <w:t xml:space="preserve">Reports should include facts, dates, people involved, documents if available, and any immediate risk.</w:t>
      </w:r>
    </w:p>
    <w:p>
      <w:pPr>
        <w:pStyle w:val="Heading2"/>
        <w:spacing w:before="200" w:after="80"/>
      </w:pPr>
      <w:r>
        <w:rPr>
          <w:rFonts w:ascii="Times New Roman" w:cs="Times New Roman" w:eastAsia="Times New Roman" w:hAnsi="Times New Roman"/>
          <w:b/>
          <w:bCs/>
          <w:color w:val="1B2A5E"/>
          <w:sz w:val="22"/>
          <w:szCs w:val="22"/>
        </w:rPr>
        <w:t xml:space="preserve">13.2  Investigation Process</w:t>
      </w:r>
    </w:p>
    <w:p>
      <w:pPr>
        <w:spacing w:before="60" w:after="100"/>
        <w:jc w:val="both"/>
      </w:pPr>
      <w:r>
        <w:rPr>
          <w:rFonts w:ascii="Times New Roman" w:cs="Times New Roman" w:eastAsia="Times New Roman" w:hAnsi="Times New Roman"/>
          <w:color w:val="1A1A2A"/>
          <w:sz w:val="20"/>
          <w:szCs w:val="20"/>
        </w:rPr>
        <w:t xml:space="preserve">Celerity will investigate reports promptly, fairly, and confidentially to the extent practicable. The process generally includes:</w:t>
      </w:r>
    </w:p>
    <w:p>
      <w:pPr>
        <w:spacing w:before="40" w:after="60"/>
        <w:ind w:left="720" w:hanging="360"/>
        <w:jc w:val="both"/>
      </w:pPr>
      <w:r>
        <w:rPr>
          <w:rFonts w:ascii="Times New Roman" w:cs="Times New Roman" w:eastAsia="Times New Roman" w:hAnsi="Times New Roman"/>
          <w:b/>
          <w:bCs/>
          <w:color w:val="1A1A2A"/>
          <w:sz w:val="20"/>
          <w:szCs w:val="20"/>
        </w:rPr>
        <w:t xml:space="preserve">1.  </w:t>
      </w:r>
      <w:r>
        <w:rPr>
          <w:rFonts w:ascii="Times New Roman" w:cs="Times New Roman" w:eastAsia="Times New Roman" w:hAnsi="Times New Roman"/>
          <w:b/>
          <w:bCs/>
          <w:color w:val="1A1A2A"/>
          <w:sz w:val="20"/>
          <w:szCs w:val="20"/>
        </w:rPr>
        <w:t xml:space="preserve">Intake and triage </w:t>
      </w:r>
      <w:r>
        <w:rPr>
          <w:rFonts w:ascii="Times New Roman" w:cs="Times New Roman" w:eastAsia="Times New Roman" w:hAnsi="Times New Roman"/>
          <w:color w:val="1A1A2A"/>
          <w:sz w:val="20"/>
          <w:szCs w:val="20"/>
        </w:rPr>
        <w:t xml:space="preserve">by the Policy Owner (or designee);</w:t>
      </w:r>
    </w:p>
    <w:p>
      <w:pPr>
        <w:spacing w:before="40" w:after="60"/>
        <w:ind w:left="720" w:hanging="360"/>
        <w:jc w:val="both"/>
      </w:pPr>
      <w:r>
        <w:rPr>
          <w:rFonts w:ascii="Times New Roman" w:cs="Times New Roman" w:eastAsia="Times New Roman" w:hAnsi="Times New Roman"/>
          <w:b/>
          <w:bCs/>
          <w:color w:val="1A1A2A"/>
          <w:sz w:val="20"/>
          <w:szCs w:val="20"/>
        </w:rPr>
        <w:t xml:space="preserve">2.  </w:t>
      </w:r>
      <w:r>
        <w:rPr>
          <w:rFonts w:ascii="Times New Roman" w:cs="Times New Roman" w:eastAsia="Times New Roman" w:hAnsi="Times New Roman"/>
          <w:b/>
          <w:bCs/>
          <w:color w:val="1A1A2A"/>
          <w:sz w:val="20"/>
          <w:szCs w:val="20"/>
        </w:rPr>
        <w:t xml:space="preserve">Interim controls </w:t>
      </w:r>
      <w:r>
        <w:rPr>
          <w:rFonts w:ascii="Times New Roman" w:cs="Times New Roman" w:eastAsia="Times New Roman" w:hAnsi="Times New Roman"/>
          <w:color w:val="1A1A2A"/>
          <w:sz w:val="20"/>
          <w:szCs w:val="20"/>
        </w:rPr>
        <w:t xml:space="preserve">if needed (e.g., access restriction, team reassignment, preservation hold);</w:t>
      </w:r>
    </w:p>
    <w:p>
      <w:pPr>
        <w:spacing w:before="40" w:after="60"/>
        <w:ind w:left="720" w:hanging="360"/>
        <w:jc w:val="both"/>
      </w:pPr>
      <w:r>
        <w:rPr>
          <w:rFonts w:ascii="Times New Roman" w:cs="Times New Roman" w:eastAsia="Times New Roman" w:hAnsi="Times New Roman"/>
          <w:b/>
          <w:bCs/>
          <w:color w:val="1A1A2A"/>
          <w:sz w:val="20"/>
          <w:szCs w:val="20"/>
        </w:rPr>
        <w:t xml:space="preserve">3.  </w:t>
      </w:r>
      <w:r>
        <w:rPr>
          <w:rFonts w:ascii="Times New Roman" w:cs="Times New Roman" w:eastAsia="Times New Roman" w:hAnsi="Times New Roman"/>
          <w:b/>
          <w:bCs/>
          <w:color w:val="1A1A2A"/>
          <w:sz w:val="20"/>
          <w:szCs w:val="20"/>
        </w:rPr>
        <w:t xml:space="preserve">Fact-finding </w:t>
      </w:r>
      <w:r>
        <w:rPr>
          <w:rFonts w:ascii="Times New Roman" w:cs="Times New Roman" w:eastAsia="Times New Roman" w:hAnsi="Times New Roman"/>
          <w:color w:val="1A1A2A"/>
          <w:sz w:val="20"/>
          <w:szCs w:val="20"/>
        </w:rPr>
        <w:t xml:space="preserve">(document review, interviews, system logs where lawful);</w:t>
      </w:r>
    </w:p>
    <w:p>
      <w:pPr>
        <w:spacing w:before="40" w:after="60"/>
        <w:ind w:left="720" w:hanging="360"/>
        <w:jc w:val="both"/>
      </w:pPr>
      <w:r>
        <w:rPr>
          <w:rFonts w:ascii="Times New Roman" w:cs="Times New Roman" w:eastAsia="Times New Roman" w:hAnsi="Times New Roman"/>
          <w:b/>
          <w:bCs/>
          <w:color w:val="1A1A2A"/>
          <w:sz w:val="20"/>
          <w:szCs w:val="20"/>
        </w:rPr>
        <w:t xml:space="preserve">4.  </w:t>
      </w:r>
      <w:r>
        <w:rPr>
          <w:rFonts w:ascii="Times New Roman" w:cs="Times New Roman" w:eastAsia="Times New Roman" w:hAnsi="Times New Roman"/>
          <w:b/>
          <w:bCs/>
          <w:color w:val="1A1A2A"/>
          <w:sz w:val="20"/>
          <w:szCs w:val="20"/>
        </w:rPr>
        <w:t xml:space="preserve">Findings and corrective actions</w:t>
      </w:r>
      <w:r>
        <w:rPr>
          <w:rFonts w:ascii="Times New Roman" w:cs="Times New Roman" w:eastAsia="Times New Roman" w:hAnsi="Times New Roman"/>
          <w:color w:val="1A1A2A"/>
          <w:sz w:val="20"/>
          <w:szCs w:val="20"/>
        </w:rPr>
        <w:t xml:space="preserve">, which may include training, discipline, client notification (if required), remediation, or process changes;</w:t>
      </w:r>
    </w:p>
    <w:p>
      <w:pPr>
        <w:spacing w:before="40" w:after="60"/>
        <w:ind w:left="720" w:hanging="360"/>
        <w:jc w:val="both"/>
      </w:pPr>
      <w:r>
        <w:rPr>
          <w:rFonts w:ascii="Times New Roman" w:cs="Times New Roman" w:eastAsia="Times New Roman" w:hAnsi="Times New Roman"/>
          <w:b/>
          <w:bCs/>
          <w:color w:val="1A1A2A"/>
          <w:sz w:val="20"/>
          <w:szCs w:val="20"/>
        </w:rPr>
        <w:t xml:space="preserve">5.  </w:t>
      </w:r>
      <w:r>
        <w:rPr>
          <w:rFonts w:ascii="Times New Roman" w:cs="Times New Roman" w:eastAsia="Times New Roman" w:hAnsi="Times New Roman"/>
          <w:b/>
          <w:bCs/>
          <w:color w:val="1A1A2A"/>
          <w:sz w:val="20"/>
          <w:szCs w:val="20"/>
        </w:rPr>
        <w:t xml:space="preserve">Closure documentation </w:t>
      </w:r>
      <w:r>
        <w:rPr>
          <w:rFonts w:ascii="Times New Roman" w:cs="Times New Roman" w:eastAsia="Times New Roman" w:hAnsi="Times New Roman"/>
          <w:color w:val="1A1A2A"/>
          <w:sz w:val="20"/>
          <w:szCs w:val="20"/>
        </w:rPr>
        <w:t xml:space="preserve">retained by Celerity.</w:t>
      </w:r>
    </w:p>
    <w:p>
      <w:pPr>
        <w:pStyle w:val="Heading2"/>
        <w:spacing w:before="200" w:after="80"/>
      </w:pPr>
      <w:r>
        <w:rPr>
          <w:rFonts w:ascii="Times New Roman" w:cs="Times New Roman" w:eastAsia="Times New Roman" w:hAnsi="Times New Roman"/>
          <w:b/>
          <w:bCs/>
          <w:color w:val="1B2A5E"/>
          <w:sz w:val="22"/>
          <w:szCs w:val="22"/>
        </w:rPr>
        <w:t xml:space="preserve">13.3  Non-Retaliation</w:t>
      </w:r>
    </w:p>
    <w:p>
      <w:pPr>
        <w:spacing w:before="60" w:after="100"/>
        <w:jc w:val="both"/>
      </w:pPr>
      <w:r>
        <w:rPr>
          <w:rFonts w:ascii="Times New Roman" w:cs="Times New Roman" w:eastAsia="Times New Roman" w:hAnsi="Times New Roman"/>
          <w:color w:val="1A1A2A"/>
          <w:sz w:val="20"/>
          <w:szCs w:val="20"/>
        </w:rPr>
        <w:t xml:space="preserve">Celerity prohibits retaliation against anyone who in good faith reports a concern, participates in an investigation, or uses Stop Work Authority or compliance escalation. Retaliation is itself a violation of this Policy and may result in discipline up to termination.</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14.  Enforcement and Consequences</w:t>
      </w:r>
    </w:p>
    <w:p>
      <w:pPr>
        <w:spacing w:before="60" w:after="100"/>
        <w:jc w:val="both"/>
      </w:pPr>
      <w:r>
        <w:rPr>
          <w:rFonts w:ascii="Times New Roman" w:cs="Times New Roman" w:eastAsia="Times New Roman" w:hAnsi="Times New Roman"/>
          <w:color w:val="1A1A2A"/>
          <w:sz w:val="20"/>
          <w:szCs w:val="20"/>
        </w:rPr>
        <w:t xml:space="preserve">Violations of this Policy may result in:</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coaching or mandatory training;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written warning;</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reassignment or removal from a client engagement;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suspension or termination of employment/engagement;</w:t>
      </w:r>
    </w:p>
    <w:p>
      <w:pPr>
        <w:pStyle w:val="ListParagraph"/>
        <w:numPr>
          <w:ilvl w:val="0"/>
          <w:numId w:val="2"/>
        </w:numPr>
        <w:spacing w:before="40" w:after="60"/>
        <w:jc w:val="both"/>
      </w:pPr>
      <w:r>
        <w:rPr>
          <w:rFonts w:ascii="Times New Roman" w:cs="Times New Roman" w:eastAsia="Times New Roman" w:hAnsi="Times New Roman"/>
          <w:color w:val="1A1A2A"/>
          <w:sz w:val="20"/>
          <w:szCs w:val="20"/>
        </w:rPr>
        <w:t xml:space="preserve">referral to law enforcement or regulators where appropriate.</w:t>
      </w:r>
    </w:p>
    <w:p>
      <w:pPr>
        <w:spacing w:before="60" w:after="100"/>
        <w:jc w:val="both"/>
      </w:pPr>
      <w:r>
        <w:rPr>
          <w:rFonts w:ascii="Times New Roman" w:cs="Times New Roman" w:eastAsia="Times New Roman" w:hAnsi="Times New Roman"/>
          <w:color w:val="1A1A2A"/>
          <w:sz w:val="20"/>
          <w:szCs w:val="20"/>
        </w:rPr>
        <w:t xml:space="preserve">Celerity may also be required to notify clients if an issue impacts confidentiality, conflicts, billing integrity, or legal compliance.</w:t>
      </w:r>
    </w:p>
    <w:p>
      <w:pPr>
        <w:pStyle w:val="Heading1"/>
        <w:pBdr>
          <w:bottom w:val="single" w:color="4A9FD4" w:sz="6" w:space="4"/>
        </w:pBdr>
        <w:spacing w:before="280" w:after="100"/>
      </w:pPr>
      <w:r>
        <w:rPr>
          <w:rFonts w:ascii="Times New Roman" w:cs="Times New Roman" w:eastAsia="Times New Roman" w:hAnsi="Times New Roman"/>
          <w:b/>
          <w:bCs/>
          <w:color w:val="1B2A5E"/>
          <w:sz w:val="24"/>
          <w:szCs w:val="24"/>
        </w:rPr>
        <w:t xml:space="preserve">15.  Policy Administration, Updates, and Waivers</w:t>
      </w:r>
    </w:p>
    <w:p>
      <w:pPr>
        <w:spacing w:before="60" w:after="100"/>
        <w:jc w:val="both"/>
      </w:pPr>
      <w:r>
        <w:rPr>
          <w:rFonts w:ascii="Times New Roman" w:cs="Times New Roman" w:eastAsia="Times New Roman" w:hAnsi="Times New Roman"/>
          <w:color w:val="1A1A2A"/>
          <w:sz w:val="20"/>
          <w:szCs w:val="20"/>
        </w:rPr>
        <w:t xml:space="preserve">Celerity may update this Policy at any time. Updated versions will be distributed to Personnel.</w:t>
      </w:r>
    </w:p>
    <w:p>
      <w:pPr>
        <w:spacing w:before="60" w:after="100"/>
        <w:jc w:val="both"/>
      </w:pPr>
      <w:r>
        <w:rPr>
          <w:rFonts w:ascii="Times New Roman" w:cs="Times New Roman" w:eastAsia="Times New Roman" w:hAnsi="Times New Roman"/>
          <w:color w:val="1A1A2A"/>
          <w:sz w:val="20"/>
          <w:szCs w:val="20"/>
        </w:rPr>
        <w:t xml:space="preserve">Any waiver of this Policy must be in writing and approved by </w:t>
      </w:r>
      <w:r>
        <w:rPr>
          <w:rFonts w:ascii="Times New Roman" w:cs="Times New Roman" w:eastAsia="Times New Roman" w:hAnsi="Times New Roman"/>
          <w:i/>
          <w:iCs/>
          <w:color w:val="5A6070"/>
          <w:sz w:val="20"/>
          <w:szCs w:val="20"/>
          <w:highlight w:val="yellow"/>
        </w:rPr>
        <w:t xml:space="preserve">[MANAGING PARTNER / COMPLIANCE OFFICER]</w:t>
      </w:r>
      <w:r>
        <w:rPr>
          <w:rFonts w:ascii="Times New Roman" w:cs="Times New Roman" w:eastAsia="Times New Roman" w:hAnsi="Times New Roman"/>
          <w:color w:val="1A1A2A"/>
          <w:sz w:val="20"/>
          <w:szCs w:val="20"/>
        </w:rPr>
        <w:t xml:space="preserve">. Waivers are expected to be rare and documented with rationale and conditions.</w:t>
      </w:r>
    </w:p>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APPENDIX A</w:t>
      </w:r>
    </w:p>
    <w:p>
      <w:pPr>
        <w:spacing w:before="0" w:after="4"/>
      </w:pPr>
      <w:r>
        <w:rPr>
          <w:rFonts w:ascii="Times New Roman" w:cs="Times New Roman" w:eastAsia="Times New Roman" w:hAnsi="Times New Roman"/>
          <w:b/>
          <w:bCs/>
          <w:color w:val="4A9FD4"/>
          <w:sz w:val="20"/>
          <w:szCs w:val="20"/>
        </w:rPr>
        <w:t xml:space="preserve">Conflicts Disclosure Form  ·  Internal Use Template</w:t>
      </w:r>
    </w:p>
    <w:p>
      <w:pPr>
        <w:pBdr>
          <w:bottom w:val="single" w:color="4A9FD4" w:sz="16" w:space="1"/>
        </w:pBdr>
        <w:spacing w:before="0" w:after="0"/>
      </w:pPr>
    </w:p>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rPr>
          <w:tblHeader/>
        </w:trP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Item</w:t>
            </w:r>
          </w:p>
        </w:tc>
        <w:tc>
          <w:tcPr>
            <w:tcW w:type="dxa" w:w="612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Response</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Date</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Personnel Name / Role</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 / ROLE]</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Engagement Name / Client</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[ENGAGEMENT / CLIENT]</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Basin(s) / Asset Area(s)</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[BASIN / AREA]</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Current/past work for Competitors in same Basin?</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[YES/NO + DETAILS]</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Financial interest in Client/Competitors/targets?</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[YES/NO + DETAILS]</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Outside role (advisor/board/consulting) creating conflict?</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[YES/NO + DETAILS]</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Family/personal relationship relevant?</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[YES/NO + DETAILS]</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Conflict description</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[DESCRIPTION]</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Proposed mitigation</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[INFORMATION BARRIER / TEAM SEPARATION / CONSENT / DECLINE]</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Approval (Policy Owner)</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[APPROVED / APPROVED WITH CONDITIONS / DECLINED]</w:t>
            </w:r>
          </w:p>
        </w:tc>
      </w:tr>
      <w:tr>
        <w:tc>
          <w:tcPr>
            <w:tcW w:type="dxa" w:w="32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Conditions / Notes</w:t>
            </w:r>
          </w:p>
        </w:tc>
        <w:tc>
          <w:tcPr>
            <w:tcW w:type="dxa" w:w="612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[NOTES]</w:t>
            </w:r>
          </w:p>
        </w:tc>
      </w:tr>
    </w:tbl>
    <w:p>
      <w:pPr>
        <w:pageBreakBefore/>
      </w:pPr>
      <w:r>
        <w:rPr>
          <w:rFonts w:ascii="Times New Roman" w:cs="Times New Roman" w:eastAsia="Times New Roman" w:hAnsi="Times New Roman"/>
        </w:rPr>
        <w:t xml:space="preserve"/>
      </w:r>
    </w:p>
    <w:p>
      <w:pPr>
        <w:spacing w:before="160" w:after="20"/>
      </w:pPr>
      <w:r>
        <w:rPr>
          <w:rFonts w:ascii="Times New Roman" w:cs="Times New Roman" w:eastAsia="Times New Roman" w:hAnsi="Times New Roman"/>
          <w:b/>
          <w:bCs/>
          <w:color w:val="1B2A5E"/>
          <w:sz w:val="32"/>
          <w:szCs w:val="32"/>
        </w:rPr>
        <w:t xml:space="preserve">APPENDIX B</w:t>
      </w:r>
    </w:p>
    <w:p>
      <w:pPr>
        <w:spacing w:before="0" w:after="4"/>
      </w:pPr>
      <w:r>
        <w:rPr>
          <w:rFonts w:ascii="Times New Roman" w:cs="Times New Roman" w:eastAsia="Times New Roman" w:hAnsi="Times New Roman"/>
          <w:b/>
          <w:bCs/>
          <w:color w:val="4A9FD4"/>
          <w:sz w:val="20"/>
          <w:szCs w:val="20"/>
        </w:rPr>
        <w:t xml:space="preserve">Acknowledgment of Receipt and Agreement</w:t>
      </w:r>
    </w:p>
    <w:p>
      <w:pPr>
        <w:pBdr>
          <w:bottom w:val="single" w:color="4A9FD4" w:sz="16" w:space="1"/>
        </w:pBdr>
        <w:spacing w:before="0" w:after="0"/>
      </w:pPr>
    </w:p>
    <w:p>
      <w:pPr>
        <w:spacing w:before="120" w:after="80"/>
      </w:pPr>
    </w:p>
    <w:p>
      <w:pPr>
        <w:spacing w:before="60" w:after="100"/>
        <w:jc w:val="both"/>
      </w:pPr>
      <w:r>
        <w:rPr>
          <w:rFonts w:ascii="Times New Roman" w:cs="Times New Roman" w:eastAsia="Times New Roman" w:hAnsi="Times New Roman"/>
          <w:color w:val="1A1A2A"/>
          <w:sz w:val="20"/>
          <w:szCs w:val="20"/>
        </w:rPr>
        <w:t xml:space="preserve">By signing below, I acknowledge that I have received, read, and understand the </w:t>
      </w:r>
      <w:r>
        <w:rPr>
          <w:rFonts w:ascii="Times New Roman" w:cs="Times New Roman" w:eastAsia="Times New Roman" w:hAnsi="Times New Roman"/>
          <w:b/>
          <w:bCs/>
          <w:color w:val="1A1A2A"/>
          <w:sz w:val="20"/>
          <w:szCs w:val="20"/>
        </w:rPr>
        <w:t xml:space="preserve">Celerity Energy Advisors LLC Code of Business Ethics and Conflicts of Interest Policy</w:t>
      </w:r>
      <w:r>
        <w:rPr>
          <w:rFonts w:ascii="Times New Roman" w:cs="Times New Roman" w:eastAsia="Times New Roman" w:hAnsi="Times New Roman"/>
          <w:color w:val="1A1A2A"/>
          <w:sz w:val="20"/>
          <w:szCs w:val="20"/>
        </w:rPr>
        <w:t xml:space="preserve">. I agree to comply with this Policy as a condition of my employment or engagement. I understand that violations may result in disciplinary action up to and including termination and potential legal consequences.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Personnel Name (Print)</w:t>
            </w:r>
          </w:p>
        </w:tc>
        <w:tc>
          <w:tcPr>
            <w:tcW w:type="dxa" w:w="23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Title / Role</w:t>
            </w:r>
          </w:p>
        </w:tc>
        <w:tc>
          <w:tcPr>
            <w:tcW w:type="dxa" w:w="23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Signature</w:t>
            </w:r>
          </w:p>
        </w:tc>
        <w:tc>
          <w:tcPr>
            <w:tcW w:type="dxa" w:w="2340"/>
            <w:tcBorders>
              <w:top w:val="single" w:color="D0D7E3" w:sz="1"/>
              <w:left w:val="single" w:color="D0D7E3" w:sz="1"/>
              <w:bottom w:val="single" w:color="D0D7E3" w:sz="1"/>
              <w:right w:val="single" w:color="D0D7E3" w:sz="1"/>
            </w:tcBorders>
            <w:shd w:fill="1B2A5E" w:val="clear"/>
            <w:tcMar>
              <w:top w:type="dxa" w:w="80"/>
              <w:left w:type="dxa" w:w="120"/>
              <w:bottom w:type="dxa" w:w="80"/>
              <w:right w:type="dxa" w:w="120"/>
            </w:tcMar>
          </w:tcPr>
          <w:p>
            <w:r>
              <w:rPr>
                <w:rFonts w:ascii="Times New Roman" w:cs="Times New Roman" w:eastAsia="Times New Roman" w:hAnsi="Times New Roman"/>
                <w:b/>
                <w:bCs/>
                <w:color w:val="FFFFFF"/>
                <w:sz w:val="19"/>
                <w:szCs w:val="19"/>
              </w:rPr>
              <w:t xml:space="preserve">Date</w:t>
            </w:r>
          </w:p>
        </w:tc>
      </w:tr>
      <w:tr>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[TITLE/ROLE]</w:t>
            </w:r>
          </w:p>
        </w:tc>
        <w:tc>
          <w:tcPr>
            <w:tcW w:type="dxa" w:w="2340"/>
            <w:tcBorders>
              <w:top w:val="single" w:color="D0D7E3" w:sz="1"/>
              <w:left w:val="single" w:color="D0D7E3" w:sz="1"/>
              <w:bottom w:val="single" w:color="D0D7E3" w:sz="1"/>
              <w:right w:val="single" w:color="D0D7E3" w:sz="1"/>
            </w:tcBorders>
            <w:shd w:fill="F4F6F9" w:val="clear"/>
            <w:tcMar>
              <w:top w:type="dxa" w:w="120"/>
              <w:left w:type="dxa" w:w="120"/>
              <w:bottom w:type="dxa" w:w="120"/>
              <w:right w:type="dxa" w:w="120"/>
            </w:tcMar>
          </w:tcPr>
          <w:p>
            <w:r>
              <w:rPr>
                <w:rFonts w:ascii="Times New Roman" w:cs="Times New Roman" w:eastAsia="Times New Roman" w:hAnsi="Times New Roman"/>
                <w:color w:val="1A1A2A"/>
                <w:sz w:val="20"/>
                <w:szCs w:val="20"/>
              </w:rPr>
              <w:t xml:space="preserve"> </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r>
      <w:tr>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[TITLE/ROLE]</w:t>
            </w:r>
          </w:p>
        </w:tc>
        <w:tc>
          <w:tcPr>
            <w:tcW w:type="dxa" w:w="2340"/>
            <w:tcBorders>
              <w:top w:val="single" w:color="D0D7E3" w:sz="1"/>
              <w:left w:val="single" w:color="D0D7E3" w:sz="1"/>
              <w:bottom w:val="single" w:color="D0D7E3" w:sz="1"/>
              <w:right w:val="single" w:color="D0D7E3" w:sz="1"/>
            </w:tcBorders>
            <w:shd w:fill="F4F6F9" w:val="clear"/>
            <w:tcMar>
              <w:top w:type="dxa" w:w="120"/>
              <w:left w:type="dxa" w:w="120"/>
              <w:bottom w:type="dxa" w:w="120"/>
              <w:right w:type="dxa" w:w="120"/>
            </w:tcMar>
          </w:tcPr>
          <w:p>
            <w:r>
              <w:rPr>
                <w:rFonts w:ascii="Times New Roman" w:cs="Times New Roman" w:eastAsia="Times New Roman" w:hAnsi="Times New Roman"/>
                <w:color w:val="1A1A2A"/>
                <w:sz w:val="20"/>
                <w:szCs w:val="20"/>
              </w:rPr>
              <w:t xml:space="preserve"> </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r>
      <w:tr>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[NAME]</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[TITLE/ROLE]</w:t>
            </w:r>
          </w:p>
        </w:tc>
        <w:tc>
          <w:tcPr>
            <w:tcW w:type="dxa" w:w="2340"/>
            <w:tcBorders>
              <w:top w:val="single" w:color="D0D7E3" w:sz="1"/>
              <w:left w:val="single" w:color="D0D7E3" w:sz="1"/>
              <w:bottom w:val="single" w:color="D0D7E3" w:sz="1"/>
              <w:right w:val="single" w:color="D0D7E3" w:sz="1"/>
            </w:tcBorders>
            <w:shd w:fill="F4F6F9" w:val="clear"/>
            <w:tcMar>
              <w:top w:type="dxa" w:w="120"/>
              <w:left w:type="dxa" w:w="120"/>
              <w:bottom w:type="dxa" w:w="120"/>
              <w:right w:type="dxa" w:w="120"/>
            </w:tcMar>
          </w:tcPr>
          <w:p>
            <w:r>
              <w:rPr>
                <w:rFonts w:ascii="Times New Roman" w:cs="Times New Roman" w:eastAsia="Times New Roman" w:hAnsi="Times New Roman"/>
                <w:color w:val="1A1A2A"/>
                <w:sz w:val="20"/>
                <w:szCs w:val="20"/>
              </w:rPr>
              <w:t xml:space="preserve"> </w:t>
            </w:r>
          </w:p>
        </w:tc>
        <w:tc>
          <w:tcPr>
            <w:tcW w:type="dxa" w:w="2340"/>
            <w:tcBorders>
              <w:top w:val="single" w:color="D0D7E3" w:sz="1"/>
              <w:left w:val="single" w:color="D0D7E3" w:sz="1"/>
              <w:bottom w:val="single" w:color="D0D7E3" w:sz="1"/>
              <w:right w:val="single" w:color="D0D7E3" w:sz="1"/>
            </w:tcBorders>
            <w:shd w:fill="F4F6F9" w:val="clear"/>
            <w:tcMar>
              <w:top w:type="dxa" w:w="80"/>
              <w:left w:type="dxa" w:w="120"/>
              <w:bottom w:type="dxa" w:w="80"/>
              <w:right w:type="dxa" w:w="120"/>
            </w:tcMar>
          </w:tcPr>
          <w:p>
            <w:r>
              <w:rPr>
                <w:rFonts w:ascii="Times New Roman" w:cs="Times New Roman" w:eastAsia="Times New Roman" w:hAnsi="Times New Roman"/>
                <w:i/>
                <w:iCs/>
                <w:color w:val="5A6070"/>
                <w:sz w:val="20"/>
                <w:szCs w:val="20"/>
                <w:highlight w:val="yellow"/>
              </w:rPr>
              <w:t xml:space="preserve">[DATE]</w:t>
            </w:r>
          </w:p>
        </w:tc>
      </w:tr>
    </w:tbl>
    <w:sectPr>
      <w:headerReference w:type="default" r:id="rId6"/>
      <w:footerReference w:type="default" r:id="rId7"/>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5E" w:sz="6" w:space="4"/>
      </w:pBdr>
      <w:tabs>
        <w:tab w:val="right" w:pos="9360"/>
      </w:tabs>
      <w:spacing w:before="80" w:after="0"/>
    </w:pPr>
    <w:r>
      <w:rPr>
        <w:rFonts w:ascii="Times New Roman" w:cs="Times New Roman" w:eastAsia="Times New Roman" w:hAnsi="Times New Roman"/>
        <w:color w:val="7B8FB0"/>
        <w:sz w:val="16"/>
        <w:szCs w:val="16"/>
      </w:rPr>
      <w:t xml:space="preserve">Celerity Energy Advisors  |  celerity.energy  |  (844) 610-5945</w:t>
    </w:r>
    <w:r>
      <w:rPr>
        <w:rFonts w:ascii="Times New Roman" w:cs="Times New Roman" w:eastAsia="Times New Roman" w:hAnsi="Times New Roman"/>
        <w:color w:val="7B8FB0"/>
        <w:sz w:val="16"/>
        <w:szCs w:val="16"/>
      </w:rPr>
      <w:t xml:space="preserve">	© 2025 Celerity Energy Advisors LLC.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40"/>
      <w:jc w:val="right"/>
    </w:pPr>
    <w:r>
      <w:rPr>
        <w:rFonts w:ascii="Times New Roman" w:cs="Times New Roman" w:eastAsia="Times New Roman" w:hAnsi="Times New Roman"/>
        <w:color w:val="9AAABF"/>
        <w:sz w:val="17"/>
        <w:szCs w:val="17"/>
      </w:rPr>
      <w:t xml:space="preserve">Page </w:t>
    </w:r>
    <w:fldSimple w:instr="PAGE">
      <w:r/>
    </w:fldSimple>
  </w:p>
  <w:p>
    <w:pPr>
      <w:pBdr>
        <w:bottom w:val="single" w:color="4A9FD4" w:sz="12" w:space="6"/>
      </w:pBdr>
      <w:spacing w:before="0" w:after="0"/>
    </w:pPr>
    <w:r>
      <w:drawing>
        <wp:inline distT="0" distB="0" distL="0" distR="0">
          <wp:extent cx="17145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0" cy="5810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color w:val="4A9FD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2A"/>
        <w:sz w:val="20"/>
        <w:szCs w:val="20"/>
      </w:rPr>
    </w:rPrDefault>
    <w:pPrDefault>
      <w:pPr>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Times New Roman" w:cs="Times New Roman" w:eastAsia="Times New Roman" w:hAnsi="Times New Roman"/>
      <w:b/>
      <w:bCs/>
      <w:color w:val="1B2A5E"/>
      <w:sz w:val="24"/>
      <w:szCs w:val="24"/>
    </w:rPr>
  </w:style>
  <w:style w:type="paragraph" w:styleId="Heading2">
    <w:name w:val="Heading 2"/>
    <w:basedOn w:val="Normal"/>
    <w:next w:val="Normal"/>
    <w:qFormat/>
    <w:pPr>
      <w:spacing w:before="200" w:after="80"/>
      <w:outlineLvl w:val="1"/>
    </w:pPr>
    <w:rPr>
      <w:rFonts w:ascii="Times New Roman" w:cs="Times New Roman" w:eastAsia="Times New Roman" w:hAnsi="Times New Roman"/>
      <w:b/>
      <w:bCs/>
      <w:color w:val="1B2A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7c3a6a4ad35f7d04b491a7373f583c1c545acfb.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2026-03-06T14:06:16.969Z</dcterms:created>
  <dcterms:modified xsi:type="dcterms:W3CDTF">2026-03-06T14:06:16.970Z</dcterms:modified>
</cp:coreProperties>
</file>

<file path=docProps/custom.xml><?xml version="1.0" encoding="utf-8"?>
<Properties xmlns="http://schemas.openxmlformats.org/officeDocument/2006/custom-properties" xmlns:vt="http://schemas.openxmlformats.org/officeDocument/2006/docPropsVTypes"/>
</file>