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4"/>
          <w:szCs w:val="34"/>
        </w:rPr>
        <w:t xml:space="preserve">CONFLICTS OF INTEREST POLICY</w:t>
      </w:r>
    </w:p>
    <w:p>
      <w:pPr>
        <w:spacing w:before="0" w:after="4"/>
      </w:pPr>
      <w:r>
        <w:rPr>
          <w:rFonts w:ascii="Times New Roman" w:cs="Times New Roman" w:eastAsia="Times New Roman" w:hAnsi="Times New Roman"/>
          <w:b/>
          <w:bCs/>
          <w:color w:val="4A9FD4"/>
          <w:sz w:val="20"/>
          <w:szCs w:val="20"/>
        </w:rPr>
        <w:t xml:space="preserve">Disclosure Procedure  ·  Oil &amp; Gas Consulting  ·  Celerity Energy Advisors LLC</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Policy Owner</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[CONFLICT OFFICER / MANAGING PARTNER]</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Approved By</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[MANAGING PARTNER / CEO]</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Effective Date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[EFFECTIVE DATE]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Version</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[VERSION]</w:t>
            </w:r>
          </w:p>
        </w:tc>
      </w:tr>
    </w:tbl>
    <w:p>
      <w:pPr>
        <w:spacing w:before="100" w:after="60"/>
      </w:pPr>
    </w:p>
    <w:p>
      <w:pPr>
        <w:pBdr>
          <w:bottom w:val="single" w:color="D0D7E3" w:sz="4" w:space="1"/>
        </w:pBdr>
        <w:spacing w:before="0" w:after="0"/>
      </w:pPr>
    </w:p>
    <w:p>
      <w:pPr>
        <w:spacing w:before="80" w:after="60"/>
      </w:pP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Purpose</w:t>
      </w:r>
    </w:p>
    <w:p>
      <w:pPr>
        <w:spacing w:before="60" w:after="100"/>
        <w:jc w:val="both"/>
      </w:pPr>
      <w:r>
        <w:rPr>
          <w:rFonts w:ascii="Times New Roman" w:cs="Times New Roman" w:eastAsia="Times New Roman" w:hAnsi="Times New Roman"/>
          <w:color w:val="1A1A2A"/>
          <w:sz w:val="20"/>
          <w:szCs w:val="20"/>
        </w:rPr>
        <w:t xml:space="preserve">Celerity Energy Advisors ("Celerity") works with multiple oil &amp; gas clients and counterparties, including Operators who may compete in the same Basin or pursue the same assets, acreage, services, personnel, counterparties, or commercial opportunities. This policy: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establishes a consistent framework to identify, evaluate, disclose, and manage Conflicts of Interest and Potential Conflicts of Interest;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protects Client Confidential Information and Celerity's integrity and independence;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enables Celerity to serve multiple clients ethically and commercially while avoiding improper information sharing;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provides a client-shareable procedure for disclosures and consents.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Scope</w:t>
      </w:r>
    </w:p>
    <w:p>
      <w:pPr>
        <w:spacing w:before="60" w:after="100"/>
        <w:jc w:val="both"/>
      </w:pPr>
      <w:r>
        <w:rPr>
          <w:rFonts w:ascii="Times New Roman" w:cs="Times New Roman" w:eastAsia="Times New Roman" w:hAnsi="Times New Roman"/>
          <w:color w:val="1A1A2A"/>
          <w:sz w:val="20"/>
          <w:szCs w:val="20"/>
        </w:rPr>
        <w:t xml:space="preserve">This policy applies 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Celerity's directors, officers, employees, and contractors;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Celerity's subcontractors, independent consultants, and advisors engaged for Celerity work;</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Affiliates (if any) participating in an Engagement;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all Matters/Engagements, including advisory, technical, commercial, operations, A&amp;D, data/analytics, ESG/HSE, and expert support.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Definitions</w:t>
      </w:r>
    </w:p>
    <w:p>
      <w:pPr>
        <w:pStyle w:val="Heading2"/>
        <w:spacing w:before="200" w:after="80"/>
      </w:pPr>
      <w:r>
        <w:rPr>
          <w:rFonts w:ascii="Times New Roman" w:cs="Times New Roman" w:eastAsia="Times New Roman" w:hAnsi="Times New Roman"/>
          <w:b/>
          <w:bCs/>
          <w:color w:val="1B2A5E"/>
          <w:sz w:val="22"/>
          <w:szCs w:val="22"/>
        </w:rPr>
        <w:t xml:space="preserve">3.1  Conflict of Interest ("Conflict")</w:t>
      </w:r>
    </w:p>
    <w:p>
      <w:pPr>
        <w:spacing w:before="60" w:after="100"/>
        <w:jc w:val="both"/>
      </w:pPr>
      <w:r>
        <w:rPr>
          <w:rFonts w:ascii="Times New Roman" w:cs="Times New Roman" w:eastAsia="Times New Roman" w:hAnsi="Times New Roman"/>
          <w:color w:val="1A1A2A"/>
          <w:sz w:val="20"/>
          <w:szCs w:val="20"/>
        </w:rPr>
        <w:t xml:space="preserve">Any situation in which Celerity's duties to a Client, or Celerity's ability to provide objective services, could be materially impaired or reasonably perceived as impaired by: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Celerity's work for another Client, Operator, Competitor, vendor, counterparty, or investor;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Celerity's own interests (financial, personal, professional, or relational);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overlapping or adjacent scopes that create risk of misuse of Confidential Information;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circumstances where Celerity's advice could favor one Client over another due to competing obligations.</w:t>
      </w:r>
    </w:p>
    <w:p>
      <w:pPr>
        <w:pStyle w:val="Heading2"/>
        <w:spacing w:before="200" w:after="80"/>
      </w:pPr>
      <w:r>
        <w:rPr>
          <w:rFonts w:ascii="Times New Roman" w:cs="Times New Roman" w:eastAsia="Times New Roman" w:hAnsi="Times New Roman"/>
          <w:b/>
          <w:bCs/>
          <w:color w:val="1B2A5E"/>
          <w:sz w:val="22"/>
          <w:szCs w:val="22"/>
        </w:rPr>
        <w:t xml:space="preserve">3.2  Potential Conflict of Interest ("Potential Conflict")</w:t>
      </w:r>
    </w:p>
    <w:p>
      <w:pPr>
        <w:spacing w:before="60" w:after="100"/>
        <w:jc w:val="both"/>
      </w:pPr>
      <w:r>
        <w:rPr>
          <w:rFonts w:ascii="Times New Roman" w:cs="Times New Roman" w:eastAsia="Times New Roman" w:hAnsi="Times New Roman"/>
          <w:color w:val="1A1A2A"/>
          <w:sz w:val="20"/>
          <w:szCs w:val="20"/>
        </w:rPr>
        <w:t xml:space="preserve">A situation that is not currently a Conflict, but could reasonably become a Conflict due to changes in scope, staffing, geography, commercial objectives, asset targets, timelines, or sensitivity of information.</w:t>
      </w:r>
    </w:p>
    <w:p>
      <w:pPr>
        <w:pStyle w:val="Heading2"/>
        <w:spacing w:before="200" w:after="80"/>
      </w:pPr>
      <w:r>
        <w:rPr>
          <w:rFonts w:ascii="Times New Roman" w:cs="Times New Roman" w:eastAsia="Times New Roman" w:hAnsi="Times New Roman"/>
          <w:b/>
          <w:bCs/>
          <w:color w:val="1B2A5E"/>
          <w:sz w:val="22"/>
          <w:szCs w:val="22"/>
        </w:rPr>
        <w:t xml:space="preserve">3.3  Basin</w:t>
      </w:r>
    </w:p>
    <w:p>
      <w:pPr>
        <w:spacing w:before="60" w:after="100"/>
        <w:jc w:val="both"/>
      </w:pPr>
      <w:r>
        <w:rPr>
          <w:rFonts w:ascii="Times New Roman" w:cs="Times New Roman" w:eastAsia="Times New Roman" w:hAnsi="Times New Roman"/>
          <w:color w:val="1A1A2A"/>
          <w:sz w:val="20"/>
          <w:szCs w:val="20"/>
        </w:rPr>
        <w:t xml:space="preserve">A geographic oil &amp; gas producing area (e.g., Permian, Eagle Ford, Haynesville, DJ, Bakken) and associated plays, sub-basins, counties, fields, and relevant midstream corridors that a reasonable industry participant would view as part of the same competitive theater.</w:t>
      </w:r>
    </w:p>
    <w:p>
      <w:pPr>
        <w:pStyle w:val="Heading2"/>
        <w:spacing w:before="200" w:after="80"/>
      </w:pPr>
      <w:r>
        <w:rPr>
          <w:rFonts w:ascii="Times New Roman" w:cs="Times New Roman" w:eastAsia="Times New Roman" w:hAnsi="Times New Roman"/>
          <w:b/>
          <w:bCs/>
          <w:color w:val="1B2A5E"/>
          <w:sz w:val="22"/>
          <w:szCs w:val="22"/>
        </w:rPr>
        <w:t xml:space="preserve">3.4  Operator</w:t>
      </w:r>
    </w:p>
    <w:p>
      <w:pPr>
        <w:spacing w:before="60" w:after="100"/>
        <w:jc w:val="both"/>
      </w:pPr>
      <w:r>
        <w:rPr>
          <w:rFonts w:ascii="Times New Roman" w:cs="Times New Roman" w:eastAsia="Times New Roman" w:hAnsi="Times New Roman"/>
          <w:color w:val="1A1A2A"/>
          <w:sz w:val="20"/>
          <w:szCs w:val="20"/>
        </w:rPr>
        <w:t xml:space="preserve">An entity that operates oil &amp; gas properties, wells, facilities, gathering/processing assets, or associated midstream assets, whether as operator of record or de facto operator.</w:t>
      </w:r>
    </w:p>
    <w:p>
      <w:pPr>
        <w:pStyle w:val="Heading2"/>
        <w:spacing w:before="200" w:after="80"/>
      </w:pPr>
      <w:r>
        <w:rPr>
          <w:rFonts w:ascii="Times New Roman" w:cs="Times New Roman" w:eastAsia="Times New Roman" w:hAnsi="Times New Roman"/>
          <w:b/>
          <w:bCs/>
          <w:color w:val="1B2A5E"/>
          <w:sz w:val="22"/>
          <w:szCs w:val="22"/>
        </w:rPr>
        <w:t xml:space="preserve">3.5  Competitor</w:t>
      </w:r>
    </w:p>
    <w:p>
      <w:pPr>
        <w:spacing w:before="60" w:after="100"/>
        <w:jc w:val="both"/>
      </w:pPr>
      <w:r>
        <w:rPr>
          <w:rFonts w:ascii="Times New Roman" w:cs="Times New Roman" w:eastAsia="Times New Roman" w:hAnsi="Times New Roman"/>
          <w:color w:val="1A1A2A"/>
          <w:sz w:val="20"/>
          <w:szCs w:val="20"/>
        </w:rPr>
        <w:t xml:space="preserve">Any entity that a Client reasonably considers a competitor with respect to the specific Engagement, including (as applicable) Operators, non-operators, mineral/royalty aggregators, private equity-backed platforms, midstream providers, OFS providers, and trading/marketing entities.</w:t>
      </w:r>
    </w:p>
    <w:p>
      <w:pPr>
        <w:pStyle w:val="Heading2"/>
        <w:spacing w:before="200" w:after="80"/>
      </w:pPr>
      <w:r>
        <w:rPr>
          <w:rFonts w:ascii="Times New Roman" w:cs="Times New Roman" w:eastAsia="Times New Roman" w:hAnsi="Times New Roman"/>
          <w:b/>
          <w:bCs/>
          <w:color w:val="1B2A5E"/>
          <w:sz w:val="22"/>
          <w:szCs w:val="22"/>
        </w:rPr>
        <w:t xml:space="preserve">3.6  Matter / Engagement</w:t>
      </w:r>
    </w:p>
    <w:p>
      <w:pPr>
        <w:spacing w:before="60" w:after="100"/>
        <w:jc w:val="both"/>
      </w:pPr>
      <w:r>
        <w:rPr>
          <w:rFonts w:ascii="Times New Roman" w:cs="Times New Roman" w:eastAsia="Times New Roman" w:hAnsi="Times New Roman"/>
          <w:color w:val="1A1A2A"/>
          <w:sz w:val="20"/>
          <w:szCs w:val="20"/>
        </w:rPr>
        <w:t xml:space="preserve">A defined project or advisory relationship for a Client, whether under a master services agreement, statement of work, work order, or informal advisory arrangement, including any related phases, extensions, change orders, and follow-on services.</w:t>
      </w:r>
    </w:p>
    <w:p>
      <w:pPr>
        <w:pStyle w:val="Heading2"/>
        <w:spacing w:before="200" w:after="80"/>
      </w:pPr>
      <w:r>
        <w:rPr>
          <w:rFonts w:ascii="Times New Roman" w:cs="Times New Roman" w:eastAsia="Times New Roman" w:hAnsi="Times New Roman"/>
          <w:b/>
          <w:bCs/>
          <w:color w:val="1B2A5E"/>
          <w:sz w:val="22"/>
          <w:szCs w:val="22"/>
        </w:rPr>
        <w:t xml:space="preserve">3.7  Confidential Information</w:t>
      </w:r>
    </w:p>
    <w:p>
      <w:pPr>
        <w:spacing w:before="60" w:after="100"/>
        <w:jc w:val="both"/>
      </w:pPr>
      <w:r>
        <w:rPr>
          <w:rFonts w:ascii="Times New Roman" w:cs="Times New Roman" w:eastAsia="Times New Roman" w:hAnsi="Times New Roman"/>
          <w:color w:val="1A1A2A"/>
          <w:sz w:val="20"/>
          <w:szCs w:val="20"/>
        </w:rPr>
        <w:t xml:space="preserve">Non-public information of a Client or other disclosing party, including technical, commercial, financial, operational, subsurface, geologic/geophysical, reservoir, production, pricing, deal, vendor, contract, land, regulatory, and security information, and any analyses, models, compilations, or derivative materials that reflect such information.</w:t>
      </w:r>
    </w:p>
    <w:p>
      <w:pPr>
        <w:pStyle w:val="Heading2"/>
        <w:spacing w:before="200" w:after="80"/>
      </w:pPr>
      <w:r>
        <w:rPr>
          <w:rFonts w:ascii="Times New Roman" w:cs="Times New Roman" w:eastAsia="Times New Roman" w:hAnsi="Times New Roman"/>
          <w:b/>
          <w:bCs/>
          <w:color w:val="1B2A5E"/>
          <w:sz w:val="22"/>
          <w:szCs w:val="22"/>
        </w:rPr>
        <w:t xml:space="preserve">3.8  Information Barriers / "Ethical Walls"</w:t>
      </w:r>
    </w:p>
    <w:p>
      <w:pPr>
        <w:spacing w:before="60" w:after="100"/>
        <w:jc w:val="both"/>
      </w:pPr>
      <w:r>
        <w:rPr>
          <w:rFonts w:ascii="Times New Roman" w:cs="Times New Roman" w:eastAsia="Times New Roman" w:hAnsi="Times New Roman"/>
          <w:color w:val="1A1A2A"/>
          <w:sz w:val="20"/>
          <w:szCs w:val="20"/>
        </w:rPr>
        <w:t xml:space="preserve">A set of administrative, technical, and behavioral controls designed to prevent Confidential Information from being accessed by or communicated to personnel working on another Engagement (or any other person without a need to know).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Policy Statement</w:t>
      </w:r>
    </w:p>
    <w:p>
      <w:pPr>
        <w:spacing w:before="60" w:after="100"/>
        <w:jc w:val="both"/>
      </w:pPr>
      <w:r>
        <w:rPr>
          <w:rFonts w:ascii="Times New Roman" w:cs="Times New Roman" w:eastAsia="Times New Roman" w:hAnsi="Times New Roman"/>
          <w:color w:val="1A1A2A"/>
          <w:sz w:val="20"/>
          <w:szCs w:val="20"/>
        </w:rPr>
        <w:t xml:space="preserve">Celerity will:</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Identify and evaluate </w:t>
      </w:r>
      <w:r>
        <w:rPr>
          <w:rFonts w:ascii="Times New Roman" w:cs="Times New Roman" w:eastAsia="Times New Roman" w:hAnsi="Times New Roman"/>
          <w:color w:val="1A1A2A"/>
          <w:sz w:val="20"/>
          <w:szCs w:val="20"/>
        </w:rPr>
        <w:t xml:space="preserve">Conflicts and Potential Conflicts before commencing an Engagement and on an ongoing basis.</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Disclose </w:t>
      </w:r>
      <w:r>
        <w:rPr>
          <w:rFonts w:ascii="Times New Roman" w:cs="Times New Roman" w:eastAsia="Times New Roman" w:hAnsi="Times New Roman"/>
          <w:color w:val="1A1A2A"/>
          <w:sz w:val="20"/>
          <w:szCs w:val="20"/>
        </w:rPr>
        <w:t xml:space="preserve">material Conflicts or Potential Conflicts to affected Clients in a timely, transparent manner.</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Obtain informed written consent </w:t>
      </w:r>
      <w:r>
        <w:rPr>
          <w:rFonts w:ascii="Times New Roman" w:cs="Times New Roman" w:eastAsia="Times New Roman" w:hAnsi="Times New Roman"/>
          <w:color w:val="1A1A2A"/>
          <w:sz w:val="20"/>
          <w:szCs w:val="20"/>
        </w:rPr>
        <w:t xml:space="preserve">from affected Clients where appropriate before proceeding.</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b/>
          <w:bCs/>
          <w:color w:val="1A1A2A"/>
          <w:sz w:val="20"/>
          <w:szCs w:val="20"/>
        </w:rPr>
        <w:t xml:space="preserve">Implement and enforce Information Barriers </w:t>
      </w:r>
      <w:r>
        <w:rPr>
          <w:rFonts w:ascii="Times New Roman" w:cs="Times New Roman" w:eastAsia="Times New Roman" w:hAnsi="Times New Roman"/>
          <w:color w:val="1A1A2A"/>
          <w:sz w:val="20"/>
          <w:szCs w:val="20"/>
        </w:rPr>
        <w:t xml:space="preserve">and other mitigation measures when multiple Engagements create competitive sensitivity.</w:t>
      </w:r>
    </w:p>
    <w:p>
      <w:pPr>
        <w:spacing w:before="40" w:after="60"/>
        <w:ind w:left="720" w:hanging="360"/>
        <w:jc w:val="both"/>
      </w:pPr>
      <w:r>
        <w:rPr>
          <w:rFonts w:ascii="Times New Roman" w:cs="Times New Roman" w:eastAsia="Times New Roman" w:hAnsi="Times New Roman"/>
          <w:b/>
          <w:bCs/>
          <w:color w:val="1A1A2A"/>
          <w:sz w:val="20"/>
          <w:szCs w:val="20"/>
        </w:rPr>
        <w:t xml:space="preserve">5.  </w:t>
      </w:r>
      <w:r>
        <w:rPr>
          <w:rFonts w:ascii="Times New Roman" w:cs="Times New Roman" w:eastAsia="Times New Roman" w:hAnsi="Times New Roman"/>
          <w:b/>
          <w:bCs/>
          <w:color w:val="1A1A2A"/>
          <w:sz w:val="20"/>
          <w:szCs w:val="20"/>
        </w:rPr>
        <w:t xml:space="preserve">Decline, narrow, or terminate </w:t>
      </w:r>
      <w:r>
        <w:rPr>
          <w:rFonts w:ascii="Times New Roman" w:cs="Times New Roman" w:eastAsia="Times New Roman" w:hAnsi="Times New Roman"/>
          <w:color w:val="1A1A2A"/>
          <w:sz w:val="20"/>
          <w:szCs w:val="20"/>
        </w:rPr>
        <w:t xml:space="preserve">an Engagement when Conflicts cannot be adequately mitigated through disclosure, consent, and controls.</w:t>
      </w:r>
    </w:p>
    <w:p>
      <w:pPr>
        <w:spacing w:before="60" w:after="100"/>
        <w:jc w:val="both"/>
      </w:pPr>
      <w:r>
        <w:rPr>
          <w:rFonts w:ascii="Times New Roman" w:cs="Times New Roman" w:eastAsia="Times New Roman" w:hAnsi="Times New Roman"/>
          <w:color w:val="1A1A2A"/>
          <w:sz w:val="20"/>
          <w:szCs w:val="20"/>
        </w:rPr>
        <w:t xml:space="preserve">Nothing in this policy authorizes disclosure of any Client's Confidential Information to any other client or third party.</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Pre-Engagement Conflict Check Process</w:t>
      </w:r>
    </w:p>
    <w:p>
      <w:pPr>
        <w:pStyle w:val="Heading2"/>
        <w:spacing w:before="200" w:after="80"/>
      </w:pPr>
      <w:r>
        <w:rPr>
          <w:rFonts w:ascii="Times New Roman" w:cs="Times New Roman" w:eastAsia="Times New Roman" w:hAnsi="Times New Roman"/>
          <w:b/>
          <w:bCs/>
          <w:color w:val="1B2A5E"/>
          <w:sz w:val="22"/>
          <w:szCs w:val="22"/>
        </w:rPr>
        <w:t xml:space="preserve">5.1  When Required</w:t>
      </w:r>
    </w:p>
    <w:p>
      <w:pPr>
        <w:spacing w:before="60" w:after="100"/>
        <w:jc w:val="both"/>
      </w:pPr>
      <w:r>
        <w:rPr>
          <w:rFonts w:ascii="Times New Roman" w:cs="Times New Roman" w:eastAsia="Times New Roman" w:hAnsi="Times New Roman"/>
          <w:color w:val="1A1A2A"/>
          <w:sz w:val="20"/>
          <w:szCs w:val="20"/>
        </w:rPr>
        <w:t xml:space="preserve">A conflict check must be completed: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before issuing a proposal that identifies a specific Basin/asset/Matter, where practicable;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 all cases before accepting an SOW/work order or beginning services;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before adding a new workstream that may change competitive sensitivity.</w:t>
      </w:r>
    </w:p>
    <w:p>
      <w:pPr>
        <w:pStyle w:val="Heading2"/>
        <w:spacing w:before="200" w:after="80"/>
      </w:pPr>
      <w:r>
        <w:rPr>
          <w:rFonts w:ascii="Times New Roman" w:cs="Times New Roman" w:eastAsia="Times New Roman" w:hAnsi="Times New Roman"/>
          <w:b/>
          <w:bCs/>
          <w:color w:val="1B2A5E"/>
          <w:sz w:val="22"/>
          <w:szCs w:val="22"/>
        </w:rPr>
        <w:t xml:space="preserve">5.2  Information Collected (Minimum)</w:t>
      </w:r>
    </w:p>
    <w:p>
      <w:pPr>
        <w:spacing w:before="60" w:after="100"/>
        <w:jc w:val="both"/>
      </w:pPr>
      <w:r>
        <w:rPr>
          <w:rFonts w:ascii="Times New Roman" w:cs="Times New Roman" w:eastAsia="Times New Roman" w:hAnsi="Times New Roman"/>
          <w:color w:val="1A1A2A"/>
          <w:sz w:val="20"/>
          <w:szCs w:val="20"/>
        </w:rPr>
        <w:t xml:space="preserve">The Engagement Lead must submit a conflict check request to the Conflict Officer including: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 name, affiliates, sponsor/investor (if relevant);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Basin(s), counties/fields, asset class (upstream/midstream/marketing), and general thesis;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scope summary and expected deliverables;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known or likely Competitors and counterparties;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anticipated staffing (including subcontractors);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whether Celerity will access particularly sensitive data (e.g., data room, bid strategy, vendor pricing, marketing contracts, reserves models);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anticipated term and intensity (hours/week; onsite vs remote).</w:t>
      </w:r>
    </w:p>
    <w:p>
      <w:pPr>
        <w:pStyle w:val="Heading2"/>
        <w:spacing w:before="200" w:after="80"/>
      </w:pPr>
      <w:r>
        <w:rPr>
          <w:rFonts w:ascii="Times New Roman" w:cs="Times New Roman" w:eastAsia="Times New Roman" w:hAnsi="Times New Roman"/>
          <w:b/>
          <w:bCs/>
          <w:color w:val="1B2A5E"/>
          <w:sz w:val="22"/>
          <w:szCs w:val="22"/>
        </w:rPr>
        <w:t xml:space="preserve">5.3  Conflict Officer Review</w:t>
      </w:r>
    </w:p>
    <w:p>
      <w:pPr>
        <w:spacing w:before="60" w:after="100"/>
        <w:jc w:val="both"/>
      </w:pPr>
      <w:r>
        <w:rPr>
          <w:rFonts w:ascii="Times New Roman" w:cs="Times New Roman" w:eastAsia="Times New Roman" w:hAnsi="Times New Roman"/>
          <w:color w:val="1A1A2A"/>
          <w:sz w:val="20"/>
          <w:szCs w:val="20"/>
        </w:rPr>
        <w:t xml:space="preserve">The Conflict Officer (or delegate) will review current and recent engagements within </w:t>
      </w:r>
      <w:r>
        <w:rPr>
          <w:rFonts w:ascii="Times New Roman" w:cs="Times New Roman" w:eastAsia="Times New Roman" w:hAnsi="Times New Roman"/>
          <w:i/>
          <w:iCs/>
          <w:color w:val="5A6070"/>
          <w:sz w:val="20"/>
          <w:szCs w:val="20"/>
          <w:highlight w:val="yellow"/>
        </w:rPr>
        <w:t xml:space="preserve">[12–24]</w:t>
      </w:r>
      <w:r>
        <w:rPr>
          <w:rFonts w:ascii="Times New Roman" w:cs="Times New Roman" w:eastAsia="Times New Roman" w:hAnsi="Times New Roman"/>
          <w:color w:val="1A1A2A"/>
          <w:sz w:val="20"/>
          <w:szCs w:val="20"/>
        </w:rPr>
        <w:t xml:space="preserve"> months, including overlaps by Basin, asset target, counterparty, commercial strategy, personnel, and deliverables, and whether Information Barriers can reasonably mitigate the risk, and whether client-specific restrictions apply (Section 7).</w:t>
      </w:r>
    </w:p>
    <w:p>
      <w:pPr>
        <w:spacing w:before="60" w:after="100"/>
        <w:jc w:val="both"/>
      </w:pPr>
      <w:r>
        <w:rPr>
          <w:rFonts w:ascii="Times New Roman" w:cs="Times New Roman" w:eastAsia="Times New Roman" w:hAnsi="Times New Roman"/>
          <w:color w:val="1A1A2A"/>
          <w:sz w:val="20"/>
          <w:szCs w:val="20"/>
        </w:rPr>
        <w:t xml:space="preserve">The outcome will be recorded as: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Clear</w:t>
            </w:r>
          </w:p>
        </w:tc>
        <w:tc>
          <w:tcPr>
            <w:tcW w:type="dxa" w:w="7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No Conflict identified.</w:t>
            </w:r>
          </w:p>
        </w:tc>
      </w:tr>
      <w:tr>
        <w:tc>
          <w:tcPr>
            <w:tcW w:type="dxa" w:w="18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Proceed with Controls</w:t>
            </w:r>
          </w:p>
        </w:tc>
        <w:tc>
          <w:tcPr>
            <w:tcW w:type="dxa" w:w="7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Information Barrier required and documented.</w:t>
            </w:r>
          </w:p>
        </w:tc>
      </w:tr>
      <w:tr>
        <w:tc>
          <w:tcPr>
            <w:tcW w:type="dxa" w:w="18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Disclose for Consent</w:t>
            </w:r>
          </w:p>
        </w:tc>
        <w:tc>
          <w:tcPr>
            <w:tcW w:type="dxa" w:w="7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Client disclosure required prior to proceeding.</w:t>
            </w:r>
          </w:p>
        </w:tc>
      </w:tr>
      <w:tr>
        <w:tc>
          <w:tcPr>
            <w:tcW w:type="dxa" w:w="18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Decline / Not Acceptable</w:t>
            </w:r>
          </w:p>
        </w:tc>
        <w:tc>
          <w:tcPr>
            <w:tcW w:type="dxa" w:w="7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Cannot proceed.</w:t>
            </w:r>
          </w:p>
        </w:tc>
      </w:tr>
      <w:tr>
        <w:tc>
          <w:tcPr>
            <w:tcW w:type="dxa" w:w="18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Escalate</w:t>
            </w:r>
          </w:p>
        </w:tc>
        <w:tc>
          <w:tcPr>
            <w:tcW w:type="dxa" w:w="7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Managing Partner decision required.</w:t>
            </w:r>
          </w:p>
        </w:tc>
      </w:tr>
    </w:tbl>
    <w:p>
      <w:pPr>
        <w:spacing w:before="80" w:after="60"/>
      </w:pP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Disclosure and Consent Process</w:t>
      </w:r>
    </w:p>
    <w:p>
      <w:pPr>
        <w:pStyle w:val="Heading2"/>
        <w:spacing w:before="200" w:after="80"/>
      </w:pPr>
      <w:r>
        <w:rPr>
          <w:rFonts w:ascii="Times New Roman" w:cs="Times New Roman" w:eastAsia="Times New Roman" w:hAnsi="Times New Roman"/>
          <w:b/>
          <w:bCs/>
          <w:color w:val="1B2A5E"/>
          <w:sz w:val="22"/>
          <w:szCs w:val="22"/>
        </w:rPr>
        <w:t xml:space="preserve">6.1  When Disclosure Is Required</w:t>
      </w:r>
    </w:p>
    <w:p>
      <w:pPr>
        <w:spacing w:before="60" w:after="100"/>
        <w:jc w:val="both"/>
      </w:pPr>
      <w:r>
        <w:rPr>
          <w:rFonts w:ascii="Times New Roman" w:cs="Times New Roman" w:eastAsia="Times New Roman" w:hAnsi="Times New Roman"/>
          <w:color w:val="1A1A2A"/>
          <w:sz w:val="20"/>
          <w:szCs w:val="20"/>
        </w:rPr>
        <w:t xml:space="preserve">Disclosure is required when: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is simultaneously (or recently) engaged by two or more Operators/Competitors in the same Basin with materially overlapping objectives;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is asked to advise on bid strategy, asset targeting, negotiations, valuation, marketing/basis strategy, or other competitively sensitive decisions;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personnel would otherwise sit on both teams or have access to both clients' sensitive materials;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 reasonable Client would expect disclosure due to perceived competitive sensitivity.</w:t>
      </w:r>
    </w:p>
    <w:p>
      <w:pPr>
        <w:pStyle w:val="Heading2"/>
        <w:spacing w:before="200" w:after="80"/>
      </w:pPr>
      <w:r>
        <w:rPr>
          <w:rFonts w:ascii="Times New Roman" w:cs="Times New Roman" w:eastAsia="Times New Roman" w:hAnsi="Times New Roman"/>
          <w:b/>
          <w:bCs/>
          <w:color w:val="1B2A5E"/>
          <w:sz w:val="22"/>
          <w:szCs w:val="22"/>
        </w:rPr>
        <w:t xml:space="preserve">6.2  Disclosure Content (Client-Shareable)</w:t>
      </w:r>
    </w:p>
    <w:p>
      <w:pPr>
        <w:spacing w:before="60" w:after="100"/>
        <w:jc w:val="both"/>
      </w:pPr>
      <w:r>
        <w:rPr>
          <w:rFonts w:ascii="Times New Roman" w:cs="Times New Roman" w:eastAsia="Times New Roman" w:hAnsi="Times New Roman"/>
          <w:color w:val="1A1A2A"/>
          <w:sz w:val="20"/>
          <w:szCs w:val="20"/>
        </w:rPr>
        <w:t xml:space="preserve">Disclosures should be specific enough for informed consent while protecting other clients' confidentiality. Celerity will disclose, as appropriate: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that Celerity currently works (or has worked) for one or more other clients in the same Basin or competitive space;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the general nature of the other engagement(s) at a high level (e.g., "technical diligence support," "operations optimization," "commercial analytics"), without identifying confidential details;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the controls Celerity will implement (Information Barriers, staffing separation, access control);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limitations on scope Celerity proposes (e.g., no bid strategy, no redline support, no negotiation support);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requested client-specific restrictions;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contact and escalation path for concerns.</w:t>
      </w:r>
    </w:p>
    <w:p>
      <w:pPr>
        <w:pStyle w:val="Heading2"/>
        <w:spacing w:before="200" w:after="80"/>
      </w:pPr>
      <w:r>
        <w:rPr>
          <w:rFonts w:ascii="Times New Roman" w:cs="Times New Roman" w:eastAsia="Times New Roman" w:hAnsi="Times New Roman"/>
          <w:b/>
          <w:bCs/>
          <w:color w:val="1B2A5E"/>
          <w:sz w:val="22"/>
          <w:szCs w:val="22"/>
        </w:rPr>
        <w:t xml:space="preserve">6.3  Consent Mechanics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Consent must be </w:t>
      </w:r>
      <w:r>
        <w:rPr>
          <w:rFonts w:ascii="Times New Roman" w:cs="Times New Roman" w:eastAsia="Times New Roman" w:hAnsi="Times New Roman"/>
          <w:b/>
          <w:bCs/>
          <w:color w:val="1A1A2A"/>
          <w:sz w:val="20"/>
          <w:szCs w:val="20"/>
        </w:rPr>
        <w:t xml:space="preserve">in writing</w:t>
      </w:r>
      <w:r>
        <w:rPr>
          <w:rFonts w:ascii="Times New Roman" w:cs="Times New Roman" w:eastAsia="Times New Roman" w:hAnsi="Times New Roman"/>
          <w:color w:val="1A1A2A"/>
          <w:sz w:val="20"/>
          <w:szCs w:val="20"/>
        </w:rPr>
        <w:t xml:space="preserve"> (email acceptable) from an authorized client representative.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Consent may be conditioned (e.g., defined scope carve-outs, named personnel exclusions, heightened controls).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consent is not obtained within </w:t>
      </w:r>
      <w:r>
        <w:rPr>
          <w:rFonts w:ascii="Times New Roman" w:cs="Times New Roman" w:eastAsia="Times New Roman" w:hAnsi="Times New Roman"/>
          <w:i/>
          <w:iCs/>
          <w:color w:val="5A6070"/>
          <w:sz w:val="20"/>
          <w:szCs w:val="20"/>
          <w:highlight w:val="yellow"/>
        </w:rPr>
        <w:t xml:space="preserve">[10]</w:t>
      </w:r>
      <w:r>
        <w:rPr>
          <w:rFonts w:ascii="Times New Roman" w:cs="Times New Roman" w:eastAsia="Times New Roman" w:hAnsi="Times New Roman"/>
          <w:color w:val="1A1A2A"/>
          <w:sz w:val="20"/>
          <w:szCs w:val="20"/>
        </w:rPr>
        <w:t xml:space="preserve"> business days (or earlier if schedule requires), Celerity may pause onboarding or decline the Engagement.</w:t>
      </w:r>
    </w:p>
    <w:p>
      <w:pPr>
        <w:pStyle w:val="Heading2"/>
        <w:spacing w:before="200" w:after="80"/>
      </w:pPr>
      <w:r>
        <w:rPr>
          <w:rFonts w:ascii="Times New Roman" w:cs="Times New Roman" w:eastAsia="Times New Roman" w:hAnsi="Times New Roman"/>
          <w:b/>
          <w:bCs/>
          <w:color w:val="1B2A5E"/>
          <w:sz w:val="22"/>
          <w:szCs w:val="22"/>
        </w:rPr>
        <w:t xml:space="preserve">6.4  Refusal to Consent</w:t>
      </w:r>
    </w:p>
    <w:p>
      <w:pPr>
        <w:spacing w:before="60" w:after="100"/>
        <w:jc w:val="both"/>
      </w:pPr>
      <w:r>
        <w:rPr>
          <w:rFonts w:ascii="Times New Roman" w:cs="Times New Roman" w:eastAsia="Times New Roman" w:hAnsi="Times New Roman"/>
          <w:color w:val="1A1A2A"/>
          <w:sz w:val="20"/>
          <w:szCs w:val="20"/>
        </w:rPr>
        <w:t xml:space="preserve">If a Client declines consent, Celerity will: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propose reasonable alternatives (scope limitations or staffing separation);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decline/terminate the affected scope as necessary.</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Client-Specific Restrictions (Optional, by Agreement)</w:t>
      </w:r>
    </w:p>
    <w:p>
      <w:pPr>
        <w:pStyle w:val="Heading2"/>
        <w:spacing w:before="200" w:after="80"/>
      </w:pPr>
      <w:r>
        <w:rPr>
          <w:rFonts w:ascii="Times New Roman" w:cs="Times New Roman" w:eastAsia="Times New Roman" w:hAnsi="Times New Roman"/>
          <w:b/>
          <w:bCs/>
          <w:color w:val="1B2A5E"/>
          <w:sz w:val="22"/>
          <w:szCs w:val="22"/>
        </w:rPr>
        <w:t xml:space="preserve">7.1  "No Direct Competitor Engagements" Restriction (If Agreed)</w:t>
      </w:r>
    </w:p>
    <w:p>
      <w:pPr>
        <w:spacing w:before="60" w:after="100"/>
        <w:jc w:val="both"/>
      </w:pPr>
      <w:r>
        <w:rPr>
          <w:rFonts w:ascii="Times New Roman" w:cs="Times New Roman" w:eastAsia="Times New Roman" w:hAnsi="Times New Roman"/>
          <w:color w:val="1A1A2A"/>
          <w:sz w:val="20"/>
          <w:szCs w:val="20"/>
        </w:rPr>
        <w:t xml:space="preserve">If agreed in writing with a Client for a specific Engagement, Celerity will not accept an Engagement for a direct Competitor in the same Basin for the restricted scope during the restricted period stated in the relevant SOW/addendum.</w:t>
      </w:r>
    </w:p>
    <w:p>
      <w:pPr>
        <w:spacing w:before="60" w:after="100"/>
        <w:jc w:val="both"/>
      </w:pPr>
      <w:r>
        <w:rPr>
          <w:rFonts w:ascii="Times New Roman" w:cs="Times New Roman" w:eastAsia="Times New Roman" w:hAnsi="Times New Roman"/>
          <w:b/>
          <w:bCs/>
          <w:color w:val="1A1A2A"/>
          <w:sz w:val="20"/>
          <w:szCs w:val="20"/>
        </w:rPr>
        <w:t xml:space="preserve">Default restriction template (optional):  </w:t>
      </w:r>
      <w:r>
        <w:rPr>
          <w:rFonts w:ascii="Times New Roman" w:cs="Times New Roman" w:eastAsia="Times New Roman" w:hAnsi="Times New Roman"/>
          <w:color w:val="1A1A2A"/>
          <w:sz w:val="20"/>
          <w:szCs w:val="20"/>
        </w:rPr>
        <w:t xml:space="preserve">During the Engagement and for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months after, Celerity will not provide </w:t>
      </w:r>
      <w:r>
        <w:rPr>
          <w:rFonts w:ascii="Times New Roman" w:cs="Times New Roman" w:eastAsia="Times New Roman" w:hAnsi="Times New Roman"/>
          <w:i/>
          <w:iCs/>
          <w:color w:val="5A6070"/>
          <w:sz w:val="20"/>
          <w:szCs w:val="20"/>
          <w:highlight w:val="yellow"/>
        </w:rPr>
        <w:t xml:space="preserve">[A&amp;D bid strategy / asset-target list development / negotiation support / proprietary type curve development]</w:t>
      </w:r>
      <w:r>
        <w:rPr>
          <w:rFonts w:ascii="Times New Roman" w:cs="Times New Roman" w:eastAsia="Times New Roman" w:hAnsi="Times New Roman"/>
          <w:color w:val="1A1A2A"/>
          <w:sz w:val="20"/>
          <w:szCs w:val="20"/>
        </w:rPr>
        <w:t xml:space="preserve"> in </w:t>
      </w:r>
      <w:r>
        <w:rPr>
          <w:rFonts w:ascii="Times New Roman" w:cs="Times New Roman" w:eastAsia="Times New Roman" w:hAnsi="Times New Roman"/>
          <w:i/>
          <w:iCs/>
          <w:color w:val="5A6070"/>
          <w:sz w:val="20"/>
          <w:szCs w:val="20"/>
          <w:highlight w:val="yellow"/>
        </w:rPr>
        <w:t xml:space="preserve">[BASIN]</w:t>
      </w:r>
      <w:r>
        <w:rPr>
          <w:rFonts w:ascii="Times New Roman" w:cs="Times New Roman" w:eastAsia="Times New Roman" w:hAnsi="Times New Roman"/>
          <w:color w:val="1A1A2A"/>
          <w:sz w:val="20"/>
          <w:szCs w:val="20"/>
        </w:rPr>
        <w:t xml:space="preserve"> to a direct Competitor of Client identified in writing.</w:t>
      </w:r>
    </w:p>
    <w:p>
      <w:pPr>
        <w:pStyle w:val="Heading2"/>
        <w:spacing w:before="200" w:after="80"/>
      </w:pPr>
      <w:r>
        <w:rPr>
          <w:rFonts w:ascii="Times New Roman" w:cs="Times New Roman" w:eastAsia="Times New Roman" w:hAnsi="Times New Roman"/>
          <w:b/>
          <w:bCs/>
          <w:color w:val="1B2A5E"/>
          <w:sz w:val="22"/>
          <w:szCs w:val="22"/>
        </w:rPr>
        <w:t xml:space="preserve">7.2  Carve-Outs (Default)</w:t>
      </w:r>
    </w:p>
    <w:p>
      <w:pPr>
        <w:spacing w:before="60" w:after="100"/>
        <w:jc w:val="both"/>
      </w:pPr>
      <w:r>
        <w:rPr>
          <w:rFonts w:ascii="Times New Roman" w:cs="Times New Roman" w:eastAsia="Times New Roman" w:hAnsi="Times New Roman"/>
          <w:color w:val="1A1A2A"/>
          <w:sz w:val="20"/>
          <w:szCs w:val="20"/>
        </w:rPr>
        <w:t xml:space="preserve">Unless expressly restricted in writing, the following are generally permissible with appropriate Information Barriers: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providing non-sensitive, general services (e.g., training, general market studies, tooling support) to multiple Operators in the same Basin;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providing services to different asset types (e.g., upstream vs midstream) with no overlap in counterparty or strategy;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engagements that use public data or client-provided data that does not include competitively sensitive materials.</w:t>
      </w:r>
    </w:p>
    <w:p>
      <w:pPr>
        <w:pStyle w:val="Heading2"/>
        <w:spacing w:before="200" w:after="80"/>
      </w:pPr>
      <w:r>
        <w:rPr>
          <w:rFonts w:ascii="Times New Roman" w:cs="Times New Roman" w:eastAsia="Times New Roman" w:hAnsi="Times New Roman"/>
          <w:b/>
          <w:bCs/>
          <w:color w:val="1B2A5E"/>
          <w:sz w:val="22"/>
          <w:szCs w:val="22"/>
        </w:rPr>
        <w:t xml:space="preserve">7.3  Named-Account or Named-Operator Exclusions</w:t>
      </w:r>
    </w:p>
    <w:p>
      <w:pPr>
        <w:spacing w:before="60" w:after="100"/>
        <w:jc w:val="both"/>
      </w:pPr>
      <w:r>
        <w:rPr>
          <w:rFonts w:ascii="Times New Roman" w:cs="Times New Roman" w:eastAsia="Times New Roman" w:hAnsi="Times New Roman"/>
          <w:color w:val="1A1A2A"/>
          <w:sz w:val="20"/>
          <w:szCs w:val="20"/>
        </w:rPr>
        <w:t xml:space="preserve">If a Client requires, Celerity may agree to exclude work for certain named Operators/Competitors for a defined period and scope, documented in an SOW or addendum.</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Information Barrier Requirements ("Ethical Wall")</w:t>
      </w:r>
    </w:p>
    <w:p>
      <w:pPr>
        <w:spacing w:before="60" w:after="100"/>
        <w:jc w:val="both"/>
      </w:pPr>
      <w:r>
        <w:rPr>
          <w:rFonts w:ascii="Times New Roman" w:cs="Times New Roman" w:eastAsia="Times New Roman" w:hAnsi="Times New Roman"/>
          <w:color w:val="1A1A2A"/>
          <w:sz w:val="20"/>
          <w:szCs w:val="20"/>
        </w:rPr>
        <w:t xml:space="preserve">When Information Barriers are required, Celerity will implement controls proportionate to risk, including the following minimum standards.</w:t>
      </w:r>
    </w:p>
    <w:p>
      <w:pPr>
        <w:pStyle w:val="Heading2"/>
        <w:spacing w:before="200" w:after="80"/>
      </w:pPr>
      <w:r>
        <w:rPr>
          <w:rFonts w:ascii="Times New Roman" w:cs="Times New Roman" w:eastAsia="Times New Roman" w:hAnsi="Times New Roman"/>
          <w:b/>
          <w:bCs/>
          <w:color w:val="1B2A5E"/>
          <w:sz w:val="22"/>
          <w:szCs w:val="22"/>
        </w:rPr>
        <w:t xml:space="preserve">8.1  Staffing Separation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individual may be staffed on two competing Engagements in the same Basin involving competitively sensitive scope unless the Conflict Officer approves in writing with specific mitigations.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Shared leadership (e.g., Managing Partner oversight) is permitted only if that individual does not access competitively sensitive details and complies with need-to-know limitations.</w:t>
      </w:r>
    </w:p>
    <w:p>
      <w:pPr>
        <w:pStyle w:val="Heading2"/>
        <w:spacing w:before="200" w:after="80"/>
      </w:pPr>
      <w:r>
        <w:rPr>
          <w:rFonts w:ascii="Times New Roman" w:cs="Times New Roman" w:eastAsia="Times New Roman" w:hAnsi="Times New Roman"/>
          <w:b/>
          <w:bCs/>
          <w:color w:val="1B2A5E"/>
          <w:sz w:val="22"/>
          <w:szCs w:val="22"/>
        </w:rPr>
        <w:t xml:space="preserve">8.2  Access Controls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Separate project workspaces (e.g., segregated Teams/SharePoint/Drive folders) with access granted only to authorized team members.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Least-privilege permissions; no broad group access.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MFA enabled for relevant systems where available.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Data rooms and client systems access limited to named users.</w:t>
      </w:r>
    </w:p>
    <w:p>
      <w:pPr>
        <w:pStyle w:val="Heading2"/>
        <w:spacing w:before="200" w:after="80"/>
      </w:pPr>
      <w:r>
        <w:rPr>
          <w:rFonts w:ascii="Times New Roman" w:cs="Times New Roman" w:eastAsia="Times New Roman" w:hAnsi="Times New Roman"/>
          <w:b/>
          <w:bCs/>
          <w:color w:val="1B2A5E"/>
          <w:sz w:val="22"/>
          <w:szCs w:val="22"/>
        </w:rPr>
        <w:t xml:space="preserve">8.3  Document Labeling and Handling</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NAME] — CONFIDENTIAL — Need to Know</w:t>
      </w:r>
      <w:r>
        <w:rPr>
          <w:rFonts w:ascii="Times New Roman" w:cs="Times New Roman" w:eastAsia="Times New Roman" w:hAnsi="Times New Roman"/>
          <w:color w:val="1A1A2A"/>
          <w:sz w:val="20"/>
          <w:szCs w:val="20"/>
        </w:rPr>
        <w:t xml:space="preserve"> label required on all client materials and derived work.</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cross-client copy/paste of client-specific assumptions, vendor pricing, or deal terms.</w:t>
      </w:r>
    </w:p>
    <w:p>
      <w:pPr>
        <w:pStyle w:val="Heading2"/>
        <w:spacing w:before="200" w:after="80"/>
      </w:pPr>
      <w:r>
        <w:rPr>
          <w:rFonts w:ascii="Times New Roman" w:cs="Times New Roman" w:eastAsia="Times New Roman" w:hAnsi="Times New Roman"/>
          <w:b/>
          <w:bCs/>
          <w:color w:val="1B2A5E"/>
          <w:sz w:val="22"/>
          <w:szCs w:val="22"/>
        </w:rPr>
        <w:t xml:space="preserve">8.4  Meeting and Communication Protocols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joint meetings, shared calls, or shared chat channels between competing engagement teams.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Engagement-specific calendars and distribution lists.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Meeting notes stored only in the relevant segregated workspace.</w:t>
      </w:r>
    </w:p>
    <w:p>
      <w:pPr>
        <w:pStyle w:val="Heading2"/>
        <w:spacing w:before="200" w:after="80"/>
      </w:pPr>
      <w:r>
        <w:rPr>
          <w:rFonts w:ascii="Times New Roman" w:cs="Times New Roman" w:eastAsia="Times New Roman" w:hAnsi="Times New Roman"/>
          <w:b/>
          <w:bCs/>
          <w:color w:val="1B2A5E"/>
          <w:sz w:val="22"/>
          <w:szCs w:val="22"/>
        </w:rPr>
        <w:t xml:space="preserve">8.5  Physical and Onsite Protocols (If Applicable)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Avoid printing sensitive materials; if printed, store securely and destroy via secure shredding.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Onsite work: do not discuss confidential topics in public areas; use secure rooms and screens.</w:t>
      </w:r>
    </w:p>
    <w:p>
      <w:pPr>
        <w:pStyle w:val="Heading2"/>
        <w:spacing w:before="200" w:after="80"/>
      </w:pPr>
      <w:r>
        <w:rPr>
          <w:rFonts w:ascii="Times New Roman" w:cs="Times New Roman" w:eastAsia="Times New Roman" w:hAnsi="Times New Roman"/>
          <w:b/>
          <w:bCs/>
          <w:color w:val="1B2A5E"/>
          <w:sz w:val="22"/>
          <w:szCs w:val="22"/>
        </w:rPr>
        <w:t xml:space="preserve">8.6  Monitoring and Compliance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Engagement Leads must confirm barrier implementation at kickoff and upon material scope changes.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Conflict Officer may conduct spot checks.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Data Handling and Confidentiality</w:t>
      </w:r>
    </w:p>
    <w:p>
      <w:pPr>
        <w:spacing w:before="60" w:after="100"/>
        <w:jc w:val="both"/>
      </w:pPr>
      <w:r>
        <w:rPr>
          <w:rFonts w:ascii="Times New Roman" w:cs="Times New Roman" w:eastAsia="Times New Roman" w:hAnsi="Times New Roman"/>
          <w:color w:val="1A1A2A"/>
          <w:sz w:val="20"/>
          <w:szCs w:val="20"/>
        </w:rPr>
        <w:t xml:space="preserve">Celerity will comply with confidentiality obligations in its client agreements and, at a minimum:</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Confidential Information only for the applicable Engagement;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protect Confidential Information using at least reasonable care and no less than Celerity uses to protect its own confidential information;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disclose only to personnel and subcontractors with a need to know and binding confidentiality obligations;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promptly notify the Client of any suspected unauthorized access, disclosure, or breach involving Client Confidential Information, and cooperate in remediation.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Residuals, Templates, and Reusable Know-How</w:t>
      </w:r>
    </w:p>
    <w:p>
      <w:pPr>
        <w:pStyle w:val="Heading2"/>
        <w:spacing w:before="200" w:after="80"/>
      </w:pPr>
      <w:r>
        <w:rPr>
          <w:rFonts w:ascii="Times New Roman" w:cs="Times New Roman" w:eastAsia="Times New Roman" w:hAnsi="Times New Roman"/>
          <w:b/>
          <w:bCs/>
          <w:color w:val="1B2A5E"/>
          <w:sz w:val="22"/>
          <w:szCs w:val="22"/>
        </w:rPr>
        <w:t xml:space="preserve">10.1  Residuals</w:t>
      </w:r>
    </w:p>
    <w:p>
      <w:pPr>
        <w:spacing w:before="60" w:after="100"/>
        <w:jc w:val="both"/>
      </w:pPr>
      <w:r>
        <w:rPr>
          <w:rFonts w:ascii="Times New Roman" w:cs="Times New Roman" w:eastAsia="Times New Roman" w:hAnsi="Times New Roman"/>
          <w:color w:val="1A1A2A"/>
          <w:sz w:val="20"/>
          <w:szCs w:val="20"/>
        </w:rPr>
        <w:t xml:space="preserve">Celerity may use general skills, experience, and non-client-specific know-how retained in unaided memory ("</w:t>
      </w:r>
      <w:r>
        <w:rPr>
          <w:rFonts w:ascii="Times New Roman" w:cs="Times New Roman" w:eastAsia="Times New Roman" w:hAnsi="Times New Roman"/>
          <w:b/>
          <w:bCs/>
          <w:color w:val="1A1A2A"/>
          <w:sz w:val="20"/>
          <w:szCs w:val="20"/>
        </w:rPr>
        <w:t xml:space="preserve">Residuals</w:t>
      </w:r>
      <w:r>
        <w:rPr>
          <w:rFonts w:ascii="Times New Roman" w:cs="Times New Roman" w:eastAsia="Times New Roman" w:hAnsi="Times New Roman"/>
          <w:color w:val="1A1A2A"/>
          <w:sz w:val="20"/>
          <w:szCs w:val="20"/>
        </w:rPr>
        <w:t xml:space="preserve">"), provided Celerity does not disclose or use Client Confidential Information or any client-specific proprietary details.</w:t>
      </w:r>
    </w:p>
    <w:p>
      <w:pPr>
        <w:pStyle w:val="Heading2"/>
        <w:spacing w:before="200" w:after="80"/>
      </w:pPr>
      <w:r>
        <w:rPr>
          <w:rFonts w:ascii="Times New Roman" w:cs="Times New Roman" w:eastAsia="Times New Roman" w:hAnsi="Times New Roman"/>
          <w:b/>
          <w:bCs/>
          <w:color w:val="1B2A5E"/>
          <w:sz w:val="22"/>
          <w:szCs w:val="22"/>
        </w:rPr>
        <w:t xml:space="preserve">10.2  Templates and Frameworks</w:t>
      </w:r>
    </w:p>
    <w:p>
      <w:pPr>
        <w:spacing w:before="60" w:after="100"/>
        <w:jc w:val="both"/>
      </w:pPr>
      <w:r>
        <w:rPr>
          <w:rFonts w:ascii="Times New Roman" w:cs="Times New Roman" w:eastAsia="Times New Roman" w:hAnsi="Times New Roman"/>
          <w:color w:val="1A1A2A"/>
          <w:sz w:val="20"/>
          <w:szCs w:val="20"/>
        </w:rPr>
        <w:t xml:space="preserve">Celerity may use and improve its pre-existing templates, methodologies, frameworks, tools, and checklists across engagements, subject to these rules: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client-specific data, assumptions, vendor pricing, commercial terms, or deal strategy may be incorporated into reusable materials.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When creating "standard" deliverables (e.g., diligence checklists, dashboard shells), teams must sanitize content to remove client identifiers and proprietary details before reuse.</w:t>
      </w:r>
    </w:p>
    <w:p>
      <w:pPr>
        <w:pStyle w:val="Heading2"/>
        <w:spacing w:before="200" w:after="80"/>
      </w:pPr>
      <w:r>
        <w:rPr>
          <w:rFonts w:ascii="Times New Roman" w:cs="Times New Roman" w:eastAsia="Times New Roman" w:hAnsi="Times New Roman"/>
          <w:b/>
          <w:bCs/>
          <w:color w:val="1B2A5E"/>
          <w:sz w:val="22"/>
          <w:szCs w:val="22"/>
        </w:rPr>
        <w:t xml:space="preserve">10.3  Prohibited Conduct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Reverse engineering another client's strategy from Confidential Information.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Using one client's bid range, valuation assumptions, or commercial terms to advise another client.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Subcontractors, Independent Consultants, and Affiliates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Subcontractors and independent consultants must be bound by written agreements containing confidentiality, IP, and conflict compliance obligations at least as protective as this policy.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Subcontractors must be included in conflict checks and are subject to Information Barriers.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Affiliates (if any) participating in an Engagement must comply with this policy as if they were Celerity.</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Gifts, Entertainment, and Improper Influence</w:t>
      </w:r>
    </w:p>
    <w:p>
      <w:pPr>
        <w:spacing w:before="60" w:after="100"/>
        <w:jc w:val="both"/>
      </w:pPr>
      <w:r>
        <w:rPr>
          <w:rFonts w:ascii="Times New Roman" w:cs="Times New Roman" w:eastAsia="Times New Roman" w:hAnsi="Times New Roman"/>
          <w:color w:val="1A1A2A"/>
          <w:sz w:val="20"/>
          <w:szCs w:val="20"/>
        </w:rPr>
        <w:t xml:space="preserve">Celerity personnel must avoid gifts, entertainment, or hospitality that could create a Conflict or the appearance of undue influence.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gifts or entertainment may be offered or accepted if it would violate law or a client policy.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gift/entertainment above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per person must be pre-approved by the Conflict Officer and recorded.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Cash or cash equivalents are prohibited.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Duty to Update Conflicts During an Engagement</w:t>
      </w:r>
    </w:p>
    <w:p>
      <w:pPr>
        <w:spacing w:before="60" w:after="100"/>
        <w:jc w:val="both"/>
      </w:pPr>
      <w:r>
        <w:rPr>
          <w:rFonts w:ascii="Times New Roman" w:cs="Times New Roman" w:eastAsia="Times New Roman" w:hAnsi="Times New Roman"/>
          <w:color w:val="1A1A2A"/>
          <w:sz w:val="20"/>
          <w:szCs w:val="20"/>
        </w:rPr>
        <w:t xml:space="preserve">Conflicts can arise during performance. Personnel must promptly notify the Engagement Lead and Conflict Officer if:</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scope changes create competitive overlap;</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 new Competitor or counterparty becomes relevant;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changes create staffing overlap;</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 team member has a personal/financial interest relevant to the Matter.</w:t>
      </w:r>
    </w:p>
    <w:p>
      <w:pPr>
        <w:spacing w:before="60" w:after="100"/>
        <w:jc w:val="both"/>
      </w:pPr>
      <w:r>
        <w:rPr>
          <w:rFonts w:ascii="Times New Roman" w:cs="Times New Roman" w:eastAsia="Times New Roman" w:hAnsi="Times New Roman"/>
          <w:color w:val="1A1A2A"/>
          <w:sz w:val="20"/>
          <w:szCs w:val="20"/>
        </w:rPr>
        <w:t xml:space="preserve">Celerity will re-run the conflict check and, if required, disclose and seek consent.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Escalation and Approvals</w:t>
      </w:r>
    </w:p>
    <w:p>
      <w:pPr>
        <w:pStyle w:val="Heading2"/>
        <w:spacing w:before="200" w:after="80"/>
      </w:pPr>
      <w:r>
        <w:rPr>
          <w:rFonts w:ascii="Times New Roman" w:cs="Times New Roman" w:eastAsia="Times New Roman" w:hAnsi="Times New Roman"/>
          <w:b/>
          <w:bCs/>
          <w:color w:val="1B2A5E"/>
          <w:sz w:val="22"/>
          <w:szCs w:val="22"/>
        </w:rPr>
        <w:t xml:space="preserve">14.1  Roles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Conflict Officer:  </w:t>
      </w:r>
      <w:r>
        <w:rPr>
          <w:rFonts w:ascii="Times New Roman" w:cs="Times New Roman" w:eastAsia="Times New Roman" w:hAnsi="Times New Roman"/>
          <w:i/>
          <w:iCs/>
          <w:color w:val="5A6070"/>
          <w:sz w:val="20"/>
          <w:szCs w:val="20"/>
          <w:highlight w:val="yellow"/>
        </w:rPr>
        <w:t xml:space="preserve">[NAME, TITLE]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Managing Partner (Escalation):  </w:t>
      </w:r>
      <w:r>
        <w:rPr>
          <w:rFonts w:ascii="Times New Roman" w:cs="Times New Roman" w:eastAsia="Times New Roman" w:hAnsi="Times New Roman"/>
          <w:i/>
          <w:iCs/>
          <w:color w:val="5A6070"/>
          <w:sz w:val="20"/>
          <w:szCs w:val="20"/>
          <w:highlight w:val="yellow"/>
        </w:rPr>
        <w:t xml:space="preserve">[NAME, TITLE]</w:t>
      </w:r>
    </w:p>
    <w:p>
      <w:pPr>
        <w:pStyle w:val="Heading2"/>
        <w:spacing w:before="200" w:after="80"/>
      </w:pPr>
      <w:r>
        <w:rPr>
          <w:rFonts w:ascii="Times New Roman" w:cs="Times New Roman" w:eastAsia="Times New Roman" w:hAnsi="Times New Roman"/>
          <w:b/>
          <w:bCs/>
          <w:color w:val="1B2A5E"/>
          <w:sz w:val="22"/>
          <w:szCs w:val="22"/>
        </w:rPr>
        <w:t xml:space="preserve">14.2  Approval Authority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Routine "Proceed with Controls" determinations: Conflict Officer.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engagement involving a requested "no competitor" restriction, refusal of consent, or material reputational risk: Managing Partner approval required.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exception to staffing separation rules: written approval by Conflict Officer and Managing Partner.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15.  Recordkeeping</w:t>
      </w:r>
    </w:p>
    <w:p>
      <w:pPr>
        <w:spacing w:before="60" w:after="100"/>
        <w:jc w:val="both"/>
      </w:pPr>
      <w:r>
        <w:rPr>
          <w:rFonts w:ascii="Times New Roman" w:cs="Times New Roman" w:eastAsia="Times New Roman" w:hAnsi="Times New Roman"/>
          <w:color w:val="1A1A2A"/>
          <w:sz w:val="20"/>
          <w:szCs w:val="20"/>
        </w:rPr>
        <w:t xml:space="preserve">Celerity will maintain a conflicts register containing: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conflict check submissions and determinations;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disclosures provided and consents received;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Information Barrier plans and dates implemented;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exceptions granted and approvals;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training completion records.</w:t>
      </w:r>
    </w:p>
    <w:p>
      <w:pPr>
        <w:spacing w:before="60" w:after="100"/>
        <w:jc w:val="both"/>
      </w:pPr>
      <w:r>
        <w:rPr>
          <w:rFonts w:ascii="Times New Roman" w:cs="Times New Roman" w:eastAsia="Times New Roman" w:hAnsi="Times New Roman"/>
          <w:color w:val="1A1A2A"/>
          <w:sz w:val="20"/>
          <w:szCs w:val="20"/>
        </w:rPr>
        <w:t xml:space="preserve">Retention period: </w:t>
      </w:r>
      <w:r>
        <w:rPr>
          <w:rFonts w:ascii="Times New Roman" w:cs="Times New Roman" w:eastAsia="Times New Roman" w:hAnsi="Times New Roman"/>
          <w:i/>
          <w:iCs/>
          <w:color w:val="5A6070"/>
          <w:sz w:val="20"/>
          <w:szCs w:val="20"/>
          <w:highlight w:val="yellow"/>
        </w:rPr>
        <w:t xml:space="preserve">[7]</w:t>
      </w:r>
      <w:r>
        <w:rPr>
          <w:rFonts w:ascii="Times New Roman" w:cs="Times New Roman" w:eastAsia="Times New Roman" w:hAnsi="Times New Roman"/>
          <w:color w:val="1A1A2A"/>
          <w:sz w:val="20"/>
          <w:szCs w:val="20"/>
        </w:rPr>
        <w:t xml:space="preserve"> years (or longer if required by contract, regulation, or litigation hold).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16.  Training and Certification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All covered personnel must complete conflicts and confidentiality training within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of onboarding and annually thereafter.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must certify compliance annually and upon assignment to a competitively sensitive Engagement.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17.  Enforcement, Discipline, and Reporting</w:t>
      </w:r>
    </w:p>
    <w:p>
      <w:pPr>
        <w:pStyle w:val="Heading2"/>
        <w:spacing w:before="200" w:after="80"/>
      </w:pPr>
      <w:r>
        <w:rPr>
          <w:rFonts w:ascii="Times New Roman" w:cs="Times New Roman" w:eastAsia="Times New Roman" w:hAnsi="Times New Roman"/>
          <w:b/>
          <w:bCs/>
          <w:color w:val="1B2A5E"/>
          <w:sz w:val="22"/>
          <w:szCs w:val="22"/>
        </w:rPr>
        <w:t xml:space="preserve">17.1  Reporting</w:t>
      </w:r>
    </w:p>
    <w:p>
      <w:pPr>
        <w:spacing w:before="60" w:after="100"/>
        <w:jc w:val="both"/>
      </w:pPr>
      <w:r>
        <w:rPr>
          <w:rFonts w:ascii="Times New Roman" w:cs="Times New Roman" w:eastAsia="Times New Roman" w:hAnsi="Times New Roman"/>
          <w:color w:val="1A1A2A"/>
          <w:sz w:val="20"/>
          <w:szCs w:val="20"/>
        </w:rPr>
        <w:t xml:space="preserve">Suspected violations must be reported promptly to the Conflict Officer or via </w:t>
      </w:r>
      <w:r>
        <w:rPr>
          <w:rFonts w:ascii="Times New Roman" w:cs="Times New Roman" w:eastAsia="Times New Roman" w:hAnsi="Times New Roman"/>
          <w:i/>
          <w:iCs/>
          <w:color w:val="5A6070"/>
          <w:sz w:val="20"/>
          <w:szCs w:val="20"/>
          <w:highlight w:val="yellow"/>
        </w:rPr>
        <w:t xml:space="preserve">[HOTLINE/EMAIL]</w:t>
      </w:r>
      <w:r>
        <w:rPr>
          <w:rFonts w:ascii="Times New Roman" w:cs="Times New Roman" w:eastAsia="Times New Roman" w:hAnsi="Times New Roman"/>
          <w:color w:val="1A1A2A"/>
          <w:sz w:val="20"/>
          <w:szCs w:val="20"/>
        </w:rPr>
        <w:t xml:space="preserve">. Retaliation for good-faith reporting is prohibited.</w:t>
      </w:r>
    </w:p>
    <w:p>
      <w:pPr>
        <w:pStyle w:val="Heading2"/>
        <w:spacing w:before="200" w:after="80"/>
      </w:pPr>
      <w:r>
        <w:rPr>
          <w:rFonts w:ascii="Times New Roman" w:cs="Times New Roman" w:eastAsia="Times New Roman" w:hAnsi="Times New Roman"/>
          <w:b/>
          <w:bCs/>
          <w:color w:val="1B2A5E"/>
          <w:sz w:val="22"/>
          <w:szCs w:val="22"/>
        </w:rPr>
        <w:t xml:space="preserve">17.2  Discipline</w:t>
      </w:r>
    </w:p>
    <w:p>
      <w:pPr>
        <w:spacing w:before="60" w:after="100"/>
        <w:jc w:val="both"/>
      </w:pPr>
      <w:r>
        <w:rPr>
          <w:rFonts w:ascii="Times New Roman" w:cs="Times New Roman" w:eastAsia="Times New Roman" w:hAnsi="Times New Roman"/>
          <w:color w:val="1A1A2A"/>
          <w:sz w:val="20"/>
          <w:szCs w:val="20"/>
        </w:rPr>
        <w:t xml:space="preserve">Violations may result in disciplinary action up to and including termination of employment/contract, removal from Engagements, client notification, and pursuit of legal remedies.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18.  Remediation Steps</w:t>
      </w:r>
    </w:p>
    <w:p>
      <w:pPr>
        <w:spacing w:before="60" w:after="100"/>
        <w:jc w:val="both"/>
      </w:pPr>
      <w:r>
        <w:rPr>
          <w:rFonts w:ascii="Times New Roman" w:cs="Times New Roman" w:eastAsia="Times New Roman" w:hAnsi="Times New Roman"/>
          <w:color w:val="1A1A2A"/>
          <w:sz w:val="20"/>
          <w:szCs w:val="20"/>
        </w:rPr>
        <w:t xml:space="preserve">If a breach or suspected breach occurs, Celerity will take appropriate steps, which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immediate containment (revoke access, isolate systems, secure documents);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investigation and documentation of facts;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 notification consistent with contractual obligations and applicable law;</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re-staffing and/or re-establishing Information Barriers;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correction or withdrawal of affected deliverables if necessary;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additional training or disciplinary action;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third-party forensic support if warranted.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19.  Client Audit / Verification Rights (Narrow)</w:t>
      </w:r>
    </w:p>
    <w:p>
      <w:pPr>
        <w:spacing w:before="60" w:after="100"/>
        <w:jc w:val="both"/>
      </w:pPr>
      <w:r>
        <w:rPr>
          <w:rFonts w:ascii="Times New Roman" w:cs="Times New Roman" w:eastAsia="Times New Roman" w:hAnsi="Times New Roman"/>
          <w:color w:val="1A1A2A"/>
          <w:sz w:val="20"/>
          <w:szCs w:val="20"/>
        </w:rPr>
        <w:t xml:space="preserve">Upon written request and no more than once per 12-month period, and solely to verify compliance with agreed Information Barrier commitments for a specific Engagement, Celerity will provide reasonable information, which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written confirmation of barrier measures implemented;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 list of engagement team members (and dates staffed) for the requesting Client's Engagement;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 high-level description of access controls.</w:t>
      </w:r>
    </w:p>
    <w:p>
      <w:pPr>
        <w:spacing w:before="60" w:after="100"/>
        <w:jc w:val="both"/>
      </w:pPr>
      <w:r>
        <w:rPr>
          <w:rFonts w:ascii="Times New Roman" w:cs="Times New Roman" w:eastAsia="Times New Roman" w:hAnsi="Times New Roman"/>
          <w:color w:val="1A1A2A"/>
          <w:sz w:val="20"/>
          <w:szCs w:val="20"/>
        </w:rPr>
        <w:t xml:space="preserve">Audit/verification will exclude disclosure of other clients' identities, confidential engagement details, or proprietary internal security configurations. Any review will be subject to confidentiality and conducted in a manner that does not unreasonably disrupt Celerity's business.</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A</w:t>
      </w:r>
    </w:p>
    <w:p>
      <w:pPr>
        <w:spacing w:before="0" w:after="4"/>
      </w:pPr>
      <w:r>
        <w:rPr>
          <w:rFonts w:ascii="Times New Roman" w:cs="Times New Roman" w:eastAsia="Times New Roman" w:hAnsi="Times New Roman"/>
          <w:b/>
          <w:bCs/>
          <w:color w:val="4A9FD4"/>
          <w:sz w:val="20"/>
          <w:szCs w:val="20"/>
        </w:rPr>
        <w:t xml:space="preserve">Conflict Disclosure Form  ·  Template</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Engagement Name / Code</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[ENGAGEMENT CODE]</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Client</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[CLIENT NAME]</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Basin(s)</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[BASIN(S)]</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Engagement Lead</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Date</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A1.  Description of Potential Conflict</w:t>
      </w:r>
    </w:p>
    <w:p>
      <w:pPr>
        <w:spacing w:before="60" w:after="40"/>
      </w:pPr>
      <w:r>
        <w:rPr>
          <w:rFonts w:ascii="Times New Roman" w:cs="Times New Roman" w:eastAsia="Times New Roman" w:hAnsi="Times New Roman"/>
          <w:b/>
          <w:bCs/>
          <w:color w:val="1A1A2A"/>
          <w:sz w:val="20"/>
          <w:szCs w:val="20"/>
        </w:rPr>
        <w:t xml:space="preserve">Type:  </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Same Basin</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Same asset/counterparty</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Commercial strategy</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A&amp;D / bid strategy</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Vendor pricing</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Other:</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[__]</w:t>
      </w:r>
    </w:p>
    <w:p>
      <w:pPr>
        <w:spacing w:before="40" w:after="40"/>
      </w:pPr>
    </w:p>
    <w:p>
      <w:pPr>
        <w:spacing w:before="60" w:after="100"/>
        <w:jc w:val="both"/>
      </w:pPr>
      <w:r>
        <w:rPr>
          <w:rFonts w:ascii="Times New Roman" w:cs="Times New Roman" w:eastAsia="Times New Roman" w:hAnsi="Times New Roman"/>
          <w:b/>
          <w:bCs/>
          <w:color w:val="1A1A2A"/>
          <w:sz w:val="20"/>
          <w:szCs w:val="20"/>
        </w:rPr>
        <w:t xml:space="preserve">Summary (no third-party confidential details):  </w:t>
      </w:r>
      <w:r>
        <w:rPr>
          <w:rFonts w:ascii="Times New Roman" w:cs="Times New Roman" w:eastAsia="Times New Roman" w:hAnsi="Times New Roman"/>
          <w:i/>
          <w:iCs/>
          <w:color w:val="5A6070"/>
          <w:sz w:val="20"/>
          <w:szCs w:val="20"/>
          <w:highlight w:val="yellow"/>
        </w:rPr>
        <w:t xml:space="preserve">[DESCRIBE THE SITUATION]</w:t>
      </w:r>
    </w:p>
    <w:p>
      <w:pPr>
        <w:pStyle w:val="Heading2"/>
        <w:spacing w:before="200" w:after="80"/>
      </w:pPr>
      <w:r>
        <w:rPr>
          <w:rFonts w:ascii="Times New Roman" w:cs="Times New Roman" w:eastAsia="Times New Roman" w:hAnsi="Times New Roman"/>
          <w:b/>
          <w:bCs/>
          <w:color w:val="1B2A5E"/>
          <w:sz w:val="22"/>
          <w:szCs w:val="22"/>
        </w:rPr>
        <w:t xml:space="preserve">A2.  Affected Engagement(s)</w:t>
      </w:r>
    </w:p>
    <w:p>
      <w:pPr>
        <w:spacing w:before="60" w:after="100"/>
        <w:jc w:val="both"/>
      </w:pPr>
      <w:r>
        <w:rPr>
          <w:rFonts w:ascii="Times New Roman" w:cs="Times New Roman" w:eastAsia="Times New Roman" w:hAnsi="Times New Roman"/>
          <w:b/>
          <w:bCs/>
          <w:color w:val="1A1A2A"/>
          <w:sz w:val="20"/>
          <w:szCs w:val="20"/>
        </w:rPr>
        <w:t xml:space="preserve">Client Engagement:  </w:t>
      </w:r>
      <w:r>
        <w:rPr>
          <w:rFonts w:ascii="Times New Roman" w:cs="Times New Roman" w:eastAsia="Times New Roman" w:hAnsi="Times New Roman"/>
          <w:i/>
          <w:iCs/>
          <w:color w:val="5A6070"/>
          <w:sz w:val="20"/>
          <w:szCs w:val="20"/>
          <w:highlight w:val="yellow"/>
        </w:rPr>
        <w:t xml:space="preserve">[DESCRIPTION]</w:t>
      </w:r>
    </w:p>
    <w:p>
      <w:pPr>
        <w:spacing w:before="60" w:after="100"/>
        <w:jc w:val="both"/>
      </w:pPr>
      <w:r>
        <w:rPr>
          <w:rFonts w:ascii="Times New Roman" w:cs="Times New Roman" w:eastAsia="Times New Roman" w:hAnsi="Times New Roman"/>
          <w:b/>
          <w:bCs/>
          <w:color w:val="1A1A2A"/>
          <w:sz w:val="20"/>
          <w:szCs w:val="20"/>
        </w:rPr>
        <w:t xml:space="preserve">Other Engagement (high-level):  </w:t>
      </w:r>
      <w:r>
        <w:rPr>
          <w:rFonts w:ascii="Times New Roman" w:cs="Times New Roman" w:eastAsia="Times New Roman" w:hAnsi="Times New Roman"/>
          <w:i/>
          <w:iCs/>
          <w:color w:val="5A6070"/>
          <w:sz w:val="20"/>
          <w:szCs w:val="20"/>
          <w:highlight w:val="yellow"/>
        </w:rPr>
        <w:t xml:space="preserve">[DESCRIPTION — NON-CONFIDENTIAL]</w:t>
      </w:r>
    </w:p>
    <w:p>
      <w:pPr>
        <w:pStyle w:val="Heading2"/>
        <w:spacing w:before="200" w:after="80"/>
      </w:pPr>
      <w:r>
        <w:rPr>
          <w:rFonts w:ascii="Times New Roman" w:cs="Times New Roman" w:eastAsia="Times New Roman" w:hAnsi="Times New Roman"/>
          <w:b/>
          <w:bCs/>
          <w:color w:val="1B2A5E"/>
          <w:sz w:val="22"/>
          <w:szCs w:val="22"/>
        </w:rPr>
        <w:t xml:space="preserve">A3.  Proposed Mitigation Measures</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Staffing separation</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Access controls</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Separate workspaces</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Document labeling</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Meeting protocols</w:t>
      </w:r>
    </w:p>
    <w:p>
      <w:pPr>
        <w:spacing w:before="60" w:after="100"/>
        <w:jc w:val="both"/>
      </w:pPr>
      <w:r>
        <w:rPr>
          <w:rFonts w:ascii="Times New Roman" w:cs="Times New Roman" w:eastAsia="Times New Roman" w:hAnsi="Times New Roman"/>
          <w:b/>
          <w:bCs/>
          <w:color w:val="1A1A2A"/>
          <w:sz w:val="20"/>
          <w:szCs w:val="20"/>
        </w:rPr>
        <w:t xml:space="preserve">Additional controls:  </w:t>
      </w:r>
      <w:r>
        <w:rPr>
          <w:rFonts w:ascii="Times New Roman" w:cs="Times New Roman" w:eastAsia="Times New Roman" w:hAnsi="Times New Roman"/>
          <w:i/>
          <w:iCs/>
          <w:color w:val="5A6070"/>
          <w:sz w:val="20"/>
          <w:szCs w:val="20"/>
          <w:highlight w:val="yellow"/>
        </w:rPr>
        <w:t xml:space="preserve">[__]</w:t>
      </w:r>
    </w:p>
    <w:p>
      <w:pPr>
        <w:pStyle w:val="Heading2"/>
        <w:spacing w:before="200" w:after="80"/>
      </w:pPr>
      <w:r>
        <w:rPr>
          <w:rFonts w:ascii="Times New Roman" w:cs="Times New Roman" w:eastAsia="Times New Roman" w:hAnsi="Times New Roman"/>
          <w:b/>
          <w:bCs/>
          <w:color w:val="1B2A5E"/>
          <w:sz w:val="22"/>
          <w:szCs w:val="22"/>
        </w:rPr>
        <w:t xml:space="preserve">A4.  Disclosure / Consent Request (If Needed)</w:t>
      </w:r>
    </w:p>
    <w:p>
      <w:pPr>
        <w:spacing w:before="60" w:after="100"/>
        <w:jc w:val="both"/>
      </w:pPr>
      <w:r>
        <w:rPr>
          <w:rFonts w:ascii="Times New Roman" w:cs="Times New Roman" w:eastAsia="Times New Roman" w:hAnsi="Times New Roman"/>
          <w:b/>
          <w:bCs/>
          <w:color w:val="1A1A2A"/>
          <w:sz w:val="20"/>
          <w:szCs w:val="20"/>
        </w:rPr>
        <w:t xml:space="preserve">Disclosure provided to Client on:  </w:t>
      </w:r>
      <w:r>
        <w:rPr>
          <w:rFonts w:ascii="Times New Roman" w:cs="Times New Roman" w:eastAsia="Times New Roman" w:hAnsi="Times New Roman"/>
          <w:i/>
          <w:iCs/>
          <w:color w:val="5A6070"/>
          <w:sz w:val="20"/>
          <w:szCs w:val="20"/>
          <w:highlight w:val="yellow"/>
        </w:rPr>
        <w:t xml:space="preserve">[DATE]</w:t>
      </w:r>
    </w:p>
    <w:p>
      <w:pPr>
        <w:spacing w:before="60" w:after="40"/>
      </w:pPr>
      <w:r>
        <w:rPr>
          <w:rFonts w:ascii="Times New Roman" w:cs="Times New Roman" w:eastAsia="Times New Roman" w:hAnsi="Times New Roman"/>
          <w:b/>
          <w:bCs/>
          <w:color w:val="1A1A2A"/>
          <w:sz w:val="20"/>
          <w:szCs w:val="20"/>
        </w:rPr>
        <w:t xml:space="preserve">Client decision:  </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Consented</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Consented with conditions</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Declined</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Pending</w:t>
      </w:r>
    </w:p>
    <w:p>
      <w:pPr>
        <w:spacing w:before="60" w:after="100"/>
        <w:jc w:val="both"/>
      </w:pPr>
      <w:r>
        <w:rPr>
          <w:rFonts w:ascii="Times New Roman" w:cs="Times New Roman" w:eastAsia="Times New Roman" w:hAnsi="Times New Roman"/>
          <w:b/>
          <w:bCs/>
          <w:color w:val="1A1A2A"/>
          <w:sz w:val="20"/>
          <w:szCs w:val="20"/>
        </w:rPr>
        <w:t xml:space="preserve">Conditions (if any):  </w:t>
      </w:r>
      <w:r>
        <w:rPr>
          <w:rFonts w:ascii="Times New Roman" w:cs="Times New Roman" w:eastAsia="Times New Roman" w:hAnsi="Times New Roman"/>
          <w:i/>
          <w:iCs/>
          <w:color w:val="5A6070"/>
          <w:sz w:val="20"/>
          <w:szCs w:val="20"/>
          <w:highlight w:val="yellow"/>
        </w:rPr>
        <w:t xml:space="preserve">[__]</w:t>
      </w:r>
    </w:p>
    <w:p>
      <w:pPr>
        <w:pStyle w:val="Heading2"/>
        <w:spacing w:before="200" w:after="80"/>
      </w:pPr>
      <w:r>
        <w:rPr>
          <w:rFonts w:ascii="Times New Roman" w:cs="Times New Roman" w:eastAsia="Times New Roman" w:hAnsi="Times New Roman"/>
          <w:b/>
          <w:bCs/>
          <w:color w:val="1B2A5E"/>
          <w:sz w:val="22"/>
          <w:szCs w:val="22"/>
        </w:rPr>
        <w:t xml:space="preserve">A5.  Approvals</w:t>
      </w:r>
    </w:p>
    <w:p>
      <w:pPr>
        <w:spacing w:before="60" w:after="100"/>
        <w:jc w:val="both"/>
      </w:pPr>
      <w:r>
        <w:rPr>
          <w:rFonts w:ascii="Times New Roman" w:cs="Times New Roman" w:eastAsia="Times New Roman" w:hAnsi="Times New Roman"/>
          <w:b/>
          <w:bCs/>
          <w:color w:val="1A1A2A"/>
          <w:sz w:val="20"/>
          <w:szCs w:val="20"/>
        </w:rPr>
        <w:t xml:space="preserve">Conflict Officer:  </w:t>
      </w:r>
      <w:r>
        <w:rPr>
          <w:rFonts w:ascii="Times New Roman" w:cs="Times New Roman" w:eastAsia="Times New Roman" w:hAnsi="Times New Roman"/>
          <w:i/>
          <w:iCs/>
          <w:color w:val="5A6070"/>
          <w:sz w:val="20"/>
          <w:szCs w:val="20"/>
          <w:highlight w:val="yellow"/>
        </w:rPr>
        <w:t xml:space="preserve">[NAME / SIGNATURE]</w:t>
      </w:r>
      <w:r>
        <w:rPr>
          <w:rFonts w:ascii="Times New Roman" w:cs="Times New Roman" w:eastAsia="Times New Roman" w:hAnsi="Times New Roman"/>
          <w:color w:val="1A1A2A"/>
          <w:sz w:val="20"/>
          <w:szCs w:val="20"/>
        </w:rPr>
        <w:t xml:space="preserve">   Date:  </w:t>
      </w:r>
      <w:r>
        <w:rPr>
          <w:rFonts w:ascii="Times New Roman" w:cs="Times New Roman" w:eastAsia="Times New Roman" w:hAnsi="Times New Roman"/>
          <w:i/>
          <w:iCs/>
          <w:color w:val="5A6070"/>
          <w:sz w:val="20"/>
          <w:szCs w:val="20"/>
          <w:highlight w:val="yellow"/>
        </w:rPr>
        <w:t xml:space="preserve">[DATE]</w:t>
      </w:r>
    </w:p>
    <w:p>
      <w:pPr>
        <w:spacing w:before="60" w:after="100"/>
        <w:jc w:val="both"/>
      </w:pPr>
      <w:r>
        <w:rPr>
          <w:rFonts w:ascii="Times New Roman" w:cs="Times New Roman" w:eastAsia="Times New Roman" w:hAnsi="Times New Roman"/>
          <w:b/>
          <w:bCs/>
          <w:color w:val="1A1A2A"/>
          <w:sz w:val="20"/>
          <w:szCs w:val="20"/>
        </w:rPr>
        <w:t xml:space="preserve">Managing Partner (if required):  </w:t>
      </w:r>
      <w:r>
        <w:rPr>
          <w:rFonts w:ascii="Times New Roman" w:cs="Times New Roman" w:eastAsia="Times New Roman" w:hAnsi="Times New Roman"/>
          <w:i/>
          <w:iCs/>
          <w:color w:val="5A6070"/>
          <w:sz w:val="20"/>
          <w:szCs w:val="20"/>
          <w:highlight w:val="yellow"/>
        </w:rPr>
        <w:t xml:space="preserve">[NAME / SIGNATURE]</w:t>
      </w:r>
      <w:r>
        <w:rPr>
          <w:rFonts w:ascii="Times New Roman" w:cs="Times New Roman" w:eastAsia="Times New Roman" w:hAnsi="Times New Roman"/>
          <w:color w:val="1A1A2A"/>
          <w:sz w:val="20"/>
          <w:szCs w:val="20"/>
        </w:rPr>
        <w:t xml:space="preserve">   Date:  </w:t>
      </w:r>
      <w:r>
        <w:rPr>
          <w:rFonts w:ascii="Times New Roman" w:cs="Times New Roman" w:eastAsia="Times New Roman" w:hAnsi="Times New Roman"/>
          <w:i/>
          <w:iCs/>
          <w:color w:val="5A6070"/>
          <w:sz w:val="20"/>
          <w:szCs w:val="20"/>
          <w:highlight w:val="yellow"/>
        </w:rPr>
        <w:t xml:space="preserve">[DATE]</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B</w:t>
      </w:r>
    </w:p>
    <w:p>
      <w:pPr>
        <w:spacing w:before="0" w:after="4"/>
      </w:pPr>
      <w:r>
        <w:rPr>
          <w:rFonts w:ascii="Times New Roman" w:cs="Times New Roman" w:eastAsia="Times New Roman" w:hAnsi="Times New Roman"/>
          <w:b/>
          <w:bCs/>
          <w:color w:val="4A9FD4"/>
          <w:sz w:val="20"/>
          <w:szCs w:val="20"/>
        </w:rPr>
        <w:t xml:space="preserve">Sample Client-Facing Disclosure Language  ·  Template</w:t>
      </w:r>
    </w:p>
    <w:p>
      <w:pPr>
        <w:pBdr>
          <w:bottom w:val="single" w:color="4A9FD4" w:sz="16" w:space="1"/>
        </w:pBdr>
        <w:spacing w:before="0" w:after="0"/>
      </w:pPr>
    </w:p>
    <w:p>
      <w:pPr>
        <w:spacing w:before="120" w:after="80"/>
      </w:pPr>
    </w:p>
    <w:p>
      <w:pPr>
        <w:pStyle w:val="Heading2"/>
        <w:spacing w:before="200" w:after="80"/>
      </w:pPr>
      <w:r>
        <w:rPr>
          <w:rFonts w:ascii="Times New Roman" w:cs="Times New Roman" w:eastAsia="Times New Roman" w:hAnsi="Times New Roman"/>
          <w:b/>
          <w:bCs/>
          <w:color w:val="1B2A5E"/>
          <w:sz w:val="22"/>
          <w:szCs w:val="22"/>
        </w:rPr>
        <w:t xml:space="preserve">B1.  Short-Form Disclosure (Email / SOW Exhibit)</w:t>
      </w:r>
    </w:p>
    <w:p>
      <w:pPr>
        <w:spacing w:before="60" w:after="100"/>
        <w:jc w:val="both"/>
      </w:pPr>
      <w:r>
        <w:rPr>
          <w:rFonts w:ascii="Times New Roman" w:cs="Times New Roman" w:eastAsia="Times New Roman" w:hAnsi="Times New Roman"/>
          <w:color w:val="1A1A2A"/>
          <w:sz w:val="20"/>
          <w:szCs w:val="20"/>
        </w:rPr>
        <w:t xml:space="preserve">Celerity Energy Advisors routinely provides advisory services to multiple energy clients. We may currently be engaged by one or more other operators or market participants in the same basin as </w:t>
      </w:r>
      <w:r>
        <w:rPr>
          <w:rFonts w:ascii="Times New Roman" w:cs="Times New Roman" w:eastAsia="Times New Roman" w:hAnsi="Times New Roman"/>
          <w:i/>
          <w:iCs/>
          <w:color w:val="5A6070"/>
          <w:sz w:val="20"/>
          <w:szCs w:val="20"/>
          <w:highlight w:val="yellow"/>
        </w:rPr>
        <w:t xml:space="preserve">[CLIENT NAME]</w:t>
      </w:r>
      <w:r>
        <w:rPr>
          <w:rFonts w:ascii="Times New Roman" w:cs="Times New Roman" w:eastAsia="Times New Roman" w:hAnsi="Times New Roman"/>
          <w:color w:val="1A1A2A"/>
          <w:sz w:val="20"/>
          <w:szCs w:val="20"/>
        </w:rPr>
        <w:t xml:space="preserve">. We treat each client's information as confidential and do not share client confidential information between engagements. Where engagements present potential competitive sensitivity, Celerity implements information barriers (ethical walls), including staffing separation, segregated project workspaces, and access controls, to prevent cross-access to confidential information.</w:t>
      </w:r>
    </w:p>
    <w:p>
      <w:pPr>
        <w:spacing w:before="60" w:after="100"/>
        <w:jc w:val="both"/>
      </w:pPr>
      <w:r>
        <w:rPr>
          <w:rFonts w:ascii="Times New Roman" w:cs="Times New Roman" w:eastAsia="Times New Roman" w:hAnsi="Times New Roman"/>
          <w:color w:val="1A1A2A"/>
          <w:sz w:val="20"/>
          <w:szCs w:val="20"/>
        </w:rPr>
        <w:t xml:space="preserve">Based on our conflict review for this engagement, we believe we can proceed consistent with our confidentiality obligations and information barrier procedures. If you would like Celerity to apply any client-specific restrictions (e.g., limited scope or exclusions for specific competitors) for this engagement, please notify us in writing so we can evaluate and document those restrictions.</w:t>
      </w:r>
    </w:p>
    <w:p>
      <w:pPr>
        <w:pStyle w:val="Heading2"/>
        <w:spacing w:before="200" w:after="80"/>
      </w:pPr>
      <w:r>
        <w:rPr>
          <w:rFonts w:ascii="Times New Roman" w:cs="Times New Roman" w:eastAsia="Times New Roman" w:hAnsi="Times New Roman"/>
          <w:b/>
          <w:bCs/>
          <w:color w:val="1B2A5E"/>
          <w:sz w:val="22"/>
          <w:szCs w:val="22"/>
        </w:rPr>
        <w:t xml:space="preserve">B2.  Consent Line (Optional)</w:t>
      </w:r>
    </w:p>
    <w:p>
      <w:pPr>
        <w:spacing w:before="60" w:after="100"/>
        <w:jc w:val="both"/>
      </w:pPr>
      <w:r>
        <w:rPr>
          <w:rFonts w:ascii="Times New Roman" w:cs="Times New Roman" w:eastAsia="Times New Roman" w:hAnsi="Times New Roman"/>
          <w:color w:val="1A1A2A"/>
          <w:sz w:val="20"/>
          <w:szCs w:val="20"/>
        </w:rPr>
        <w:t xml:space="preserve">By signing the applicable statement of work (or replying by email), Client acknowledges this disclosure and consents to Celerity's performance of the engagement subject to the information barrier measures described above and any additional restrictions expressly agreed in writing.</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C</w:t>
      </w:r>
    </w:p>
    <w:p>
      <w:pPr>
        <w:spacing w:before="0" w:after="4"/>
      </w:pPr>
      <w:r>
        <w:rPr>
          <w:rFonts w:ascii="Times New Roman" w:cs="Times New Roman" w:eastAsia="Times New Roman" w:hAnsi="Times New Roman"/>
          <w:b/>
          <w:bCs/>
          <w:color w:val="4A9FD4"/>
          <w:sz w:val="20"/>
          <w:szCs w:val="20"/>
        </w:rPr>
        <w:t xml:space="preserve">Information Barrier Plan  ·  One-Page Checklist</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Engagement Code</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Competing Engagement Code</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Basin</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Effective Date</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Controls Implemented (check all that apply)</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Separate teams; no shared staffing</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Separate workspaces and permissions verified</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Client data labeled and stored only in segregated folders</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Separate meeting invites/distribution lists</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Onsite protocols communicated</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Subcontractors included and bound</w:t>
      </w:r>
    </w:p>
    <w:p>
      <w:pPr>
        <w:spacing w:before="4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Confirmation sent to Conflict Officer</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Verified by Engagement Lead</w:t>
            </w:r>
          </w:p>
        </w:tc>
        <w:tc>
          <w:tcPr>
            <w:tcW w:type="dxa" w:w="46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Verified by Conflict Officer</w:t>
            </w:r>
          </w:p>
        </w:tc>
      </w:tr>
      <w:tr>
        <w:tc>
          <w:tcPr>
            <w:tcW w:type="dxa" w:w="46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r>
              <w:rPr>
                <w:rFonts w:ascii="Times New Roman" w:cs="Times New Roman" w:eastAsia="Times New Roman" w:hAnsi="Times New Roman"/>
                <w:color w:val="1A1A2A"/>
                <w:sz w:val="20"/>
                <w:szCs w:val="20"/>
              </w:rPr>
              <w:t xml:space="preserve">   Date: </w:t>
            </w:r>
            <w:r>
              <w:rPr>
                <w:rFonts w:ascii="Times New Roman" w:cs="Times New Roman" w:eastAsia="Times New Roman" w:hAnsi="Times New Roman"/>
                <w:i/>
                <w:iCs/>
                <w:color w:val="5A6070"/>
                <w:sz w:val="20"/>
                <w:szCs w:val="20"/>
                <w:highlight w:val="yellow"/>
              </w:rPr>
              <w:t xml:space="preserve">[DATE]</w:t>
            </w:r>
          </w:p>
        </w:tc>
        <w:tc>
          <w:tcPr>
            <w:tcW w:type="dxa" w:w="46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r>
              <w:rPr>
                <w:rFonts w:ascii="Times New Roman" w:cs="Times New Roman" w:eastAsia="Times New Roman" w:hAnsi="Times New Roman"/>
                <w:color w:val="1A1A2A"/>
                <w:sz w:val="20"/>
                <w:szCs w:val="20"/>
              </w:rPr>
              <w:t xml:space="preserve">   Date: </w:t>
            </w:r>
            <w:r>
              <w:rPr>
                <w:rFonts w:ascii="Times New Roman" w:cs="Times New Roman" w:eastAsia="Times New Roman" w:hAnsi="Times New Roman"/>
                <w:i/>
                <w:iCs/>
                <w:color w:val="5A6070"/>
                <w:sz w:val="20"/>
                <w:szCs w:val="20"/>
                <w:highlight w:val="yellow"/>
              </w:rPr>
              <w:t xml:space="preserve">[DATE]</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2026-03-06T14:13:13.087Z</dcterms:created>
  <dcterms:modified xsi:type="dcterms:W3CDTF">2026-03-06T14:13:13.087Z</dcterms:modified>
</cp:coreProperties>
</file>

<file path=docProps/custom.xml><?xml version="1.0" encoding="utf-8"?>
<Properties xmlns="http://schemas.openxmlformats.org/officeDocument/2006/custom-properties" xmlns:vt="http://schemas.openxmlformats.org/officeDocument/2006/docPropsVTypes"/>
</file>