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0"/>
          <w:szCs w:val="30"/>
        </w:rPr>
        <w:t xml:space="preserve">DATA &amp; WELL INFORMATION PROTECTIONS POLICY</w:t>
      </w:r>
    </w:p>
    <w:p>
      <w:pPr>
        <w:spacing w:before="0" w:after="4"/>
      </w:pPr>
      <w:r>
        <w:rPr>
          <w:rFonts w:ascii="Times New Roman" w:cs="Times New Roman" w:eastAsia="Times New Roman" w:hAnsi="Times New Roman"/>
          <w:b/>
          <w:bCs/>
          <w:color w:val="4A9FD4"/>
          <w:sz w:val="20"/>
          <w:szCs w:val="20"/>
        </w:rPr>
        <w:t xml:space="preserve">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[EFFECTIVE DATE]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Policy Owner</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[TITLE, e.g., Managing Partner / Compliance Officer]</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Security Contact (24/7)</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[SECURITY@CELERITY...]</w:t>
            </w:r>
            <w:r>
              <w:rPr>
                <w:rFonts w:ascii="Times New Roman" w:cs="Times New Roman" w:eastAsia="Times New Roman" w:hAnsi="Times New Roman"/>
                <w:color w:val="1A1A2A"/>
                <w:sz w:val="20"/>
                <w:szCs w:val="20"/>
              </w:rPr>
              <w:t xml:space="preserve">  |  </w:t>
            </w:r>
            <w:r>
              <w:rPr>
                <w:rFonts w:ascii="Times New Roman" w:cs="Times New Roman" w:eastAsia="Times New Roman" w:hAnsi="Times New Roman"/>
                <w:i/>
                <w:iCs/>
                <w:color w:val="5A6070"/>
                <w:sz w:val="20"/>
                <w:szCs w:val="20"/>
                <w:highlight w:val="yellow"/>
              </w:rPr>
              <w:t xml:space="preserve">[PHONE]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Applies To</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All employees, officers, contractors, consultants, temporary personnel, and agents of Celerity Energy Advisors LLC ("Personnel")</w:t>
            </w:r>
          </w:p>
        </w:tc>
      </w:tr>
    </w:tbl>
    <w:p>
      <w:pPr>
        <w:spacing w:before="80" w:after="60"/>
      </w:pPr>
    </w:p>
    <w:p>
      <w:pPr>
        <w:spacing w:before="60" w:after="100"/>
        <w:jc w:val="both"/>
      </w:pPr>
      <w:r>
        <w:rPr>
          <w:rFonts w:ascii="Times New Roman" w:cs="Times New Roman" w:eastAsia="Times New Roman" w:hAnsi="Times New Roman"/>
          <w:color w:val="1A1A2A"/>
          <w:sz w:val="20"/>
          <w:szCs w:val="20"/>
        </w:rPr>
        <w:t xml:space="preserve">This Policy is intended to complement Celerity's </w:t>
      </w:r>
      <w:r>
        <w:rPr>
          <w:rFonts w:ascii="Times New Roman" w:cs="Times New Roman" w:eastAsia="Times New Roman" w:hAnsi="Times New Roman"/>
          <w:b/>
          <w:bCs/>
          <w:color w:val="1A1A2A"/>
          <w:sz w:val="20"/>
          <w:szCs w:val="20"/>
        </w:rPr>
        <w:t xml:space="preserve">Code of Business Ethics</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b/>
          <w:bCs/>
          <w:color w:val="1A1A2A"/>
          <w:sz w:val="20"/>
          <w:szCs w:val="20"/>
        </w:rPr>
        <w:t xml:space="preserve">Human Rights Policy</w:t>
      </w:r>
      <w:r>
        <w:rPr>
          <w:rFonts w:ascii="Times New Roman" w:cs="Times New Roman" w:eastAsia="Times New Roman" w:hAnsi="Times New Roman"/>
          <w:color w:val="1A1A2A"/>
          <w:sz w:val="20"/>
          <w:szCs w:val="20"/>
        </w:rPr>
        <w:t xml:space="preserve">. In the event of conflict, the controlling client agreement (NDA/MSA/SOW) governs for that client's data, and the higher-protection standard applies where permitted by law.</w:t>
      </w: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w:t>
      </w:r>
    </w:p>
    <w:p>
      <w:pPr>
        <w:pStyle w:val="Heading2"/>
        <w:spacing w:before="200" w:after="80"/>
      </w:pPr>
      <w:r>
        <w:rPr>
          <w:rFonts w:ascii="Times New Roman" w:cs="Times New Roman" w:eastAsia="Times New Roman" w:hAnsi="Times New Roman"/>
          <w:b/>
          <w:bCs/>
          <w:color w:val="1B2A5E"/>
          <w:sz w:val="22"/>
          <w:szCs w:val="22"/>
        </w:rPr>
        <w:t xml:space="preserve">1.1  Objectives</w:t>
      </w:r>
    </w:p>
    <w:p>
      <w:pPr>
        <w:spacing w:before="60" w:after="100"/>
        <w:jc w:val="both"/>
      </w:pPr>
      <w:r>
        <w:rPr>
          <w:rFonts w:ascii="Times New Roman" w:cs="Times New Roman" w:eastAsia="Times New Roman" w:hAnsi="Times New Roman"/>
          <w:color w:val="1A1A2A"/>
          <w:sz w:val="20"/>
          <w:szCs w:val="20"/>
        </w:rPr>
        <w:t xml:space="preserve">This Policy establishes practical, enforceable requirements for protecting Client Data and Well Information handled by Celerity, including when Celerity works for multiple operators in the same basin. The objectives are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protect client confidentiality and trade secrets and preserve client trust;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reduce the risk of improper use, cross-client contamination, and conflicts of interest;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comply with applicable laws and regulations (including privacy, export controls, sanctions, and securities laws);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provide clear procedures for access control, storage, sharing, retention, incident response, and ethical walls.</w:t>
      </w:r>
    </w:p>
    <w:p>
      <w:pPr>
        <w:pStyle w:val="Heading2"/>
        <w:spacing w:before="200" w:after="80"/>
      </w:pPr>
      <w:r>
        <w:rPr>
          <w:rFonts w:ascii="Times New Roman" w:cs="Times New Roman" w:eastAsia="Times New Roman" w:hAnsi="Times New Roman"/>
          <w:b/>
          <w:bCs/>
          <w:color w:val="1B2A5E"/>
          <w:sz w:val="22"/>
          <w:szCs w:val="22"/>
        </w:rPr>
        <w:t xml:space="preserve">1.2  Professional Context</w:t>
      </w:r>
    </w:p>
    <w:p>
      <w:pPr>
        <w:spacing w:before="60" w:after="100"/>
        <w:jc w:val="both"/>
      </w:pPr>
      <w:r>
        <w:rPr>
          <w:rFonts w:ascii="Times New Roman" w:cs="Times New Roman" w:eastAsia="Times New Roman" w:hAnsi="Times New Roman"/>
          <w:color w:val="1A1A2A"/>
          <w:sz w:val="20"/>
          <w:szCs w:val="20"/>
        </w:rPr>
        <w:t xml:space="preserve">Celerity provides advisory services. Personnel must protect sensitive subsurface, operational, commercial, and regulatory information that can be highly valuable, competitively sensitive, and potentially market-moving.</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Scope</w:t>
      </w:r>
    </w:p>
    <w:p>
      <w:pPr>
        <w:pStyle w:val="Heading2"/>
        <w:spacing w:before="200" w:after="80"/>
      </w:pPr>
      <w:r>
        <w:rPr>
          <w:rFonts w:ascii="Times New Roman" w:cs="Times New Roman" w:eastAsia="Times New Roman" w:hAnsi="Times New Roman"/>
          <w:b/>
          <w:bCs/>
          <w:color w:val="1B2A5E"/>
          <w:sz w:val="22"/>
          <w:szCs w:val="22"/>
        </w:rPr>
        <w:t xml:space="preserve">2.1  Covered Information</w:t>
      </w:r>
    </w:p>
    <w:p>
      <w:pPr>
        <w:spacing w:before="60" w:after="100"/>
        <w:jc w:val="both"/>
      </w:pPr>
      <w:r>
        <w:rPr>
          <w:rFonts w:ascii="Times New Roman" w:cs="Times New Roman" w:eastAsia="Times New Roman" w:hAnsi="Times New Roman"/>
          <w:color w:val="1A1A2A"/>
          <w:sz w:val="20"/>
          <w:szCs w:val="20"/>
        </w:rPr>
        <w:t xml:space="preserve">This Policy applies to all information received, accessed, created, processed, transmitted, stored, or disposed of by Personnel in connection with Celerity business, including information belonging to clients, counterparties, vendors, prospects, and Celerity.</w:t>
      </w:r>
    </w:p>
    <w:p>
      <w:pPr>
        <w:pStyle w:val="Heading2"/>
        <w:spacing w:before="200" w:after="80"/>
      </w:pPr>
      <w:r>
        <w:rPr>
          <w:rFonts w:ascii="Times New Roman" w:cs="Times New Roman" w:eastAsia="Times New Roman" w:hAnsi="Times New Roman"/>
          <w:b/>
          <w:bCs/>
          <w:color w:val="1B2A5E"/>
          <w:sz w:val="22"/>
          <w:szCs w:val="22"/>
        </w:rPr>
        <w:t xml:space="preserve">2.2  Covered Systems and Locations</w:t>
      </w:r>
    </w:p>
    <w:p>
      <w:pPr>
        <w:spacing w:before="60" w:after="100"/>
        <w:jc w:val="both"/>
      </w:pPr>
      <w:r>
        <w:rPr>
          <w:rFonts w:ascii="Times New Roman" w:cs="Times New Roman" w:eastAsia="Times New Roman" w:hAnsi="Times New Roman"/>
          <w:color w:val="1A1A2A"/>
          <w:sz w:val="20"/>
          <w:szCs w:val="20"/>
        </w:rPr>
        <w:t xml:space="preserve">This Policy applies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Celerity-managed systems (email, file storage, collaboration tools, endpoints, backups);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Client-managed systems when accessed by Personnel;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Personal devices used for Celerity business under an approved BYOD process (if allowed);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Remote work locations and travel (including field sites).</w:t>
      </w:r>
    </w:p>
    <w:p>
      <w:pPr>
        <w:pStyle w:val="Heading2"/>
        <w:spacing w:before="200" w:after="80"/>
      </w:pPr>
      <w:r>
        <w:rPr>
          <w:rFonts w:ascii="Times New Roman" w:cs="Times New Roman" w:eastAsia="Times New Roman" w:hAnsi="Times New Roman"/>
          <w:b/>
          <w:bCs/>
          <w:color w:val="1B2A5E"/>
          <w:sz w:val="22"/>
          <w:szCs w:val="22"/>
        </w:rPr>
        <w:t xml:space="preserve">2.3  Flow-Down Obligation</w:t>
      </w:r>
    </w:p>
    <w:p>
      <w:pPr>
        <w:spacing w:before="60" w:after="100"/>
        <w:jc w:val="both"/>
      </w:pPr>
      <w:r>
        <w:rPr>
          <w:rFonts w:ascii="Times New Roman" w:cs="Times New Roman" w:eastAsia="Times New Roman" w:hAnsi="Times New Roman"/>
          <w:color w:val="1A1A2A"/>
          <w:sz w:val="20"/>
          <w:szCs w:val="20"/>
        </w:rPr>
        <w:t xml:space="preserve">Personnel and approved third parties must comply with this Policy as a condition of engagement with Celerity, in addition to any client-specific obligations.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Definitions</w:t>
      </w:r>
    </w:p>
    <w:p>
      <w:pPr>
        <w:pStyle w:val="Heading2"/>
        <w:spacing w:before="200" w:after="80"/>
      </w:pPr>
      <w:r>
        <w:rPr>
          <w:rFonts w:ascii="Times New Roman" w:cs="Times New Roman" w:eastAsia="Times New Roman" w:hAnsi="Times New Roman"/>
          <w:b/>
          <w:bCs/>
          <w:color w:val="1B2A5E"/>
          <w:sz w:val="22"/>
          <w:szCs w:val="22"/>
        </w:rPr>
        <w:t xml:space="preserve">3.1  Client Data</w:t>
      </w:r>
    </w:p>
    <w:p>
      <w:pPr>
        <w:spacing w:before="60" w:after="100"/>
        <w:jc w:val="both"/>
      </w:pPr>
      <w:r>
        <w:rPr>
          <w:rFonts w:ascii="Times New Roman" w:cs="Times New Roman" w:eastAsia="Times New Roman" w:hAnsi="Times New Roman"/>
          <w:color w:val="1A1A2A"/>
          <w:sz w:val="20"/>
          <w:szCs w:val="20"/>
        </w:rPr>
        <w:t xml:space="preserve">Any non-public information provided by or on behalf of a client, or accessed by Celerity for a client, including commercial, technical, financial, operational, legal, regulatory, pricing, land, and strategy information, whether in oral, written, electronic, visual, or other form.</w:t>
      </w:r>
    </w:p>
    <w:p>
      <w:pPr>
        <w:pStyle w:val="Heading2"/>
        <w:spacing w:before="200" w:after="80"/>
      </w:pPr>
      <w:r>
        <w:rPr>
          <w:rFonts w:ascii="Times New Roman" w:cs="Times New Roman" w:eastAsia="Times New Roman" w:hAnsi="Times New Roman"/>
          <w:b/>
          <w:bCs/>
          <w:color w:val="1B2A5E"/>
          <w:sz w:val="22"/>
          <w:szCs w:val="22"/>
        </w:rPr>
        <w:t xml:space="preserve">3.2  Well Information</w:t>
      </w:r>
    </w:p>
    <w:p>
      <w:pPr>
        <w:spacing w:before="60" w:after="100"/>
        <w:jc w:val="both"/>
      </w:pPr>
      <w:r>
        <w:rPr>
          <w:rFonts w:ascii="Times New Roman" w:cs="Times New Roman" w:eastAsia="Times New Roman" w:hAnsi="Times New Roman"/>
          <w:color w:val="1A1A2A"/>
          <w:sz w:val="20"/>
          <w:szCs w:val="20"/>
        </w:rPr>
        <w:t xml:space="preserve">Any information related to oil &amp; gas wells, prospects, pads, reservoirs, or operations,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seismic data; interpretations; velocity models; horizons; fault picks;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well logs; core; mud logs; cuttings; tests; pressure/temperature data;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drilling/completion designs; BHA; frac designs; stage data; chemistries;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production data; allocations; downtime; artificial lift; surveillance analytics;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type curves; EURs; reserves/resource estimates; decline analyses;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AFEs, budgets, costs, vendor pricing, performance benchmarks;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facilities layouts, gathering/processing constraints, debottlenecking plans;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permitting and compliance records (non-public).</w:t>
      </w:r>
    </w:p>
    <w:p>
      <w:pPr>
        <w:pStyle w:val="Heading2"/>
        <w:spacing w:before="200" w:after="80"/>
      </w:pPr>
      <w:r>
        <w:rPr>
          <w:rFonts w:ascii="Times New Roman" w:cs="Times New Roman" w:eastAsia="Times New Roman" w:hAnsi="Times New Roman"/>
          <w:b/>
          <w:bCs/>
          <w:color w:val="1B2A5E"/>
          <w:sz w:val="22"/>
          <w:szCs w:val="22"/>
        </w:rPr>
        <w:t xml:space="preserve">3.3  Restricted Basin Data</w:t>
      </w:r>
    </w:p>
    <w:p>
      <w:pPr>
        <w:spacing w:before="60" w:after="100"/>
        <w:jc w:val="both"/>
      </w:pPr>
      <w:r>
        <w:rPr>
          <w:rFonts w:ascii="Times New Roman" w:cs="Times New Roman" w:eastAsia="Times New Roman" w:hAnsi="Times New Roman"/>
          <w:color w:val="1A1A2A"/>
          <w:sz w:val="20"/>
          <w:szCs w:val="20"/>
        </w:rPr>
        <w:t xml:space="preserve">A subset of Client Data/Well Information that (a) relates to a basin, play, county, field, formation, or other defined geographic/stratigraphic area, and (b) could reasonably provide competitive advantage if used for another operator/client in that same basin/play. Examples include: non-public type curves, completion recipes, leasehold strategy, subsurface models, vendor pricing, spacing/stacking plans, and operational constraints.</w:t>
      </w:r>
    </w:p>
    <w:p>
      <w:pPr>
        <w:pStyle w:val="Heading2"/>
        <w:spacing w:before="200" w:after="80"/>
      </w:pPr>
      <w:r>
        <w:rPr>
          <w:rFonts w:ascii="Times New Roman" w:cs="Times New Roman" w:eastAsia="Times New Roman" w:hAnsi="Times New Roman"/>
          <w:b/>
          <w:bCs/>
          <w:color w:val="1B2A5E"/>
          <w:sz w:val="22"/>
          <w:szCs w:val="22"/>
        </w:rPr>
        <w:t xml:space="preserve">3.4  Sensitive Personal Data</w:t>
      </w:r>
    </w:p>
    <w:p>
      <w:pPr>
        <w:spacing w:before="60" w:after="100"/>
        <w:jc w:val="both"/>
      </w:pPr>
      <w:r>
        <w:rPr>
          <w:rFonts w:ascii="Times New Roman" w:cs="Times New Roman" w:eastAsia="Times New Roman" w:hAnsi="Times New Roman"/>
          <w:color w:val="1A1A2A"/>
          <w:sz w:val="20"/>
          <w:szCs w:val="20"/>
        </w:rPr>
        <w:t xml:space="preserve">Personal data that is sensitive under applicable law or heightened risk, including Social Security numbers, driver's license numbers, passport numbers, financial account numbers, health information, precise geolocation, login credentials, and any other category designated "sensitive" under applicable privacy laws.</w:t>
      </w:r>
    </w:p>
    <w:p>
      <w:pPr>
        <w:pStyle w:val="Heading2"/>
        <w:spacing w:before="200" w:after="80"/>
      </w:pPr>
      <w:r>
        <w:rPr>
          <w:rFonts w:ascii="Times New Roman" w:cs="Times New Roman" w:eastAsia="Times New Roman" w:hAnsi="Times New Roman"/>
          <w:b/>
          <w:bCs/>
          <w:color w:val="1B2A5E"/>
          <w:sz w:val="22"/>
          <w:szCs w:val="22"/>
        </w:rPr>
        <w:t xml:space="preserve">3.5  Export-Controlled Data</w:t>
      </w:r>
    </w:p>
    <w:p>
      <w:pPr>
        <w:spacing w:before="60" w:after="100"/>
        <w:jc w:val="both"/>
      </w:pPr>
      <w:r>
        <w:rPr>
          <w:rFonts w:ascii="Times New Roman" w:cs="Times New Roman" w:eastAsia="Times New Roman" w:hAnsi="Times New Roman"/>
          <w:color w:val="1A1A2A"/>
          <w:sz w:val="20"/>
          <w:szCs w:val="20"/>
        </w:rPr>
        <w:t xml:space="preserve">Any data, software, technology, technical data, or services subject to U.S. export control or sanctions laws, including the Export Administration Regulations (EAR), International Traffic in Arms Regulations (ITAR), and Office of Foreign Assets Control (OFAC) sanctions, including controlled technology shared with non-U.S. persons.</w:t>
      </w:r>
    </w:p>
    <w:p>
      <w:pPr>
        <w:pStyle w:val="Heading2"/>
        <w:spacing w:before="200" w:after="80"/>
      </w:pPr>
      <w:r>
        <w:rPr>
          <w:rFonts w:ascii="Times New Roman" w:cs="Times New Roman" w:eastAsia="Times New Roman" w:hAnsi="Times New Roman"/>
          <w:b/>
          <w:bCs/>
          <w:color w:val="1B2A5E"/>
          <w:sz w:val="22"/>
          <w:szCs w:val="22"/>
        </w:rPr>
        <w:t xml:space="preserve">3.6  Material Nonpublic Information (MNPI)</w:t>
      </w:r>
    </w:p>
    <w:p>
      <w:pPr>
        <w:spacing w:before="60" w:after="100"/>
        <w:jc w:val="both"/>
      </w:pPr>
      <w:r>
        <w:rPr>
          <w:rFonts w:ascii="Times New Roman" w:cs="Times New Roman" w:eastAsia="Times New Roman" w:hAnsi="Times New Roman"/>
          <w:color w:val="1A1A2A"/>
          <w:sz w:val="20"/>
          <w:szCs w:val="20"/>
        </w:rPr>
        <w:t xml:space="preserve">Information that is (a) nonpublic and (b) material to an investor's decision regarding a security, including operational results, reserves revisions, production guidance, M&amp;A discussions, major contracts, or regulatory outcomes.</w:t>
      </w:r>
    </w:p>
    <w:p>
      <w:pPr>
        <w:pStyle w:val="Heading2"/>
        <w:spacing w:before="200" w:after="80"/>
      </w:pPr>
      <w:r>
        <w:rPr>
          <w:rFonts w:ascii="Times New Roman" w:cs="Times New Roman" w:eastAsia="Times New Roman" w:hAnsi="Times New Roman"/>
          <w:b/>
          <w:bCs/>
          <w:color w:val="1B2A5E"/>
          <w:sz w:val="22"/>
          <w:szCs w:val="22"/>
        </w:rPr>
        <w:t xml:space="preserve">3.7  Approved Systems</w:t>
      </w:r>
    </w:p>
    <w:p>
      <w:pPr>
        <w:spacing w:before="60" w:after="100"/>
        <w:jc w:val="both"/>
      </w:pPr>
      <w:r>
        <w:rPr>
          <w:rFonts w:ascii="Times New Roman" w:cs="Times New Roman" w:eastAsia="Times New Roman" w:hAnsi="Times New Roman"/>
          <w:color w:val="1A1A2A"/>
          <w:sz w:val="20"/>
          <w:szCs w:val="20"/>
        </w:rPr>
        <w:t xml:space="preserve">Systems expressly authorized by Celerity for storing, processing, and transmitting Company or Client Data, listed and maintained by Celerity management/IT/security from time to time (e.g., </w:t>
      </w:r>
      <w:r>
        <w:rPr>
          <w:rFonts w:ascii="Times New Roman" w:cs="Times New Roman" w:eastAsia="Times New Roman" w:hAnsi="Times New Roman"/>
          <w:i/>
          <w:iCs/>
          <w:color w:val="5A6070"/>
          <w:sz w:val="20"/>
          <w:szCs w:val="20"/>
          <w:highlight w:val="yellow"/>
        </w:rPr>
        <w:t xml:space="preserve">[Microsoft 365 / SharePoint / OneDrive / Box Enterprise / approved VDR / VPN]</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3.8  Clean Room</w:t>
      </w:r>
    </w:p>
    <w:p>
      <w:pPr>
        <w:spacing w:before="60" w:after="100"/>
        <w:jc w:val="both"/>
      </w:pPr>
      <w:r>
        <w:rPr>
          <w:rFonts w:ascii="Times New Roman" w:cs="Times New Roman" w:eastAsia="Times New Roman" w:hAnsi="Times New Roman"/>
          <w:color w:val="1A1A2A"/>
          <w:sz w:val="20"/>
          <w:szCs w:val="20"/>
        </w:rPr>
        <w:t xml:space="preserve">A logical and/or physical segregation environment, with restricted access and separate storage/workspace, established to prevent cross-client contamination and to support ethical walls for Restricted Basin Data.</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Data Classification</w:t>
      </w:r>
    </w:p>
    <w:p>
      <w:pPr>
        <w:pStyle w:val="Heading2"/>
        <w:spacing w:before="200" w:after="80"/>
      </w:pPr>
      <w:r>
        <w:rPr>
          <w:rFonts w:ascii="Times New Roman" w:cs="Times New Roman" w:eastAsia="Times New Roman" w:hAnsi="Times New Roman"/>
          <w:b/>
          <w:bCs/>
          <w:color w:val="1B2A5E"/>
          <w:sz w:val="22"/>
          <w:szCs w:val="22"/>
        </w:rPr>
        <w:t xml:space="preserve">4.1  Classification Levels</w:t>
      </w:r>
    </w:p>
    <w:p>
      <w:pPr>
        <w:spacing w:before="60" w:after="100"/>
        <w:jc w:val="both"/>
      </w:pPr>
      <w:r>
        <w:rPr>
          <w:rFonts w:ascii="Times New Roman" w:cs="Times New Roman" w:eastAsia="Times New Roman" w:hAnsi="Times New Roman"/>
          <w:color w:val="1A1A2A"/>
          <w:sz w:val="20"/>
          <w:szCs w:val="20"/>
        </w:rPr>
        <w:t xml:space="preserve">All information handled by Celerity must be classified as follows (or a stricter client classification if applicable):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Level</w:t>
            </w:r>
          </w:p>
        </w:tc>
        <w:tc>
          <w:tcPr>
            <w:tcW w:type="dxa" w:w="216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Classification</w:t>
            </w:r>
          </w:p>
        </w:tc>
        <w:tc>
          <w:tcPr>
            <w:tcW w:type="dxa" w:w="576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Description</w:t>
            </w:r>
          </w:p>
        </w:tc>
      </w:tr>
      <w:tr>
        <w:tc>
          <w:tcPr>
            <w:tcW w:type="dxa" w:w="14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1</w:t>
            </w:r>
          </w:p>
        </w:tc>
        <w:tc>
          <w:tcPr>
            <w:tcW w:type="dxa" w:w="2160"/>
            <w:tcBorders>
              <w:top w:val="single" w:color="D0D7E3" w:sz="1"/>
              <w:left w:val="single" w:color="D0D7E3" w:sz="1"/>
              <w:bottom w:val="single" w:color="D0D7E3" w:sz="1"/>
              <w:right w:val="single" w:color="D0D7E3" w:sz="1"/>
            </w:tcBorders>
            <w:shd w:fill="E8F4FD" w:val="clear"/>
            <w:tcMar>
              <w:top w:type="dxa" w:w="80"/>
              <w:left w:type="dxa" w:w="120"/>
              <w:bottom w:type="dxa" w:w="80"/>
              <w:right w:type="dxa" w:w="120"/>
            </w:tcMar>
          </w:tcPr>
          <w:p>
            <w:r>
              <w:rPr>
                <w:rFonts w:ascii="Times New Roman" w:cs="Times New Roman" w:eastAsia="Times New Roman" w:hAnsi="Times New Roman"/>
                <w:b/>
                <w:bCs/>
                <w:color w:val="1B2A5E"/>
                <w:sz w:val="18"/>
                <w:szCs w:val="18"/>
              </w:rPr>
              <w:t xml:space="preserve">Public</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Approved for public release by authorized personnel.</w:t>
            </w:r>
          </w:p>
        </w:tc>
      </w:tr>
      <w:tr>
        <w:tc>
          <w:tcPr>
            <w:tcW w:type="dxa" w:w="14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2</w:t>
            </w:r>
          </w:p>
        </w:tc>
        <w:tc>
          <w:tcPr>
            <w:tcW w:type="dxa" w:w="2160"/>
            <w:tcBorders>
              <w:top w:val="single" w:color="D0D7E3" w:sz="1"/>
              <w:left w:val="single" w:color="D0D7E3" w:sz="1"/>
              <w:bottom w:val="single" w:color="D0D7E3" w:sz="1"/>
              <w:right w:val="single" w:color="D0D7E3" w:sz="1"/>
            </w:tcBorders>
            <w:shd w:fill="EAF4EA" w:val="clear"/>
            <w:tcMar>
              <w:top w:type="dxa" w:w="80"/>
              <w:left w:type="dxa" w:w="120"/>
              <w:bottom w:type="dxa" w:w="80"/>
              <w:right w:type="dxa" w:w="120"/>
            </w:tcMar>
          </w:tcPr>
          <w:p>
            <w:r>
              <w:rPr>
                <w:rFonts w:ascii="Times New Roman" w:cs="Times New Roman" w:eastAsia="Times New Roman" w:hAnsi="Times New Roman"/>
                <w:b/>
                <w:bCs/>
                <w:color w:val="1B2A5E"/>
                <w:sz w:val="18"/>
                <w:szCs w:val="18"/>
              </w:rPr>
              <w:t xml:space="preserve">Internal</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Non-public information used within Celerity; low-to-moderate sensitivity.</w:t>
            </w:r>
          </w:p>
        </w:tc>
      </w:tr>
      <w:tr>
        <w:tc>
          <w:tcPr>
            <w:tcW w:type="dxa" w:w="14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3</w:t>
            </w:r>
          </w:p>
        </w:tc>
        <w:tc>
          <w:tcPr>
            <w:tcW w:type="dxa" w:w="2160"/>
            <w:tcBorders>
              <w:top w:val="single" w:color="D0D7E3" w:sz="1"/>
              <w:left w:val="single" w:color="D0D7E3" w:sz="1"/>
              <w:bottom w:val="single" w:color="D0D7E3" w:sz="1"/>
              <w:right w:val="single" w:color="D0D7E3" w:sz="1"/>
            </w:tcBorders>
            <w:shd w:fill="FFF9E6" w:val="clear"/>
            <w:tcMar>
              <w:top w:type="dxa" w:w="80"/>
              <w:left w:type="dxa" w:w="120"/>
              <w:bottom w:type="dxa" w:w="80"/>
              <w:right w:type="dxa" w:w="120"/>
            </w:tcMar>
          </w:tcPr>
          <w:p>
            <w:r>
              <w:rPr>
                <w:rFonts w:ascii="Times New Roman" w:cs="Times New Roman" w:eastAsia="Times New Roman" w:hAnsi="Times New Roman"/>
                <w:b/>
                <w:bCs/>
                <w:color w:val="1B2A5E"/>
                <w:sz w:val="18"/>
                <w:szCs w:val="18"/>
              </w:rPr>
              <w:t xml:space="preserve">Confidential</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Non-public information that could cause harm if disclosed. Includes most Client Data.</w:t>
            </w:r>
          </w:p>
        </w:tc>
      </w:tr>
      <w:tr>
        <w:tc>
          <w:tcPr>
            <w:tcW w:type="dxa" w:w="14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4</w:t>
            </w:r>
          </w:p>
        </w:tc>
        <w:tc>
          <w:tcPr>
            <w:tcW w:type="dxa" w:w="2160"/>
            <w:tcBorders>
              <w:top w:val="single" w:color="D0D7E3" w:sz="1"/>
              <w:left w:val="single" w:color="D0D7E3" w:sz="1"/>
              <w:bottom w:val="single" w:color="D0D7E3" w:sz="1"/>
              <w:right w:val="single" w:color="D0D7E3" w:sz="1"/>
            </w:tcBorders>
            <w:shd w:fill="FDECEA" w:val="clear"/>
            <w:tcMar>
              <w:top w:type="dxa" w:w="80"/>
              <w:left w:type="dxa" w:w="120"/>
              <w:bottom w:type="dxa" w:w="80"/>
              <w:right w:type="dxa" w:w="120"/>
            </w:tcMar>
          </w:tcPr>
          <w:p>
            <w:r>
              <w:rPr>
                <w:rFonts w:ascii="Times New Roman" w:cs="Times New Roman" w:eastAsia="Times New Roman" w:hAnsi="Times New Roman"/>
                <w:b/>
                <w:bCs/>
                <w:color w:val="1B2A5E"/>
                <w:sz w:val="18"/>
                <w:szCs w:val="18"/>
              </w:rPr>
              <w:t xml:space="preserve">Restricted</w:t>
            </w:r>
          </w:p>
        </w:tc>
        <w:tc>
          <w:tcPr>
            <w:tcW w:type="dxa" w:w="5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Highly sensitive — highest controls required. Includes Restricted Basin Data, MNPI, Export-Controlled Data, and Sensitive Personal Data.</w:t>
            </w:r>
          </w:p>
        </w:tc>
      </w:tr>
    </w:tbl>
    <w:p>
      <w:pPr>
        <w:spacing w:before="80" w:after="60"/>
      </w:pPr>
    </w:p>
    <w:p>
      <w:pPr>
        <w:pStyle w:val="Heading2"/>
        <w:spacing w:before="200" w:after="80"/>
      </w:pPr>
      <w:r>
        <w:rPr>
          <w:rFonts w:ascii="Times New Roman" w:cs="Times New Roman" w:eastAsia="Times New Roman" w:hAnsi="Times New Roman"/>
          <w:b/>
          <w:bCs/>
          <w:color w:val="1B2A5E"/>
          <w:sz w:val="22"/>
          <w:szCs w:val="22"/>
        </w:rPr>
        <w:t xml:space="preserve">4.2  Default Classification</w:t>
      </w:r>
    </w:p>
    <w:p>
      <w:pPr>
        <w:spacing w:before="60" w:after="100"/>
        <w:jc w:val="both"/>
      </w:pPr>
      <w:r>
        <w:rPr>
          <w:rFonts w:ascii="Times New Roman" w:cs="Times New Roman" w:eastAsia="Times New Roman" w:hAnsi="Times New Roman"/>
          <w:color w:val="1A1A2A"/>
          <w:sz w:val="20"/>
          <w:szCs w:val="20"/>
        </w:rPr>
        <w:t xml:space="preserve">Unless clearly Public, assume </w:t>
      </w:r>
      <w:r>
        <w:rPr>
          <w:rFonts w:ascii="Times New Roman" w:cs="Times New Roman" w:eastAsia="Times New Roman" w:hAnsi="Times New Roman"/>
          <w:b/>
          <w:bCs/>
          <w:color w:val="1A1A2A"/>
          <w:sz w:val="20"/>
          <w:szCs w:val="20"/>
        </w:rPr>
        <w:t xml:space="preserve">Confidential</w:t>
      </w:r>
      <w:r>
        <w:rPr>
          <w:rFonts w:ascii="Times New Roman" w:cs="Times New Roman" w:eastAsia="Times New Roman" w:hAnsi="Times New Roman"/>
          <w:color w:val="1A1A2A"/>
          <w:sz w:val="20"/>
          <w:szCs w:val="20"/>
        </w:rPr>
        <w:t xml:space="preserve">; if Well Information, basin-specific strategy, or competitive operational data, assume </w:t>
      </w:r>
      <w:r>
        <w:rPr>
          <w:rFonts w:ascii="Times New Roman" w:cs="Times New Roman" w:eastAsia="Times New Roman" w:hAnsi="Times New Roman"/>
          <w:b/>
          <w:bCs/>
          <w:color w:val="1A1A2A"/>
          <w:sz w:val="20"/>
          <w:szCs w:val="20"/>
        </w:rPr>
        <w:t xml:space="preserve">Restricted</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4.3  Labeling</w:t>
      </w:r>
    </w:p>
    <w:p>
      <w:pPr>
        <w:spacing w:before="60" w:after="100"/>
        <w:jc w:val="both"/>
      </w:pPr>
      <w:r>
        <w:rPr>
          <w:rFonts w:ascii="Times New Roman" w:cs="Times New Roman" w:eastAsia="Times New Roman" w:hAnsi="Times New Roman"/>
          <w:color w:val="1A1A2A"/>
          <w:sz w:val="20"/>
          <w:szCs w:val="20"/>
        </w:rPr>
        <w:t xml:space="preserve">Where practical, documents and folders must be labeled with the classification (e.g., "CONFIDENTIAL — CLIENT" or "RESTRICTED — BASIN CLEAN ROOM"). Watermarking rules are in Section 8.</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Handling Requirements by Classification</w:t>
      </w:r>
    </w:p>
    <w:p>
      <w:pPr>
        <w:pStyle w:val="Heading2"/>
        <w:spacing w:before="200" w:after="80"/>
      </w:pPr>
      <w:r>
        <w:rPr>
          <w:rFonts w:ascii="Times New Roman" w:cs="Times New Roman" w:eastAsia="Times New Roman" w:hAnsi="Times New Roman"/>
          <w:b/>
          <w:bCs/>
          <w:color w:val="1B2A5E"/>
          <w:sz w:val="22"/>
          <w:szCs w:val="22"/>
        </w:rPr>
        <w:t xml:space="preserve">5.1  General Handling</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information only for authorized business purposes and only for the relevant 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minimize collection and copying; use the least amount of data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local downloads unless necessary and authorized;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discuss Confidential/Restricted information in public places or with unauthorized persons.</w:t>
      </w:r>
    </w:p>
    <w:p>
      <w:pPr>
        <w:pStyle w:val="Heading2"/>
        <w:spacing w:before="200" w:after="80"/>
      </w:pPr>
      <w:r>
        <w:rPr>
          <w:rFonts w:ascii="Times New Roman" w:cs="Times New Roman" w:eastAsia="Times New Roman" w:hAnsi="Times New Roman"/>
          <w:b/>
          <w:bCs/>
          <w:color w:val="1B2A5E"/>
          <w:sz w:val="22"/>
          <w:szCs w:val="22"/>
        </w:rPr>
        <w:t xml:space="preserve">5.2  Confidential Data Requirements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store only in Approved Systems;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share only with authorized engagement team members and approved advisors under NDA;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encrypt in transit (TLS) and at rest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 not use personal email, consumer cloud storage, or unapproved collaboration tools.</w:t>
      </w:r>
    </w:p>
    <w:p>
      <w:pPr>
        <w:pStyle w:val="Heading2"/>
        <w:spacing w:before="200" w:after="80"/>
      </w:pPr>
      <w:r>
        <w:rPr>
          <w:rFonts w:ascii="Times New Roman" w:cs="Times New Roman" w:eastAsia="Times New Roman" w:hAnsi="Times New Roman"/>
          <w:b/>
          <w:bCs/>
          <w:color w:val="1B2A5E"/>
          <w:sz w:val="22"/>
          <w:szCs w:val="22"/>
        </w:rPr>
        <w:t xml:space="preserve">5.3  Restricted Data Requirements (Enhanced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store only in designated Restricted areas of Approved Systems (including Clean Rooms where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access limited to named individuals approved under Section 6;</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mandatory MFA and, where available, conditional access and device compliance;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printing unless explicitly approved and logged; secure disposal 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removable media (USB/external drives) unless expressly approved in writing and encrypted.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Access Control, Least Privilege, and MFA</w:t>
      </w:r>
    </w:p>
    <w:p>
      <w:pPr>
        <w:pStyle w:val="Heading2"/>
        <w:spacing w:before="200" w:after="80"/>
      </w:pPr>
      <w:r>
        <w:rPr>
          <w:rFonts w:ascii="Times New Roman" w:cs="Times New Roman" w:eastAsia="Times New Roman" w:hAnsi="Times New Roman"/>
          <w:b/>
          <w:bCs/>
          <w:color w:val="1B2A5E"/>
          <w:sz w:val="22"/>
          <w:szCs w:val="22"/>
        </w:rPr>
        <w:t xml:space="preserve">6.1  Least Privilege</w:t>
      </w:r>
    </w:p>
    <w:p>
      <w:pPr>
        <w:spacing w:before="60" w:after="100"/>
        <w:jc w:val="both"/>
      </w:pPr>
      <w:r>
        <w:rPr>
          <w:rFonts w:ascii="Times New Roman" w:cs="Times New Roman" w:eastAsia="Times New Roman" w:hAnsi="Times New Roman"/>
          <w:color w:val="1A1A2A"/>
          <w:sz w:val="20"/>
          <w:szCs w:val="20"/>
        </w:rPr>
        <w:t xml:space="preserve">Access to Client Data and Well Information must be granted only to Personnel with a legitimate need-to-know for a specific engagement and at the minimum level required.</w:t>
      </w:r>
    </w:p>
    <w:p>
      <w:pPr>
        <w:pStyle w:val="Heading2"/>
        <w:spacing w:before="200" w:after="80"/>
      </w:pPr>
      <w:r>
        <w:rPr>
          <w:rFonts w:ascii="Times New Roman" w:cs="Times New Roman" w:eastAsia="Times New Roman" w:hAnsi="Times New Roman"/>
          <w:b/>
          <w:bCs/>
          <w:color w:val="1B2A5E"/>
          <w:sz w:val="22"/>
          <w:szCs w:val="22"/>
        </w:rPr>
        <w:t xml:space="preserve">6.2  Role-Based Access</w:t>
      </w:r>
    </w:p>
    <w:p>
      <w:pPr>
        <w:spacing w:before="60" w:after="100"/>
        <w:jc w:val="both"/>
      </w:pPr>
      <w:r>
        <w:rPr>
          <w:rFonts w:ascii="Times New Roman" w:cs="Times New Roman" w:eastAsia="Times New Roman" w:hAnsi="Times New Roman"/>
          <w:color w:val="1A1A2A"/>
          <w:sz w:val="20"/>
          <w:szCs w:val="20"/>
        </w:rPr>
        <w:t xml:space="preserve">Engagement workspaces must be structured with role-based permissions (e.g., Partner/Lead, Analyst, Contractor) and client-specific segregation.</w:t>
      </w:r>
    </w:p>
    <w:p>
      <w:pPr>
        <w:pStyle w:val="Heading2"/>
        <w:spacing w:before="200" w:after="80"/>
      </w:pPr>
      <w:r>
        <w:rPr>
          <w:rFonts w:ascii="Times New Roman" w:cs="Times New Roman" w:eastAsia="Times New Roman" w:hAnsi="Times New Roman"/>
          <w:b/>
          <w:bCs/>
          <w:color w:val="1B2A5E"/>
          <w:sz w:val="22"/>
          <w:szCs w:val="22"/>
        </w:rPr>
        <w:t xml:space="preserve">6.3  MFA Required</w:t>
      </w:r>
    </w:p>
    <w:p>
      <w:pPr>
        <w:spacing w:before="60" w:after="100"/>
        <w:jc w:val="both"/>
      </w:pPr>
      <w:r>
        <w:rPr>
          <w:rFonts w:ascii="Times New Roman" w:cs="Times New Roman" w:eastAsia="Times New Roman" w:hAnsi="Times New Roman"/>
          <w:color w:val="1A1A2A"/>
          <w:sz w:val="20"/>
          <w:szCs w:val="20"/>
        </w:rPr>
        <w:t xml:space="preserve">MFA is required for: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email, file storage, collaboration tools, VPN, and remote access;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system storing Confidential or Restricted data;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administrative access.</w:t>
      </w:r>
    </w:p>
    <w:p>
      <w:pPr>
        <w:pStyle w:val="Heading2"/>
        <w:spacing w:before="200" w:after="80"/>
      </w:pPr>
      <w:r>
        <w:rPr>
          <w:rFonts w:ascii="Times New Roman" w:cs="Times New Roman" w:eastAsia="Times New Roman" w:hAnsi="Times New Roman"/>
          <w:b/>
          <w:bCs/>
          <w:color w:val="1B2A5E"/>
          <w:sz w:val="22"/>
          <w:szCs w:val="22"/>
        </w:rPr>
        <w:t xml:space="preserve">6.4  Account Security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unique user accounts (no shared credentials);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strong password requirements and password manager use where provided/approved;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 de-provisioning upon termination or role change;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quarterly (or more frequent) access reviews for Restricted workspaces.</w:t>
      </w:r>
    </w:p>
    <w:p>
      <w:pPr>
        <w:pStyle w:val="Heading2"/>
        <w:spacing w:before="200" w:after="80"/>
      </w:pPr>
      <w:r>
        <w:rPr>
          <w:rFonts w:ascii="Times New Roman" w:cs="Times New Roman" w:eastAsia="Times New Roman" w:hAnsi="Times New Roman"/>
          <w:b/>
          <w:bCs/>
          <w:color w:val="1B2A5E"/>
          <w:sz w:val="22"/>
          <w:szCs w:val="22"/>
        </w:rPr>
        <w:t xml:space="preserve">6.5  Client System Access</w:t>
      </w:r>
    </w:p>
    <w:p>
      <w:pPr>
        <w:spacing w:before="60" w:after="100"/>
        <w:jc w:val="both"/>
      </w:pPr>
      <w:r>
        <w:rPr>
          <w:rFonts w:ascii="Times New Roman" w:cs="Times New Roman" w:eastAsia="Times New Roman" w:hAnsi="Times New Roman"/>
          <w:color w:val="1A1A2A"/>
          <w:sz w:val="20"/>
          <w:szCs w:val="20"/>
        </w:rPr>
        <w:t xml:space="preserve">When accessing client systems, Personnel must comply with client access rules, including MFA, VPN, VDI, and device controls.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Storage, Encryption, Device Security, and Remote Work</w:t>
      </w:r>
    </w:p>
    <w:p>
      <w:pPr>
        <w:pStyle w:val="Heading2"/>
        <w:spacing w:before="200" w:after="80"/>
      </w:pPr>
      <w:r>
        <w:rPr>
          <w:rFonts w:ascii="Times New Roman" w:cs="Times New Roman" w:eastAsia="Times New Roman" w:hAnsi="Times New Roman"/>
          <w:b/>
          <w:bCs/>
          <w:color w:val="1B2A5E"/>
          <w:sz w:val="22"/>
          <w:szCs w:val="22"/>
        </w:rPr>
        <w:t xml:space="preserve">7.1  Approved Storage Only</w:t>
      </w:r>
    </w:p>
    <w:p>
      <w:pPr>
        <w:spacing w:before="60" w:after="100"/>
        <w:jc w:val="both"/>
      </w:pPr>
      <w:r>
        <w:rPr>
          <w:rFonts w:ascii="Times New Roman" w:cs="Times New Roman" w:eastAsia="Times New Roman" w:hAnsi="Times New Roman"/>
          <w:color w:val="1A1A2A"/>
          <w:sz w:val="20"/>
          <w:szCs w:val="20"/>
        </w:rPr>
        <w:t xml:space="preserve">Client Data and Well Information must be stored only in Approved Systems. Local storage on laptops/desktops should be avoided; if necessary, it must be: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encrypted (full-disk encryption);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stored in a designated encrypted folder;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deleted promptly when no longer required.</w:t>
      </w:r>
    </w:p>
    <w:p>
      <w:pPr>
        <w:pStyle w:val="Heading2"/>
        <w:spacing w:before="200" w:after="80"/>
      </w:pPr>
      <w:r>
        <w:rPr>
          <w:rFonts w:ascii="Times New Roman" w:cs="Times New Roman" w:eastAsia="Times New Roman" w:hAnsi="Times New Roman"/>
          <w:b/>
          <w:bCs/>
          <w:color w:val="1B2A5E"/>
          <w:sz w:val="22"/>
          <w:szCs w:val="22"/>
        </w:rPr>
        <w:t xml:space="preserve">7.2  Encryption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In transit: </w:t>
      </w:r>
      <w:r>
        <w:rPr>
          <w:rFonts w:ascii="Times New Roman" w:cs="Times New Roman" w:eastAsia="Times New Roman" w:hAnsi="Times New Roman"/>
          <w:color w:val="1A1A2A"/>
          <w:sz w:val="20"/>
          <w:szCs w:val="20"/>
        </w:rPr>
        <w:t xml:space="preserve">use TLS/HTTPS, SFTP, or client-approved secure portals.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At rest: </w:t>
      </w:r>
      <w:r>
        <w:rPr>
          <w:rFonts w:ascii="Times New Roman" w:cs="Times New Roman" w:eastAsia="Times New Roman" w:hAnsi="Times New Roman"/>
          <w:color w:val="1A1A2A"/>
          <w:sz w:val="20"/>
          <w:szCs w:val="20"/>
        </w:rPr>
        <w:t xml:space="preserve">use platform encryption at rest; endpoints must use full-disk encryption.</w:t>
      </w:r>
    </w:p>
    <w:p>
      <w:pPr>
        <w:pStyle w:val="Heading2"/>
        <w:spacing w:before="200" w:after="80"/>
      </w:pPr>
      <w:r>
        <w:rPr>
          <w:rFonts w:ascii="Times New Roman" w:cs="Times New Roman" w:eastAsia="Times New Roman" w:hAnsi="Times New Roman"/>
          <w:b/>
          <w:bCs/>
          <w:color w:val="1B2A5E"/>
          <w:sz w:val="22"/>
          <w:szCs w:val="22"/>
        </w:rPr>
        <w:t xml:space="preserve">7.3  Device Security Baseline</w:t>
      </w:r>
    </w:p>
    <w:p>
      <w:pPr>
        <w:spacing w:before="60" w:after="100"/>
        <w:jc w:val="both"/>
      </w:pPr>
      <w:r>
        <w:rPr>
          <w:rFonts w:ascii="Times New Roman" w:cs="Times New Roman" w:eastAsia="Times New Roman" w:hAnsi="Times New Roman"/>
          <w:color w:val="1A1A2A"/>
          <w:sz w:val="20"/>
          <w:szCs w:val="20"/>
        </w:rPr>
        <w:t xml:space="preserve">Devices used for Celerity work must have: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full-disk encryption enabled;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screen lock (timeout ≤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minutes);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current OS/security patches (within </w:t>
      </w:r>
      <w:r>
        <w:rPr>
          <w:rFonts w:ascii="Times New Roman" w:cs="Times New Roman" w:eastAsia="Times New Roman" w:hAnsi="Times New Roman"/>
          <w:i/>
          <w:iCs/>
          <w:color w:val="5A6070"/>
          <w:sz w:val="20"/>
          <w:szCs w:val="20"/>
          <w:highlight w:val="yellow"/>
        </w:rPr>
        <w:t xml:space="preserve">[14]</w:t>
      </w:r>
      <w:r>
        <w:rPr>
          <w:rFonts w:ascii="Times New Roman" w:cs="Times New Roman" w:eastAsia="Times New Roman" w:hAnsi="Times New Roman"/>
          <w:color w:val="1A1A2A"/>
          <w:sz w:val="20"/>
          <w:szCs w:val="20"/>
        </w:rPr>
        <w:t xml:space="preserve"> days of release where feasible);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antivirus/EDR enabled (where provided/required);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prohibition on jailbroken/rooted devices for Restricted data access.</w:t>
      </w:r>
    </w:p>
    <w:p>
      <w:pPr>
        <w:pStyle w:val="Heading2"/>
        <w:spacing w:before="200" w:after="80"/>
      </w:pPr>
      <w:r>
        <w:rPr>
          <w:rFonts w:ascii="Times New Roman" w:cs="Times New Roman" w:eastAsia="Times New Roman" w:hAnsi="Times New Roman"/>
          <w:b/>
          <w:bCs/>
          <w:color w:val="1B2A5E"/>
          <w:sz w:val="22"/>
          <w:szCs w:val="22"/>
        </w:rPr>
        <w:t xml:space="preserve">7.4  Remote Work Requirements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secure Wi-Fi; avoid public Wi-Fi without VPN;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viewing Restricted information in public where screens may be observed;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privacy screens when traveling or working in shared spaces (recommended; required for Restricted data when in public);</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 not use smart speakers/always-on recording devices in areas where confidential calls occur.</w:t>
      </w:r>
    </w:p>
    <w:p>
      <w:pPr>
        <w:pStyle w:val="Heading2"/>
        <w:spacing w:before="200" w:after="80"/>
      </w:pPr>
      <w:r>
        <w:rPr>
          <w:rFonts w:ascii="Times New Roman" w:cs="Times New Roman" w:eastAsia="Times New Roman" w:hAnsi="Times New Roman"/>
          <w:b/>
          <w:bCs/>
          <w:color w:val="1B2A5E"/>
          <w:sz w:val="22"/>
          <w:szCs w:val="22"/>
        </w:rPr>
        <w:t xml:space="preserve">7.5  Physical Security</w:t>
      </w:r>
    </w:p>
    <w:p>
      <w:pPr>
        <w:spacing w:before="60" w:after="100"/>
        <w:jc w:val="both"/>
      </w:pPr>
      <w:r>
        <w:rPr>
          <w:rFonts w:ascii="Times New Roman" w:cs="Times New Roman" w:eastAsia="Times New Roman" w:hAnsi="Times New Roman"/>
          <w:color w:val="1A1A2A"/>
          <w:sz w:val="20"/>
          <w:szCs w:val="20"/>
        </w:rPr>
        <w:t xml:space="preserve">Hard copies, if approved, must be: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kept in locked storage when not in use;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transported securely (no checked luggage for Restricted data);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destroyed using cross-cut shredding or secure destruction services.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Transmission and Sharing Rules</w:t>
      </w:r>
    </w:p>
    <w:p>
      <w:pPr>
        <w:pStyle w:val="Heading2"/>
        <w:spacing w:before="200" w:after="80"/>
      </w:pPr>
      <w:r>
        <w:rPr>
          <w:rFonts w:ascii="Times New Roman" w:cs="Times New Roman" w:eastAsia="Times New Roman" w:hAnsi="Times New Roman"/>
          <w:b/>
          <w:bCs/>
          <w:color w:val="1B2A5E"/>
          <w:sz w:val="22"/>
          <w:szCs w:val="22"/>
        </w:rPr>
        <w:t xml:space="preserve">8.1  Permitted Transmission Methods</w:t>
      </w:r>
    </w:p>
    <w:p>
      <w:pPr>
        <w:spacing w:before="60" w:after="100"/>
        <w:jc w:val="both"/>
      </w:pPr>
      <w:r>
        <w:rPr>
          <w:rFonts w:ascii="Times New Roman" w:cs="Times New Roman" w:eastAsia="Times New Roman" w:hAnsi="Times New Roman"/>
          <w:color w:val="1A1A2A"/>
          <w:sz w:val="20"/>
          <w:szCs w:val="20"/>
        </w:rPr>
        <w:t xml:space="preserve">Confidential/Restricted data may be transmitted only via: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client-approved secure portals or VDRs;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secure links from Approved Systems with access controls (named users, expiration, no public links);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SFTP or other encrypted transfer methods approved by Celerity security;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encrypted email only if permitted by client and configured to restrict forwarding/download where feasible.</w:t>
      </w:r>
    </w:p>
    <w:p>
      <w:pPr>
        <w:pStyle w:val="Heading2"/>
        <w:spacing w:before="200" w:after="80"/>
      </w:pPr>
      <w:r>
        <w:rPr>
          <w:rFonts w:ascii="Times New Roman" w:cs="Times New Roman" w:eastAsia="Times New Roman" w:hAnsi="Times New Roman"/>
          <w:b/>
          <w:bCs/>
          <w:color w:val="1B2A5E"/>
          <w:sz w:val="22"/>
          <w:szCs w:val="22"/>
        </w:rPr>
        <w:t xml:space="preserve">8.2  Prohibited Transmission Methods</w:t>
      </w:r>
    </w:p>
    <w:p>
      <w:pPr>
        <w:spacing w:before="60" w:after="100"/>
        <w:jc w:val="both"/>
      </w:pPr>
      <w:r>
        <w:rPr>
          <w:rFonts w:ascii="Times New Roman" w:cs="Times New Roman" w:eastAsia="Times New Roman" w:hAnsi="Times New Roman"/>
          <w:color w:val="1A1A2A"/>
          <w:sz w:val="20"/>
          <w:szCs w:val="20"/>
        </w:rPr>
        <w:t xml:space="preserve">Unless expressly approved in writing by </w:t>
      </w:r>
      <w:r>
        <w:rPr>
          <w:rFonts w:ascii="Times New Roman" w:cs="Times New Roman" w:eastAsia="Times New Roman" w:hAnsi="Times New Roman"/>
          <w:i/>
          <w:iCs/>
          <w:color w:val="5A6070"/>
          <w:sz w:val="20"/>
          <w:szCs w:val="20"/>
          <w:highlight w:val="yellow"/>
        </w:rPr>
        <w:t xml:space="preserve">[SECURITY/COMPLIANCE OWNER]</w:t>
      </w:r>
      <w:r>
        <w:rPr>
          <w:rFonts w:ascii="Times New Roman" w:cs="Times New Roman" w:eastAsia="Times New Roman" w:hAnsi="Times New Roman"/>
          <w:color w:val="1A1A2A"/>
          <w:sz w:val="20"/>
          <w:szCs w:val="20"/>
        </w:rPr>
        <w:t xml:space="preserve"> and the client (where applicable), 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send Client Data to personal email accounts;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consumer file-sharing (personal Dropbox/Google Drive/iCloud);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SMS/MMS, WhatsApp, Signal, Telegram, or social media messaging for Confidential/Restricted data;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unencrypted USB drives or external media;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upload Client Data to AI tools or LLM services not expressly approved for that client and use case.</w:t>
      </w:r>
    </w:p>
    <w:p>
      <w:pPr>
        <w:pStyle w:val="Heading2"/>
        <w:spacing w:before="200" w:after="80"/>
      </w:pPr>
      <w:r>
        <w:rPr>
          <w:rFonts w:ascii="Times New Roman" w:cs="Times New Roman" w:eastAsia="Times New Roman" w:hAnsi="Times New Roman"/>
          <w:b/>
          <w:bCs/>
          <w:color w:val="1B2A5E"/>
          <w:sz w:val="22"/>
          <w:szCs w:val="22"/>
        </w:rPr>
        <w:t xml:space="preserve">8.3  Watermarking and File Controls</w:t>
      </w:r>
    </w:p>
    <w:p>
      <w:pPr>
        <w:spacing w:before="60" w:after="100"/>
        <w:jc w:val="both"/>
      </w:pPr>
      <w:r>
        <w:rPr>
          <w:rFonts w:ascii="Times New Roman" w:cs="Times New Roman" w:eastAsia="Times New Roman" w:hAnsi="Times New Roman"/>
          <w:color w:val="1A1A2A"/>
          <w:sz w:val="20"/>
          <w:szCs w:val="20"/>
        </w:rPr>
        <w:t xml:space="preserve">For Restricted Basin Data and other Restricted materials: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apply visible watermark (Client name + "RESTRICTED" + date + user) where practical;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access logs, download restrictions, and expiration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for large distributions, maintain a distribution list and version control.</w:t>
      </w:r>
    </w:p>
    <w:p>
      <w:pPr>
        <w:pStyle w:val="Heading2"/>
        <w:spacing w:before="200" w:after="80"/>
      </w:pPr>
      <w:r>
        <w:rPr>
          <w:rFonts w:ascii="Times New Roman" w:cs="Times New Roman" w:eastAsia="Times New Roman" w:hAnsi="Times New Roman"/>
          <w:b/>
          <w:bCs/>
          <w:color w:val="1B2A5E"/>
          <w:sz w:val="22"/>
          <w:szCs w:val="22"/>
        </w:rPr>
        <w:t xml:space="preserve">8.4  Minimum Necessary Sharing</w:t>
      </w:r>
    </w:p>
    <w:p>
      <w:pPr>
        <w:spacing w:before="60" w:after="100"/>
        <w:jc w:val="both"/>
      </w:pPr>
      <w:r>
        <w:rPr>
          <w:rFonts w:ascii="Times New Roman" w:cs="Times New Roman" w:eastAsia="Times New Roman" w:hAnsi="Times New Roman"/>
          <w:color w:val="1A1A2A"/>
          <w:sz w:val="20"/>
          <w:szCs w:val="20"/>
        </w:rPr>
        <w:t xml:space="preserve">Share only the minimum required subset of data. Avoid sharing raw Well Information broadly when summaries suffice.</w:t>
      </w:r>
    </w:p>
    <w:p>
      <w:pPr>
        <w:pStyle w:val="Heading2"/>
        <w:spacing w:before="200" w:after="80"/>
      </w:pPr>
      <w:r>
        <w:rPr>
          <w:rFonts w:ascii="Times New Roman" w:cs="Times New Roman" w:eastAsia="Times New Roman" w:hAnsi="Times New Roman"/>
          <w:b/>
          <w:bCs/>
          <w:color w:val="1B2A5E"/>
          <w:sz w:val="22"/>
          <w:szCs w:val="22"/>
        </w:rPr>
        <w:t xml:space="preserve">8.5  Third-Party Reliance and Onward Disclosure</w:t>
      </w:r>
    </w:p>
    <w:p>
      <w:pPr>
        <w:spacing w:before="60" w:after="100"/>
        <w:jc w:val="both"/>
      </w:pPr>
      <w:r>
        <w:rPr>
          <w:rFonts w:ascii="Times New Roman" w:cs="Times New Roman" w:eastAsia="Times New Roman" w:hAnsi="Times New Roman"/>
          <w:color w:val="1A1A2A"/>
          <w:sz w:val="20"/>
          <w:szCs w:val="20"/>
        </w:rPr>
        <w:t xml:space="preserve">Sharing with lenders, investors, buyers, or other third parties is prohibited unless authorized by the client and governed by appropriate NDAs/reliance letters.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Clean Room and Segregation Protocols (Multiple Operators in Same Basin)</w:t>
      </w:r>
    </w:p>
    <w:p>
      <w:pPr>
        <w:pStyle w:val="Heading2"/>
        <w:spacing w:before="200" w:after="80"/>
      </w:pPr>
      <w:r>
        <w:rPr>
          <w:rFonts w:ascii="Times New Roman" w:cs="Times New Roman" w:eastAsia="Times New Roman" w:hAnsi="Times New Roman"/>
          <w:b/>
          <w:bCs/>
          <w:color w:val="1B2A5E"/>
          <w:sz w:val="22"/>
          <w:szCs w:val="22"/>
        </w:rPr>
        <w:t xml:space="preserve">9.1  When Required</w:t>
      </w:r>
    </w:p>
    <w:p>
      <w:pPr>
        <w:spacing w:before="60" w:after="100"/>
        <w:jc w:val="both"/>
      </w:pPr>
      <w:r>
        <w:rPr>
          <w:rFonts w:ascii="Times New Roman" w:cs="Times New Roman" w:eastAsia="Times New Roman" w:hAnsi="Times New Roman"/>
          <w:color w:val="1A1A2A"/>
          <w:sz w:val="20"/>
          <w:szCs w:val="20"/>
        </w:rPr>
        <w:t xml:space="preserve">A Clean Room must be used when: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is engaged by multiple operators/clients in the same basin/play and work involves Restricted Basin Data;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client requires segregation;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Celerity determines segregation is prudent to prevent conflicts or appearance of conflicts.</w:t>
      </w:r>
    </w:p>
    <w:p>
      <w:pPr>
        <w:pStyle w:val="Heading2"/>
        <w:spacing w:before="200" w:after="80"/>
      </w:pPr>
      <w:r>
        <w:rPr>
          <w:rFonts w:ascii="Times New Roman" w:cs="Times New Roman" w:eastAsia="Times New Roman" w:hAnsi="Times New Roman"/>
          <w:b/>
          <w:bCs/>
          <w:color w:val="1B2A5E"/>
          <w:sz w:val="22"/>
          <w:szCs w:val="22"/>
        </w:rPr>
        <w:t xml:space="preserve">9.2  Clean Room Design (Minimum Controls)</w:t>
      </w:r>
    </w:p>
    <w:p>
      <w:pPr>
        <w:spacing w:before="60" w:after="100"/>
        <w:jc w:val="both"/>
      </w:pPr>
      <w:r>
        <w:rPr>
          <w:rFonts w:ascii="Times New Roman" w:cs="Times New Roman" w:eastAsia="Times New Roman" w:hAnsi="Times New Roman"/>
          <w:color w:val="1A1A2A"/>
          <w:sz w:val="20"/>
          <w:szCs w:val="20"/>
        </w:rPr>
        <w:t xml:space="preserve">Clean Rooms must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separate, client-specific workspace in Approved Systems (separate Teams/SharePoint/VDR 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restricted access to named team members only;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separate folder structures for raw data vs. derived work product;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logging enabled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prohibition on copying Restricted Basin Data to other client workspaces.</w:t>
      </w:r>
    </w:p>
    <w:p>
      <w:pPr>
        <w:pStyle w:val="Heading2"/>
        <w:spacing w:before="200" w:after="80"/>
      </w:pPr>
      <w:r>
        <w:rPr>
          <w:rFonts w:ascii="Times New Roman" w:cs="Times New Roman" w:eastAsia="Times New Roman" w:hAnsi="Times New Roman"/>
          <w:b/>
          <w:bCs/>
          <w:color w:val="1B2A5E"/>
          <w:sz w:val="22"/>
          <w:szCs w:val="22"/>
        </w:rPr>
        <w:t xml:space="preserve">9.3  Cross-Engagement Contamination Prevention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 reuse of client-specific subsurface models, mapping, type curves, completion recipes, vendor pricing, or other Restricted Basin Data across clients;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"benchmarking" must be performed using </w:t>
      </w:r>
      <w:r>
        <w:rPr>
          <w:rFonts w:ascii="Times New Roman" w:cs="Times New Roman" w:eastAsia="Times New Roman" w:hAnsi="Times New Roman"/>
          <w:b/>
          <w:bCs/>
          <w:color w:val="1A1A2A"/>
          <w:sz w:val="20"/>
          <w:szCs w:val="20"/>
        </w:rPr>
        <w:t xml:space="preserve">aggregated, anonymized, non-client-identifiable</w:t>
      </w:r>
      <w:r>
        <w:rPr>
          <w:rFonts w:ascii="Times New Roman" w:cs="Times New Roman" w:eastAsia="Times New Roman" w:hAnsi="Times New Roman"/>
          <w:color w:val="1A1A2A"/>
          <w:sz w:val="20"/>
          <w:szCs w:val="20"/>
        </w:rPr>
        <w:t xml:space="preserve"> information, and only if permitted by governing agreements and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 leads must confirm Clean Room setup before ingesting Restricted Basin Data.</w:t>
      </w:r>
    </w:p>
    <w:p>
      <w:pPr>
        <w:pStyle w:val="Heading2"/>
        <w:spacing w:before="200" w:after="80"/>
      </w:pPr>
      <w:r>
        <w:rPr>
          <w:rFonts w:ascii="Times New Roman" w:cs="Times New Roman" w:eastAsia="Times New Roman" w:hAnsi="Times New Roman"/>
          <w:b/>
          <w:bCs/>
          <w:color w:val="1B2A5E"/>
          <w:sz w:val="22"/>
          <w:szCs w:val="22"/>
        </w:rPr>
        <w:t xml:space="preserve">9.4  Personnel Rotation Controls</w:t>
      </w:r>
    </w:p>
    <w:p>
      <w:pPr>
        <w:spacing w:before="60" w:after="100"/>
        <w:jc w:val="both"/>
      </w:pPr>
      <w:r>
        <w:rPr>
          <w:rFonts w:ascii="Times New Roman" w:cs="Times New Roman" w:eastAsia="Times New Roman" w:hAnsi="Times New Roman"/>
          <w:color w:val="1A1A2A"/>
          <w:sz w:val="20"/>
          <w:szCs w:val="20"/>
        </w:rPr>
        <w:t xml:space="preserve">When Personnel transition between clients in the same basin: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access to prior client Clean Room must be removed immediately upon transition;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 "cooling-off" approach may be applied for especially sensitive roles (as determined by compliance), and the new client scope may be limited to avoid conflicts.</w:t>
      </w:r>
    </w:p>
    <w:p>
      <w:pPr>
        <w:pStyle w:val="Heading2"/>
        <w:spacing w:before="200" w:after="80"/>
      </w:pPr>
      <w:r>
        <w:rPr>
          <w:rFonts w:ascii="Times New Roman" w:cs="Times New Roman" w:eastAsia="Times New Roman" w:hAnsi="Times New Roman"/>
          <w:b/>
          <w:bCs/>
          <w:color w:val="1B2A5E"/>
          <w:sz w:val="22"/>
          <w:szCs w:val="22"/>
        </w:rPr>
        <w:t xml:space="preserve">9.5  Outputs</w:t>
      </w:r>
    </w:p>
    <w:p>
      <w:pPr>
        <w:spacing w:before="60" w:after="100"/>
        <w:jc w:val="both"/>
      </w:pPr>
      <w:r>
        <w:rPr>
          <w:rFonts w:ascii="Times New Roman" w:cs="Times New Roman" w:eastAsia="Times New Roman" w:hAnsi="Times New Roman"/>
          <w:color w:val="1A1A2A"/>
          <w:sz w:val="20"/>
          <w:szCs w:val="20"/>
        </w:rPr>
        <w:t xml:space="preserve">Deliverables for a client must be derived only from:</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that client's data, publicly available information, and Celerity's pre-existing general know-how;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permitted anonymized benchmarks (if allowed), documented as such.</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Conflicts of Interest, Ethical Walls, and Escalation</w:t>
      </w:r>
    </w:p>
    <w:p>
      <w:pPr>
        <w:pStyle w:val="Heading2"/>
        <w:spacing w:before="200" w:after="80"/>
      </w:pPr>
      <w:r>
        <w:rPr>
          <w:rFonts w:ascii="Times New Roman" w:cs="Times New Roman" w:eastAsia="Times New Roman" w:hAnsi="Times New Roman"/>
          <w:b/>
          <w:bCs/>
          <w:color w:val="1B2A5E"/>
          <w:sz w:val="22"/>
          <w:szCs w:val="22"/>
        </w:rPr>
        <w:t xml:space="preserve">10.1  Duty to Disclose</w:t>
      </w:r>
    </w:p>
    <w:p>
      <w:pPr>
        <w:spacing w:before="60" w:after="100"/>
        <w:jc w:val="both"/>
      </w:pPr>
      <w:r>
        <w:rPr>
          <w:rFonts w:ascii="Times New Roman" w:cs="Times New Roman" w:eastAsia="Times New Roman" w:hAnsi="Times New Roman"/>
          <w:color w:val="1A1A2A"/>
          <w:sz w:val="20"/>
          <w:szCs w:val="20"/>
        </w:rPr>
        <w:t xml:space="preserve">Personnel must promptly disclose any actual, potential, or perceived conflict of interest related to:</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working for competing operators in the same basin;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personal investments or relationships with clients, vendors, or competitors;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access to MNPI or confidential transaction information.</w:t>
      </w:r>
    </w:p>
    <w:p>
      <w:pPr>
        <w:pStyle w:val="Heading2"/>
        <w:spacing w:before="200" w:after="80"/>
      </w:pPr>
      <w:r>
        <w:rPr>
          <w:rFonts w:ascii="Times New Roman" w:cs="Times New Roman" w:eastAsia="Times New Roman" w:hAnsi="Times New Roman"/>
          <w:b/>
          <w:bCs/>
          <w:color w:val="1B2A5E"/>
          <w:sz w:val="22"/>
          <w:szCs w:val="22"/>
        </w:rPr>
        <w:t xml:space="preserve">10.2  Ethical Wall Establishment</w:t>
      </w:r>
    </w:p>
    <w:p>
      <w:pPr>
        <w:spacing w:before="60" w:after="100"/>
        <w:jc w:val="both"/>
      </w:pPr>
      <w:r>
        <w:rPr>
          <w:rFonts w:ascii="Times New Roman" w:cs="Times New Roman" w:eastAsia="Times New Roman" w:hAnsi="Times New Roman"/>
          <w:color w:val="1A1A2A"/>
          <w:sz w:val="20"/>
          <w:szCs w:val="20"/>
        </w:rPr>
        <w:t xml:space="preserve">Where a conflict risk exists, Celerity may establish an ethical wall, which may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Clean Room segregation (Section 9);</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written team assignments and restricted communications;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prohibition on certain individuals participating in one or more engagements;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separate reporting lines and meeting restrictions.</w:t>
      </w:r>
    </w:p>
    <w:p>
      <w:pPr>
        <w:pStyle w:val="Heading2"/>
        <w:spacing w:before="200" w:after="80"/>
      </w:pPr>
      <w:r>
        <w:rPr>
          <w:rFonts w:ascii="Times New Roman" w:cs="Times New Roman" w:eastAsia="Times New Roman" w:hAnsi="Times New Roman"/>
          <w:b/>
          <w:bCs/>
          <w:color w:val="1B2A5E"/>
          <w:sz w:val="22"/>
          <w:szCs w:val="22"/>
        </w:rPr>
        <w:t xml:space="preserve">10.3  Escalation and Approvals</w:t>
      </w:r>
    </w:p>
    <w:p>
      <w:pPr>
        <w:spacing w:before="60" w:after="100"/>
        <w:jc w:val="both"/>
      </w:pPr>
      <w:r>
        <w:rPr>
          <w:rFonts w:ascii="Times New Roman" w:cs="Times New Roman" w:eastAsia="Times New Roman" w:hAnsi="Times New Roman"/>
          <w:color w:val="1A1A2A"/>
          <w:sz w:val="20"/>
          <w:szCs w:val="20"/>
        </w:rPr>
        <w:t xml:space="preserve">Conflicts/ethical wall issues must be escalated to:</w:t>
      </w:r>
    </w:p>
    <w:p>
      <w:pPr>
        <w:pStyle w:val="ListParagraph"/>
        <w:numPr>
          <w:ilvl w:val="0"/>
          <w:numId w:val="2"/>
        </w:numPr>
        <w:spacing w:before="40" w:after="60"/>
        <w:jc w:val="both"/>
      </w:pPr>
      <w:r>
        <w:rPr>
          <w:rFonts w:ascii="Times New Roman" w:cs="Times New Roman" w:eastAsia="Times New Roman" w:hAnsi="Times New Roman"/>
          <w:i/>
          <w:iCs/>
          <w:color w:val="5A6070"/>
          <w:sz w:val="20"/>
          <w:szCs w:val="20"/>
          <w:highlight w:val="yellow"/>
        </w:rPr>
        <w:t xml:space="preserve">[DESIGNATED COMPLIANCE/CONFLICTS OFFICER]</w:t>
      </w:r>
      <w:r>
        <w:rPr>
          <w:rFonts w:ascii="Times New Roman" w:cs="Times New Roman" w:eastAsia="Times New Roman" w:hAnsi="Times New Roman"/>
          <w:color w:val="1A1A2A"/>
          <w:sz w:val="20"/>
          <w:szCs w:val="20"/>
        </w:rPr>
        <w:t xml:space="preserve"> at </w:t>
      </w:r>
      <w:r>
        <w:rPr>
          <w:rFonts w:ascii="Times New Roman" w:cs="Times New Roman" w:eastAsia="Times New Roman" w:hAnsi="Times New Roman"/>
          <w:i/>
          <w:iCs/>
          <w:color w:val="5A6070"/>
          <w:sz w:val="20"/>
          <w:szCs w:val="20"/>
          <w:highlight w:val="yellow"/>
        </w:rPr>
        <w:t xml:space="preserve">[EMAIL]</w:t>
      </w:r>
      <w:r>
        <w:rPr>
          <w:rFonts w:ascii="Times New Roman" w:cs="Times New Roman" w:eastAsia="Times New Roman" w:hAnsi="Times New Roman"/>
          <w:color w:val="1A1A2A"/>
          <w:sz w:val="20"/>
          <w:szCs w:val="20"/>
        </w:rPr>
        <w:t xml:space="preserve">;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engagement leads for the impacted clients.</w:t>
      </w:r>
    </w:p>
    <w:p>
      <w:pPr>
        <w:pStyle w:val="Heading2"/>
        <w:spacing w:before="200" w:after="80"/>
      </w:pPr>
      <w:r>
        <w:rPr>
          <w:rFonts w:ascii="Times New Roman" w:cs="Times New Roman" w:eastAsia="Times New Roman" w:hAnsi="Times New Roman"/>
          <w:b/>
          <w:bCs/>
          <w:color w:val="1B2A5E"/>
          <w:sz w:val="22"/>
          <w:szCs w:val="22"/>
        </w:rPr>
        <w:t xml:space="preserve">10.4  Client Notifications</w:t>
      </w:r>
    </w:p>
    <w:p>
      <w:pPr>
        <w:spacing w:before="60" w:after="100"/>
        <w:jc w:val="both"/>
      </w:pPr>
      <w:r>
        <w:rPr>
          <w:rFonts w:ascii="Times New Roman" w:cs="Times New Roman" w:eastAsia="Times New Roman" w:hAnsi="Times New Roman"/>
          <w:color w:val="1A1A2A"/>
          <w:sz w:val="20"/>
          <w:szCs w:val="20"/>
        </w:rPr>
        <w:t xml:space="preserve">Where required by contract, ethics, or risk, Celerity may notify impacted clients and obtain waivers/consents. No Personnel may provide such disclosure without approval from </w:t>
      </w:r>
      <w:r>
        <w:rPr>
          <w:rFonts w:ascii="Times New Roman" w:cs="Times New Roman" w:eastAsia="Times New Roman" w:hAnsi="Times New Roman"/>
          <w:i/>
          <w:iCs/>
          <w:color w:val="5A6070"/>
          <w:sz w:val="20"/>
          <w:szCs w:val="20"/>
          <w:highlight w:val="yellow"/>
        </w:rPr>
        <w:t xml:space="preserve">[AUTHORIZED EXECUTIVE]</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10.5  No Misuse Rule</w:t>
      </w:r>
    </w:p>
    <w:p>
      <w:pPr>
        <w:spacing w:before="60" w:after="100"/>
        <w:jc w:val="both"/>
      </w:pPr>
      <w:r>
        <w:rPr>
          <w:rFonts w:ascii="Times New Roman" w:cs="Times New Roman" w:eastAsia="Times New Roman" w:hAnsi="Times New Roman"/>
          <w:color w:val="1A1A2A"/>
          <w:sz w:val="20"/>
          <w:szCs w:val="20"/>
        </w:rPr>
        <w:t xml:space="preserve">Personnel must never use one client's Restricted Basin Data to benefit another client or to benefit themselves. Violations may result in termination and legal action.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Retention, Return, Destruction, and Legal Holds</w:t>
      </w:r>
    </w:p>
    <w:p>
      <w:pPr>
        <w:pStyle w:val="Heading2"/>
        <w:spacing w:before="200" w:after="80"/>
      </w:pPr>
      <w:r>
        <w:rPr>
          <w:rFonts w:ascii="Times New Roman" w:cs="Times New Roman" w:eastAsia="Times New Roman" w:hAnsi="Times New Roman"/>
          <w:b/>
          <w:bCs/>
          <w:color w:val="1B2A5E"/>
          <w:sz w:val="22"/>
          <w:szCs w:val="22"/>
        </w:rPr>
        <w:t xml:space="preserve">11.1  Retention Principle</w:t>
      </w:r>
    </w:p>
    <w:p>
      <w:pPr>
        <w:spacing w:before="60" w:after="100"/>
        <w:jc w:val="both"/>
      </w:pPr>
      <w:r>
        <w:rPr>
          <w:rFonts w:ascii="Times New Roman" w:cs="Times New Roman" w:eastAsia="Times New Roman" w:hAnsi="Times New Roman"/>
          <w:color w:val="1A1A2A"/>
          <w:sz w:val="20"/>
          <w:szCs w:val="20"/>
        </w:rPr>
        <w:t xml:space="preserve">Retain Client Data only as long as necessary to perform services, comply with contractual obligations, comply with law, and maintain appropriate records.</w:t>
      </w:r>
    </w:p>
    <w:p>
      <w:pPr>
        <w:pStyle w:val="Heading2"/>
        <w:spacing w:before="200" w:after="80"/>
      </w:pPr>
      <w:r>
        <w:rPr>
          <w:rFonts w:ascii="Times New Roman" w:cs="Times New Roman" w:eastAsia="Times New Roman" w:hAnsi="Times New Roman"/>
          <w:b/>
          <w:bCs/>
          <w:color w:val="1B2A5E"/>
          <w:sz w:val="22"/>
          <w:szCs w:val="22"/>
        </w:rPr>
        <w:t xml:space="preserve">11.2  Client-Specific Retention</w:t>
      </w:r>
    </w:p>
    <w:p>
      <w:pPr>
        <w:spacing w:before="60" w:after="100"/>
        <w:jc w:val="both"/>
      </w:pPr>
      <w:r>
        <w:rPr>
          <w:rFonts w:ascii="Times New Roman" w:cs="Times New Roman" w:eastAsia="Times New Roman" w:hAnsi="Times New Roman"/>
          <w:color w:val="1A1A2A"/>
          <w:sz w:val="20"/>
          <w:szCs w:val="20"/>
        </w:rPr>
        <w:t xml:space="preserve">If an NDA/MSA/SOW specifies retention/return/destruction requirements, those requirements control.</w:t>
      </w:r>
    </w:p>
    <w:p>
      <w:pPr>
        <w:pStyle w:val="Heading2"/>
        <w:spacing w:before="200" w:after="80"/>
      </w:pPr>
      <w:r>
        <w:rPr>
          <w:rFonts w:ascii="Times New Roman" w:cs="Times New Roman" w:eastAsia="Times New Roman" w:hAnsi="Times New Roman"/>
          <w:b/>
          <w:bCs/>
          <w:color w:val="1B2A5E"/>
          <w:sz w:val="22"/>
          <w:szCs w:val="22"/>
        </w:rPr>
        <w:t xml:space="preserve">11.3  Standard Retention (Default)</w:t>
      </w:r>
    </w:p>
    <w:p>
      <w:pPr>
        <w:spacing w:before="60" w:after="100"/>
        <w:jc w:val="both"/>
      </w:pPr>
      <w:r>
        <w:rPr>
          <w:rFonts w:ascii="Times New Roman" w:cs="Times New Roman" w:eastAsia="Times New Roman" w:hAnsi="Times New Roman"/>
          <w:color w:val="1A1A2A"/>
          <w:sz w:val="20"/>
          <w:szCs w:val="20"/>
        </w:rPr>
        <w:t xml:space="preserve">Unless otherwise required by contract, law, or legal hold: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workpapers and deliverables: retain for </w:t>
      </w:r>
      <w:r>
        <w:rPr>
          <w:rFonts w:ascii="Times New Roman" w:cs="Times New Roman" w:eastAsia="Times New Roman" w:hAnsi="Times New Roman"/>
          <w:i/>
          <w:iCs/>
          <w:color w:val="5A6070"/>
          <w:sz w:val="20"/>
          <w:szCs w:val="20"/>
          <w:highlight w:val="yellow"/>
        </w:rPr>
        <w:t xml:space="preserve">[e.g., 3]</w:t>
      </w:r>
      <w:r>
        <w:rPr>
          <w:rFonts w:ascii="Times New Roman" w:cs="Times New Roman" w:eastAsia="Times New Roman" w:hAnsi="Times New Roman"/>
          <w:color w:val="1A1A2A"/>
          <w:sz w:val="20"/>
          <w:szCs w:val="20"/>
        </w:rPr>
        <w:t xml:space="preserve"> years after engagement completion;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raw client Well Information: retain only for the engagement duration plus </w:t>
      </w:r>
      <w:r>
        <w:rPr>
          <w:rFonts w:ascii="Times New Roman" w:cs="Times New Roman" w:eastAsia="Times New Roman" w:hAnsi="Times New Roman"/>
          <w:i/>
          <w:iCs/>
          <w:color w:val="5A6070"/>
          <w:sz w:val="20"/>
          <w:szCs w:val="20"/>
          <w:highlight w:val="yellow"/>
        </w:rPr>
        <w:t xml:space="preserve">[e.g., 30]</w:t>
      </w:r>
      <w:r>
        <w:rPr>
          <w:rFonts w:ascii="Times New Roman" w:cs="Times New Roman" w:eastAsia="Times New Roman" w:hAnsi="Times New Roman"/>
          <w:color w:val="1A1A2A"/>
          <w:sz w:val="20"/>
          <w:szCs w:val="20"/>
        </w:rPr>
        <w:t xml:space="preserve"> days for wrap-up, then return or destroy.</w:t>
      </w:r>
    </w:p>
    <w:p>
      <w:pPr>
        <w:pStyle w:val="Heading2"/>
        <w:spacing w:before="200" w:after="80"/>
      </w:pPr>
      <w:r>
        <w:rPr>
          <w:rFonts w:ascii="Times New Roman" w:cs="Times New Roman" w:eastAsia="Times New Roman" w:hAnsi="Times New Roman"/>
          <w:b/>
          <w:bCs/>
          <w:color w:val="1B2A5E"/>
          <w:sz w:val="22"/>
          <w:szCs w:val="22"/>
        </w:rPr>
        <w:t xml:space="preserve">11.4  Return/Destruction Upon Request or Termination</w:t>
      </w:r>
    </w:p>
    <w:p>
      <w:pPr>
        <w:spacing w:before="60" w:after="100"/>
        <w:jc w:val="both"/>
      </w:pPr>
      <w:r>
        <w:rPr>
          <w:rFonts w:ascii="Times New Roman" w:cs="Times New Roman" w:eastAsia="Times New Roman" w:hAnsi="Times New Roman"/>
          <w:color w:val="1A1A2A"/>
          <w:sz w:val="20"/>
          <w:szCs w:val="20"/>
        </w:rPr>
        <w:t xml:space="preserve">Upon client request or engagement termination, Celerity will, within a commercially reasonable time: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return Client Data (including Well Information) in agreed format, and/or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securely destroy it, and certify destruction if requested.</w:t>
      </w:r>
    </w:p>
    <w:p>
      <w:pPr>
        <w:pStyle w:val="Heading2"/>
        <w:spacing w:before="200" w:after="80"/>
      </w:pPr>
      <w:r>
        <w:rPr>
          <w:rFonts w:ascii="Times New Roman" w:cs="Times New Roman" w:eastAsia="Times New Roman" w:hAnsi="Times New Roman"/>
          <w:b/>
          <w:bCs/>
          <w:color w:val="1B2A5E"/>
          <w:sz w:val="22"/>
          <w:szCs w:val="22"/>
        </w:rPr>
        <w:t xml:space="preserve">11.5  Permitted Retention</w:t>
      </w:r>
    </w:p>
    <w:p>
      <w:pPr>
        <w:spacing w:before="60" w:after="100"/>
        <w:jc w:val="both"/>
      </w:pPr>
      <w:r>
        <w:rPr>
          <w:rFonts w:ascii="Times New Roman" w:cs="Times New Roman" w:eastAsia="Times New Roman" w:hAnsi="Times New Roman"/>
          <w:color w:val="1A1A2A"/>
          <w:sz w:val="20"/>
          <w:szCs w:val="20"/>
        </w:rPr>
        <w:t xml:space="preserve">Celerity may retain limited copies where required by law, bona fide compliance policies, insurance, or dispute defense, subject to continued confidentiality and restricted access.</w:t>
      </w:r>
    </w:p>
    <w:p>
      <w:pPr>
        <w:pStyle w:val="Heading2"/>
        <w:spacing w:before="200" w:after="80"/>
      </w:pPr>
      <w:r>
        <w:rPr>
          <w:rFonts w:ascii="Times New Roman" w:cs="Times New Roman" w:eastAsia="Times New Roman" w:hAnsi="Times New Roman"/>
          <w:b/>
          <w:bCs/>
          <w:color w:val="1B2A5E"/>
          <w:sz w:val="22"/>
          <w:szCs w:val="22"/>
        </w:rPr>
        <w:t xml:space="preserve">11.6  Legal Holds</w:t>
      </w:r>
    </w:p>
    <w:p>
      <w:pPr>
        <w:spacing w:before="60" w:after="100"/>
        <w:jc w:val="both"/>
      </w:pPr>
      <w:r>
        <w:rPr>
          <w:rFonts w:ascii="Times New Roman" w:cs="Times New Roman" w:eastAsia="Times New Roman" w:hAnsi="Times New Roman"/>
          <w:color w:val="1A1A2A"/>
          <w:sz w:val="20"/>
          <w:szCs w:val="20"/>
        </w:rPr>
        <w:t xml:space="preserve">If litigation, regulatory inquiry, or audit is anticipated, Celerity may place relevant data under legal hold and suspend destruction until released by counsel/management.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Third Parties, Subprocessors, and Flow-Down</w:t>
      </w:r>
    </w:p>
    <w:p>
      <w:pPr>
        <w:pStyle w:val="Heading2"/>
        <w:spacing w:before="200" w:after="80"/>
      </w:pPr>
      <w:r>
        <w:rPr>
          <w:rFonts w:ascii="Times New Roman" w:cs="Times New Roman" w:eastAsia="Times New Roman" w:hAnsi="Times New Roman"/>
          <w:b/>
          <w:bCs/>
          <w:color w:val="1B2A5E"/>
          <w:sz w:val="22"/>
          <w:szCs w:val="22"/>
        </w:rPr>
        <w:t xml:space="preserve">12.1  Approved Third Parties Only</w:t>
      </w:r>
    </w:p>
    <w:p>
      <w:pPr>
        <w:spacing w:before="60" w:after="100"/>
        <w:jc w:val="both"/>
      </w:pPr>
      <w:r>
        <w:rPr>
          <w:rFonts w:ascii="Times New Roman" w:cs="Times New Roman" w:eastAsia="Times New Roman" w:hAnsi="Times New Roman"/>
          <w:color w:val="1A1A2A"/>
          <w:sz w:val="20"/>
          <w:szCs w:val="20"/>
        </w:rPr>
        <w:t xml:space="preserve">Client Data may be shared with third parties (including subcontractors, cloud providers, and advisors) only if:</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they are approved per client agreement (if applicable);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they have a signed agreement with confidentiality, security, and use restrictions at least as protective as this Policy;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their access is limited to what is necessary for the engagement.</w:t>
      </w:r>
    </w:p>
    <w:p>
      <w:pPr>
        <w:pStyle w:val="Heading2"/>
        <w:spacing w:before="200" w:after="80"/>
      </w:pPr>
      <w:r>
        <w:rPr>
          <w:rFonts w:ascii="Times New Roman" w:cs="Times New Roman" w:eastAsia="Times New Roman" w:hAnsi="Times New Roman"/>
          <w:b/>
          <w:bCs/>
          <w:color w:val="1B2A5E"/>
          <w:sz w:val="22"/>
          <w:szCs w:val="22"/>
        </w:rPr>
        <w:t xml:space="preserve">12.2  Subcontractors</w:t>
      </w:r>
    </w:p>
    <w:p>
      <w:pPr>
        <w:spacing w:before="60" w:after="100"/>
        <w:jc w:val="both"/>
      </w:pPr>
      <w:r>
        <w:rPr>
          <w:rFonts w:ascii="Times New Roman" w:cs="Times New Roman" w:eastAsia="Times New Roman" w:hAnsi="Times New Roman"/>
          <w:color w:val="1A1A2A"/>
          <w:sz w:val="20"/>
          <w:szCs w:val="20"/>
        </w:rPr>
        <w:t xml:space="preserve">Subcontractors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sign a subcontractor/consulting agreement with confidentiality, IP, and security provisions;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complete required training (Section 14);</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Approved Systems and comply with Clean Room/ethical wall rules.</w:t>
      </w:r>
    </w:p>
    <w:p>
      <w:pPr>
        <w:pStyle w:val="Heading2"/>
        <w:spacing w:before="200" w:after="80"/>
      </w:pPr>
      <w:r>
        <w:rPr>
          <w:rFonts w:ascii="Times New Roman" w:cs="Times New Roman" w:eastAsia="Times New Roman" w:hAnsi="Times New Roman"/>
          <w:b/>
          <w:bCs/>
          <w:color w:val="1B2A5E"/>
          <w:sz w:val="22"/>
          <w:szCs w:val="22"/>
        </w:rPr>
        <w:t xml:space="preserve">12.3  Security Due Diligence</w:t>
      </w:r>
    </w:p>
    <w:p>
      <w:pPr>
        <w:spacing w:before="60" w:after="100"/>
        <w:jc w:val="both"/>
      </w:pPr>
      <w:r>
        <w:rPr>
          <w:rFonts w:ascii="Times New Roman" w:cs="Times New Roman" w:eastAsia="Times New Roman" w:hAnsi="Times New Roman"/>
          <w:color w:val="1A1A2A"/>
          <w:sz w:val="20"/>
          <w:szCs w:val="20"/>
        </w:rPr>
        <w:t xml:space="preserve">For material subprocessors (e.g., data platforms, VDRs), Celerity will perform reasonable diligence, which may include review of SOC 2 reports, security questionnaires, and contractual security commitments.</w:t>
      </w:r>
    </w:p>
    <w:p>
      <w:pPr>
        <w:pStyle w:val="Heading2"/>
        <w:spacing w:before="200" w:after="80"/>
      </w:pPr>
      <w:r>
        <w:rPr>
          <w:rFonts w:ascii="Times New Roman" w:cs="Times New Roman" w:eastAsia="Times New Roman" w:hAnsi="Times New Roman"/>
          <w:b/>
          <w:bCs/>
          <w:color w:val="1B2A5E"/>
          <w:sz w:val="22"/>
          <w:szCs w:val="22"/>
        </w:rPr>
        <w:t xml:space="preserve">12.4  No Unauthorized Offshore Processing</w:t>
      </w:r>
    </w:p>
    <w:p>
      <w:pPr>
        <w:spacing w:before="60" w:after="100"/>
        <w:jc w:val="both"/>
      </w:pPr>
      <w:r>
        <w:rPr>
          <w:rFonts w:ascii="Times New Roman" w:cs="Times New Roman" w:eastAsia="Times New Roman" w:hAnsi="Times New Roman"/>
          <w:color w:val="1A1A2A"/>
          <w:sz w:val="20"/>
          <w:szCs w:val="20"/>
        </w:rPr>
        <w:t xml:space="preserve">Export-Controlled Data and certain Restricted data may require restrictions on access by non-U.S. persons or offshore processing. Personnel must obtain written approval from </w:t>
      </w:r>
      <w:r>
        <w:rPr>
          <w:rFonts w:ascii="Times New Roman" w:cs="Times New Roman" w:eastAsia="Times New Roman" w:hAnsi="Times New Roman"/>
          <w:i/>
          <w:iCs/>
          <w:color w:val="5A6070"/>
          <w:sz w:val="20"/>
          <w:szCs w:val="20"/>
          <w:highlight w:val="yellow"/>
        </w:rPr>
        <w:t xml:space="preserve">[EXPORT CONTROL/COMPLIANCE OWNER]</w:t>
      </w:r>
      <w:r>
        <w:rPr>
          <w:rFonts w:ascii="Times New Roman" w:cs="Times New Roman" w:eastAsia="Times New Roman" w:hAnsi="Times New Roman"/>
          <w:color w:val="1A1A2A"/>
          <w:sz w:val="20"/>
          <w:szCs w:val="20"/>
        </w:rPr>
        <w:t xml:space="preserve"> before providing access that could constitute an export or deemed export.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Incident Response and Breach Notification</w:t>
      </w:r>
    </w:p>
    <w:p>
      <w:pPr>
        <w:pStyle w:val="Heading2"/>
        <w:spacing w:before="200" w:after="80"/>
      </w:pPr>
      <w:r>
        <w:rPr>
          <w:rFonts w:ascii="Times New Roman" w:cs="Times New Roman" w:eastAsia="Times New Roman" w:hAnsi="Times New Roman"/>
          <w:b/>
          <w:bCs/>
          <w:color w:val="1B2A5E"/>
          <w:sz w:val="22"/>
          <w:szCs w:val="22"/>
        </w:rPr>
        <w:t xml:space="preserve">13.1  Report Immediately</w:t>
      </w:r>
    </w:p>
    <w:p>
      <w:pPr>
        <w:spacing w:before="60" w:after="100"/>
        <w:jc w:val="both"/>
      </w:pPr>
      <w:r>
        <w:rPr>
          <w:rFonts w:ascii="Times New Roman" w:cs="Times New Roman" w:eastAsia="Times New Roman" w:hAnsi="Times New Roman"/>
          <w:color w:val="1A1A2A"/>
          <w:sz w:val="20"/>
          <w:szCs w:val="20"/>
        </w:rPr>
        <w:t xml:space="preserve">Personnel must report any suspected or actual security incident immediately (no later than </w:t>
      </w:r>
      <w:r>
        <w:rPr>
          <w:rFonts w:ascii="Times New Roman" w:cs="Times New Roman" w:eastAsia="Times New Roman" w:hAnsi="Times New Roman"/>
          <w:i/>
          <w:iCs/>
          <w:color w:val="5A6070"/>
          <w:sz w:val="20"/>
          <w:szCs w:val="20"/>
          <w:highlight w:val="yellow"/>
        </w:rPr>
        <w:t xml:space="preserve">[24]</w:t>
      </w:r>
      <w:r>
        <w:rPr>
          <w:rFonts w:ascii="Times New Roman" w:cs="Times New Roman" w:eastAsia="Times New Roman" w:hAnsi="Times New Roman"/>
          <w:color w:val="1A1A2A"/>
          <w:sz w:val="20"/>
          <w:szCs w:val="20"/>
        </w:rPr>
        <w:t xml:space="preserve"> hours) to </w:t>
      </w:r>
      <w:r>
        <w:rPr>
          <w:rFonts w:ascii="Times New Roman" w:cs="Times New Roman" w:eastAsia="Times New Roman" w:hAnsi="Times New Roman"/>
          <w:i/>
          <w:iCs/>
          <w:color w:val="5A6070"/>
          <w:sz w:val="20"/>
          <w:szCs w:val="20"/>
          <w:highlight w:val="yellow"/>
        </w:rPr>
        <w:t xml:space="preserve">[SECURITY CONTACT EMAIL]</w:t>
      </w:r>
      <w:r>
        <w:rPr>
          <w:rFonts w:ascii="Times New Roman" w:cs="Times New Roman" w:eastAsia="Times New Roman" w:hAnsi="Times New Roman"/>
          <w:color w:val="1A1A2A"/>
          <w:sz w:val="20"/>
          <w:szCs w:val="20"/>
        </w:rPr>
        <w:t xml:space="preserve">. Examples include: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lost or stolen device;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mis-sent email or unauthorized file sharing;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malware/ransomware suspicion;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unauthorized access to a Clean Room;</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inadvertent cross-client data commingling.</w:t>
      </w:r>
    </w:p>
    <w:p>
      <w:pPr>
        <w:pStyle w:val="Heading2"/>
        <w:spacing w:before="200" w:after="80"/>
      </w:pPr>
      <w:r>
        <w:rPr>
          <w:rFonts w:ascii="Times New Roman" w:cs="Times New Roman" w:eastAsia="Times New Roman" w:hAnsi="Times New Roman"/>
          <w:b/>
          <w:bCs/>
          <w:color w:val="1B2A5E"/>
          <w:sz w:val="22"/>
          <w:szCs w:val="22"/>
        </w:rPr>
        <w:t xml:space="preserve">13.2  Response Steps</w:t>
      </w:r>
    </w:p>
    <w:p>
      <w:pPr>
        <w:spacing w:before="60" w:after="100"/>
        <w:jc w:val="both"/>
      </w:pPr>
      <w:r>
        <w:rPr>
          <w:rFonts w:ascii="Times New Roman" w:cs="Times New Roman" w:eastAsia="Times New Roman" w:hAnsi="Times New Roman"/>
          <w:color w:val="1A1A2A"/>
          <w:sz w:val="20"/>
          <w:szCs w:val="20"/>
        </w:rPr>
        <w:t xml:space="preserve">Celerity will:</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triage and contain (disable links, revoke access, isolate devices);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investigate scope and impact;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preserve evidence and logs;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remediate and document corrective actions.</w:t>
      </w:r>
    </w:p>
    <w:p>
      <w:pPr>
        <w:pStyle w:val="Heading2"/>
        <w:spacing w:before="200" w:after="80"/>
      </w:pPr>
      <w:r>
        <w:rPr>
          <w:rFonts w:ascii="Times New Roman" w:cs="Times New Roman" w:eastAsia="Times New Roman" w:hAnsi="Times New Roman"/>
          <w:b/>
          <w:bCs/>
          <w:color w:val="1B2A5E"/>
          <w:sz w:val="22"/>
          <w:szCs w:val="22"/>
        </w:rPr>
        <w:t xml:space="preserve">13.3  Client Notification</w:t>
      </w:r>
    </w:p>
    <w:p>
      <w:pPr>
        <w:spacing w:before="60" w:after="100"/>
        <w:jc w:val="both"/>
      </w:pPr>
      <w:r>
        <w:rPr>
          <w:rFonts w:ascii="Times New Roman" w:cs="Times New Roman" w:eastAsia="Times New Roman" w:hAnsi="Times New Roman"/>
          <w:color w:val="1A1A2A"/>
          <w:sz w:val="20"/>
          <w:szCs w:val="20"/>
        </w:rPr>
        <w:t xml:space="preserve">Where required by contract or law, Celerity will notify affected clients without undue delay and in any event within:</w:t>
      </w:r>
    </w:p>
    <w:p>
      <w:pPr>
        <w:pStyle w:val="ListParagraph"/>
        <w:numPr>
          <w:ilvl w:val="0"/>
          <w:numId w:val="2"/>
        </w:numPr>
        <w:spacing w:before="40" w:after="60"/>
        <w:jc w:val="both"/>
      </w:pPr>
      <w:r>
        <w:rPr>
          <w:rFonts w:ascii="Times New Roman" w:cs="Times New Roman" w:eastAsia="Times New Roman" w:hAnsi="Times New Roman"/>
          <w:i/>
          <w:iCs/>
          <w:color w:val="5A6070"/>
          <w:sz w:val="20"/>
          <w:szCs w:val="20"/>
          <w:highlight w:val="yellow"/>
        </w:rPr>
        <w:t xml:space="preserve">[e.g., 72]</w:t>
      </w:r>
      <w:r>
        <w:rPr>
          <w:rFonts w:ascii="Times New Roman" w:cs="Times New Roman" w:eastAsia="Times New Roman" w:hAnsi="Times New Roman"/>
          <w:color w:val="1A1A2A"/>
          <w:sz w:val="20"/>
          <w:szCs w:val="20"/>
        </w:rPr>
        <w:t xml:space="preserve"> hours of confirming unauthorized access or disclosure,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the timeline required by the applicable NDA/MSA/SOW or law (whichever is shorter).</w:t>
      </w:r>
    </w:p>
    <w:p>
      <w:pPr>
        <w:pStyle w:val="Heading2"/>
        <w:spacing w:before="200" w:after="80"/>
      </w:pPr>
      <w:r>
        <w:rPr>
          <w:rFonts w:ascii="Times New Roman" w:cs="Times New Roman" w:eastAsia="Times New Roman" w:hAnsi="Times New Roman"/>
          <w:b/>
          <w:bCs/>
          <w:color w:val="1B2A5E"/>
          <w:sz w:val="22"/>
          <w:szCs w:val="22"/>
        </w:rPr>
        <w:t xml:space="preserve">13.4  Regulatory Notifications and Individuals</w:t>
      </w:r>
    </w:p>
    <w:p>
      <w:pPr>
        <w:spacing w:before="60" w:after="100"/>
        <w:jc w:val="both"/>
      </w:pPr>
      <w:r>
        <w:rPr>
          <w:rFonts w:ascii="Times New Roman" w:cs="Times New Roman" w:eastAsia="Times New Roman" w:hAnsi="Times New Roman"/>
          <w:color w:val="1A1A2A"/>
          <w:sz w:val="20"/>
          <w:szCs w:val="20"/>
        </w:rPr>
        <w:t xml:space="preserve">If an incident involves Sensitive Personal Data, Celerity will coordinate notifications as required by applicable privacy laws, in consultation with counsel and the relevant client where appropriate.</w:t>
      </w:r>
    </w:p>
    <w:p>
      <w:pPr>
        <w:pStyle w:val="Heading2"/>
        <w:spacing w:before="200" w:after="80"/>
      </w:pPr>
      <w:r>
        <w:rPr>
          <w:rFonts w:ascii="Times New Roman" w:cs="Times New Roman" w:eastAsia="Times New Roman" w:hAnsi="Times New Roman"/>
          <w:b/>
          <w:bCs/>
          <w:color w:val="1B2A5E"/>
          <w:sz w:val="22"/>
          <w:szCs w:val="22"/>
        </w:rPr>
        <w:t xml:space="preserve">13.5  No Public Statements</w:t>
      </w:r>
    </w:p>
    <w:p>
      <w:pPr>
        <w:spacing w:before="60" w:after="100"/>
        <w:jc w:val="both"/>
      </w:pPr>
      <w:r>
        <w:rPr>
          <w:rFonts w:ascii="Times New Roman" w:cs="Times New Roman" w:eastAsia="Times New Roman" w:hAnsi="Times New Roman"/>
          <w:color w:val="1A1A2A"/>
          <w:sz w:val="20"/>
          <w:szCs w:val="20"/>
        </w:rPr>
        <w:t xml:space="preserve">No Personnel may make external statements about an incident. All communications must be coordinated through designated management and counsel.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Training, Audits, Monitoring, and Sanctions</w:t>
      </w:r>
    </w:p>
    <w:p>
      <w:pPr>
        <w:pStyle w:val="Heading2"/>
        <w:spacing w:before="200" w:after="80"/>
      </w:pPr>
      <w:r>
        <w:rPr>
          <w:rFonts w:ascii="Times New Roman" w:cs="Times New Roman" w:eastAsia="Times New Roman" w:hAnsi="Times New Roman"/>
          <w:b/>
          <w:bCs/>
          <w:color w:val="1B2A5E"/>
          <w:sz w:val="22"/>
          <w:szCs w:val="22"/>
        </w:rPr>
        <w:t xml:space="preserve">14.1  Training</w:t>
      </w:r>
    </w:p>
    <w:p>
      <w:pPr>
        <w:spacing w:before="60" w:after="100"/>
        <w:jc w:val="both"/>
      </w:pPr>
      <w:r>
        <w:rPr>
          <w:rFonts w:ascii="Times New Roman" w:cs="Times New Roman" w:eastAsia="Times New Roman" w:hAnsi="Times New Roman"/>
          <w:color w:val="1A1A2A"/>
          <w:sz w:val="20"/>
          <w:szCs w:val="20"/>
        </w:rPr>
        <w:t xml:space="preserve">Personnel must complete data protection training: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upon onboarding (before access to Restricted data);</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at least annually thereafter; and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additional training for Clean Room/ethical wall engagements as required.</w:t>
      </w:r>
    </w:p>
    <w:p>
      <w:pPr>
        <w:pStyle w:val="Heading2"/>
        <w:spacing w:before="200" w:after="80"/>
      </w:pPr>
      <w:r>
        <w:rPr>
          <w:rFonts w:ascii="Times New Roman" w:cs="Times New Roman" w:eastAsia="Times New Roman" w:hAnsi="Times New Roman"/>
          <w:b/>
          <w:bCs/>
          <w:color w:val="1B2A5E"/>
          <w:sz w:val="22"/>
          <w:szCs w:val="22"/>
        </w:rPr>
        <w:t xml:space="preserve">14.2  Audits and Monitoring</w:t>
      </w:r>
    </w:p>
    <w:p>
      <w:pPr>
        <w:spacing w:before="60" w:after="100"/>
        <w:jc w:val="both"/>
      </w:pPr>
      <w:r>
        <w:rPr>
          <w:rFonts w:ascii="Times New Roman" w:cs="Times New Roman" w:eastAsia="Times New Roman" w:hAnsi="Times New Roman"/>
          <w:color w:val="1A1A2A"/>
          <w:sz w:val="20"/>
          <w:szCs w:val="20"/>
        </w:rPr>
        <w:t xml:space="preserve">To the extent permitted by law and contract, Celerity may: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audit access logs and sharing activity in Approved Systems;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require periodic confirmations of compliance;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perform spot checks of device compliance for personnel handling Restricted data.</w:t>
      </w:r>
    </w:p>
    <w:p>
      <w:pPr>
        <w:pStyle w:val="Heading2"/>
        <w:spacing w:before="200" w:after="80"/>
      </w:pPr>
      <w:r>
        <w:rPr>
          <w:rFonts w:ascii="Times New Roman" w:cs="Times New Roman" w:eastAsia="Times New Roman" w:hAnsi="Times New Roman"/>
          <w:b/>
          <w:bCs/>
          <w:color w:val="1B2A5E"/>
          <w:sz w:val="22"/>
          <w:szCs w:val="22"/>
        </w:rPr>
        <w:t xml:space="preserve">14.3  Violations and Sanctions</w:t>
      </w:r>
    </w:p>
    <w:p>
      <w:pPr>
        <w:spacing w:before="60" w:after="100"/>
        <w:jc w:val="both"/>
      </w:pPr>
      <w:r>
        <w:rPr>
          <w:rFonts w:ascii="Times New Roman" w:cs="Times New Roman" w:eastAsia="Times New Roman" w:hAnsi="Times New Roman"/>
          <w:color w:val="1A1A2A"/>
          <w:sz w:val="20"/>
          <w:szCs w:val="20"/>
        </w:rPr>
        <w:t xml:space="preserve">Violations may result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immediate revocation of access;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disciplinary action up to termination of employment/engagement;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contractual remedies and indemnity exposure;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civil or criminal penalties (e.g., for MNPI misuse or export violations).</w:t>
      </w:r>
    </w:p>
    <w:p>
      <w:pPr>
        <w:pStyle w:val="Heading2"/>
        <w:spacing w:before="200" w:after="80"/>
      </w:pPr>
      <w:r>
        <w:rPr>
          <w:rFonts w:ascii="Times New Roman" w:cs="Times New Roman" w:eastAsia="Times New Roman" w:hAnsi="Times New Roman"/>
          <w:b/>
          <w:bCs/>
          <w:color w:val="1B2A5E"/>
          <w:sz w:val="22"/>
          <w:szCs w:val="22"/>
        </w:rPr>
        <w:t xml:space="preserve">14.4  Non-Retaliation</w:t>
      </w:r>
    </w:p>
    <w:p>
      <w:pPr>
        <w:spacing w:before="60" w:after="100"/>
        <w:jc w:val="both"/>
      </w:pPr>
      <w:r>
        <w:rPr>
          <w:rFonts w:ascii="Times New Roman" w:cs="Times New Roman" w:eastAsia="Times New Roman" w:hAnsi="Times New Roman"/>
          <w:color w:val="1A1A2A"/>
          <w:sz w:val="20"/>
          <w:szCs w:val="20"/>
        </w:rPr>
        <w:t xml:space="preserve">Celerity prohibits retaliation against anyone who, in good faith, reports a concern or suspected violation.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Compliance Requirements (Legal, Regulatory, and Contractual)</w:t>
      </w:r>
    </w:p>
    <w:p>
      <w:pPr>
        <w:pStyle w:val="Heading2"/>
        <w:spacing w:before="200" w:after="80"/>
      </w:pPr>
      <w:r>
        <w:rPr>
          <w:rFonts w:ascii="Times New Roman" w:cs="Times New Roman" w:eastAsia="Times New Roman" w:hAnsi="Times New Roman"/>
          <w:b/>
          <w:bCs/>
          <w:color w:val="1B2A5E"/>
          <w:sz w:val="22"/>
          <w:szCs w:val="22"/>
        </w:rPr>
        <w:t xml:space="preserve">15.1  Contract Compliance</w:t>
      </w:r>
    </w:p>
    <w:p>
      <w:pPr>
        <w:spacing w:before="60" w:after="100"/>
        <w:jc w:val="both"/>
      </w:pPr>
      <w:r>
        <w:rPr>
          <w:rFonts w:ascii="Times New Roman" w:cs="Times New Roman" w:eastAsia="Times New Roman" w:hAnsi="Times New Roman"/>
          <w:color w:val="1A1A2A"/>
          <w:sz w:val="20"/>
          <w:szCs w:val="20"/>
        </w:rPr>
        <w:t xml:space="preserve">Personnel must comply with all confidentiality, data security, and use restrictions in applicable NDAs, MSAs, SOWs, and client security policies.</w:t>
      </w:r>
    </w:p>
    <w:p>
      <w:pPr>
        <w:pStyle w:val="Heading2"/>
        <w:spacing w:before="200" w:after="80"/>
      </w:pPr>
      <w:r>
        <w:rPr>
          <w:rFonts w:ascii="Times New Roman" w:cs="Times New Roman" w:eastAsia="Times New Roman" w:hAnsi="Times New Roman"/>
          <w:b/>
          <w:bCs/>
          <w:color w:val="1B2A5E"/>
          <w:sz w:val="22"/>
          <w:szCs w:val="22"/>
        </w:rPr>
        <w:t xml:space="preserve">15.2  Privacy Laws</w:t>
      </w:r>
    </w:p>
    <w:p>
      <w:pPr>
        <w:spacing w:before="60" w:after="100"/>
        <w:jc w:val="both"/>
      </w:pPr>
      <w:r>
        <w:rPr>
          <w:rFonts w:ascii="Times New Roman" w:cs="Times New Roman" w:eastAsia="Times New Roman" w:hAnsi="Times New Roman"/>
          <w:color w:val="1A1A2A"/>
          <w:sz w:val="20"/>
          <w:szCs w:val="20"/>
        </w:rPr>
        <w:t xml:space="preserve">Where Sensitive Personal Data is processed, Personnel must follow applicable U.S. federal and state privacy and breach notification laws, including those applicable to the client and the data subjects.</w:t>
      </w:r>
    </w:p>
    <w:p>
      <w:pPr>
        <w:pStyle w:val="Heading2"/>
        <w:spacing w:before="200" w:after="80"/>
      </w:pPr>
      <w:r>
        <w:rPr>
          <w:rFonts w:ascii="Times New Roman" w:cs="Times New Roman" w:eastAsia="Times New Roman" w:hAnsi="Times New Roman"/>
          <w:b/>
          <w:bCs/>
          <w:color w:val="1B2A5E"/>
          <w:sz w:val="22"/>
          <w:szCs w:val="22"/>
        </w:rPr>
        <w:t xml:space="preserve">15.3  Securities Laws / MNPI</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not trade securities or advise others to trade while in possession of MNPI;</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MNPI must be treated as Restricted data and limited to those with a need-to-know;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suspected MNPI exposure should be escalated to </w:t>
      </w:r>
      <w:r>
        <w:rPr>
          <w:rFonts w:ascii="Times New Roman" w:cs="Times New Roman" w:eastAsia="Times New Roman" w:hAnsi="Times New Roman"/>
          <w:i/>
          <w:iCs/>
          <w:color w:val="5A6070"/>
          <w:sz w:val="20"/>
          <w:szCs w:val="20"/>
          <w:highlight w:val="yellow"/>
        </w:rPr>
        <w:t xml:space="preserve">[COMPLIANCE EMAIL]</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15.4  Export Controls and Sanctions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Personnel must comply with EAR/ITAR/OFAC and any client restrictions;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 not share Export-Controlled Data with non-U.S. persons or sanctioned parties without authorization;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only approved systems and approved recipients for controlled technical data.</w:t>
      </w:r>
    </w:p>
    <w:p>
      <w:pPr>
        <w:pStyle w:val="Heading2"/>
        <w:spacing w:before="200" w:after="80"/>
      </w:pPr>
      <w:r>
        <w:rPr>
          <w:rFonts w:ascii="Times New Roman" w:cs="Times New Roman" w:eastAsia="Times New Roman" w:hAnsi="Times New Roman"/>
          <w:b/>
          <w:bCs/>
          <w:color w:val="1B2A5E"/>
          <w:sz w:val="22"/>
          <w:szCs w:val="22"/>
        </w:rPr>
        <w:t xml:space="preserve">15.5  Regulatory and Ethical Obligations</w:t>
      </w:r>
    </w:p>
    <w:p>
      <w:pPr>
        <w:spacing w:before="60" w:after="100"/>
        <w:jc w:val="both"/>
      </w:pPr>
      <w:r>
        <w:rPr>
          <w:rFonts w:ascii="Times New Roman" w:cs="Times New Roman" w:eastAsia="Times New Roman" w:hAnsi="Times New Roman"/>
          <w:color w:val="1A1A2A"/>
          <w:sz w:val="20"/>
          <w:szCs w:val="20"/>
        </w:rPr>
        <w:t xml:space="preserve">This Policy supports Celerity's ethical commitments and is to be interpreted consistently with Celerity's Code of Business Ethics and Human Rights Policy.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Governance, Exceptions, and Updates</w:t>
      </w:r>
    </w:p>
    <w:p>
      <w:pPr>
        <w:pStyle w:val="Heading2"/>
        <w:spacing w:before="200" w:after="80"/>
      </w:pPr>
      <w:r>
        <w:rPr>
          <w:rFonts w:ascii="Times New Roman" w:cs="Times New Roman" w:eastAsia="Times New Roman" w:hAnsi="Times New Roman"/>
          <w:b/>
          <w:bCs/>
          <w:color w:val="1B2A5E"/>
          <w:sz w:val="22"/>
          <w:szCs w:val="22"/>
        </w:rPr>
        <w:t xml:space="preserve">16.1  Policy Exceptions</w:t>
      </w:r>
    </w:p>
    <w:p>
      <w:pPr>
        <w:spacing w:before="60" w:after="100"/>
        <w:jc w:val="both"/>
      </w:pPr>
      <w:r>
        <w:rPr>
          <w:rFonts w:ascii="Times New Roman" w:cs="Times New Roman" w:eastAsia="Times New Roman" w:hAnsi="Times New Roman"/>
          <w:color w:val="1A1A2A"/>
          <w:sz w:val="20"/>
          <w:szCs w:val="20"/>
        </w:rPr>
        <w:t xml:space="preserve">Any exception must be: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requested in writing, describing business justification and risk controls;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approved in writing by </w:t>
      </w:r>
      <w:r>
        <w:rPr>
          <w:rFonts w:ascii="Times New Roman" w:cs="Times New Roman" w:eastAsia="Times New Roman" w:hAnsi="Times New Roman"/>
          <w:i/>
          <w:iCs/>
          <w:color w:val="5A6070"/>
          <w:sz w:val="20"/>
          <w:szCs w:val="20"/>
          <w:highlight w:val="yellow"/>
        </w:rPr>
        <w:t xml:space="preserve">[SECURITY/COMPLIANCE OWNER]</w:t>
      </w:r>
      <w:r>
        <w:rPr>
          <w:rFonts w:ascii="Times New Roman" w:cs="Times New Roman" w:eastAsia="Times New Roman" w:hAnsi="Times New Roman"/>
          <w:color w:val="1A1A2A"/>
          <w:sz w:val="20"/>
          <w:szCs w:val="20"/>
        </w:rPr>
        <w:t xml:space="preserv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documented with a time limit and compensating controls.</w:t>
      </w:r>
    </w:p>
    <w:p>
      <w:pPr>
        <w:pStyle w:val="Heading2"/>
        <w:spacing w:before="200" w:after="80"/>
      </w:pPr>
      <w:r>
        <w:rPr>
          <w:rFonts w:ascii="Times New Roman" w:cs="Times New Roman" w:eastAsia="Times New Roman" w:hAnsi="Times New Roman"/>
          <w:b/>
          <w:bCs/>
          <w:color w:val="1B2A5E"/>
          <w:sz w:val="22"/>
          <w:szCs w:val="22"/>
        </w:rPr>
        <w:t xml:space="preserve">16.2  Updates</w:t>
      </w:r>
    </w:p>
    <w:p>
      <w:pPr>
        <w:spacing w:before="60" w:after="100"/>
        <w:jc w:val="both"/>
      </w:pPr>
      <w:r>
        <w:rPr>
          <w:rFonts w:ascii="Times New Roman" w:cs="Times New Roman" w:eastAsia="Times New Roman" w:hAnsi="Times New Roman"/>
          <w:color w:val="1A1A2A"/>
          <w:sz w:val="20"/>
          <w:szCs w:val="20"/>
        </w:rPr>
        <w:t xml:space="preserve">Celerity may update this Policy from time to time. Updated versions become effective on the date specified and will be communicated to Personnel.</w:t>
      </w:r>
    </w:p>
    <w:p>
      <w:pPr>
        <w:pStyle w:val="Heading2"/>
        <w:spacing w:before="200" w:after="80"/>
      </w:pPr>
      <w:r>
        <w:rPr>
          <w:rFonts w:ascii="Times New Roman" w:cs="Times New Roman" w:eastAsia="Times New Roman" w:hAnsi="Times New Roman"/>
          <w:b/>
          <w:bCs/>
          <w:color w:val="1B2A5E"/>
          <w:sz w:val="22"/>
          <w:szCs w:val="22"/>
        </w:rPr>
        <w:t xml:space="preserve">16.3  Questions</w:t>
      </w:r>
    </w:p>
    <w:p>
      <w:pPr>
        <w:spacing w:before="60" w:after="100"/>
        <w:jc w:val="both"/>
      </w:pPr>
      <w:r>
        <w:rPr>
          <w:rFonts w:ascii="Times New Roman" w:cs="Times New Roman" w:eastAsia="Times New Roman" w:hAnsi="Times New Roman"/>
          <w:color w:val="1A1A2A"/>
          <w:sz w:val="20"/>
          <w:szCs w:val="20"/>
        </w:rPr>
        <w:t xml:space="preserve">Direct questions to </w:t>
      </w:r>
      <w:r>
        <w:rPr>
          <w:rFonts w:ascii="Times New Roman" w:cs="Times New Roman" w:eastAsia="Times New Roman" w:hAnsi="Times New Roman"/>
          <w:i/>
          <w:iCs/>
          <w:color w:val="5A6070"/>
          <w:sz w:val="20"/>
          <w:szCs w:val="20"/>
          <w:highlight w:val="yellow"/>
        </w:rPr>
        <w:t xml:space="preserve">[SECURITY CONTACT EMAIL]</w:t>
      </w:r>
      <w:r>
        <w:rPr>
          <w:rFonts w:ascii="Times New Roman" w:cs="Times New Roman" w:eastAsia="Times New Roman" w:hAnsi="Times New Roman"/>
          <w:color w:val="1A1A2A"/>
          <w:sz w:val="20"/>
          <w:szCs w:val="20"/>
        </w:rPr>
        <w:t xml:space="preserve">.</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26"/>
          <w:szCs w:val="26"/>
        </w:rPr>
        <w:t xml:space="preserve">ACKNOWLEDGMENT OF RECEIPT AND AGREEMENT</w:t>
      </w:r>
    </w:p>
    <w:p>
      <w:pPr>
        <w:spacing w:before="0" w:after="4"/>
      </w:pPr>
      <w:r>
        <w:rPr>
          <w:rFonts w:ascii="Times New Roman" w:cs="Times New Roman" w:eastAsia="Times New Roman" w:hAnsi="Times New Roman"/>
          <w:b/>
          <w:bCs/>
          <w:color w:val="4A9FD4"/>
          <w:sz w:val="20"/>
          <w:szCs w:val="20"/>
        </w:rPr>
        <w:t xml:space="preserve">Personnel</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I acknowledge that I have received, read, and understood the </w:t>
      </w:r>
      <w:r>
        <w:rPr>
          <w:rFonts w:ascii="Times New Roman" w:cs="Times New Roman" w:eastAsia="Times New Roman" w:hAnsi="Times New Roman"/>
          <w:b/>
          <w:bCs/>
          <w:color w:val="1A1A2A"/>
          <w:sz w:val="20"/>
          <w:szCs w:val="20"/>
        </w:rPr>
        <w:t xml:space="preserve">Celerity Energy Advisors LLC Data &amp; Well Information Protections Policy</w:t>
      </w:r>
      <w:r>
        <w:rPr>
          <w:rFonts w:ascii="Times New Roman" w:cs="Times New Roman" w:eastAsia="Times New Roman" w:hAnsi="Times New Roman"/>
          <w:color w:val="1A1A2A"/>
          <w:sz w:val="20"/>
          <w:szCs w:val="20"/>
        </w:rPr>
        <w:t xml:space="preserve">. I agree to comply with this Policy as a condition of my employment or engagement with Celerity. I understand that violations may result in disciplinary action up to and including termination of employment/engagement and potential legal action.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Print Name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Title / Role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Signature</w:t>
            </w:r>
          </w:p>
        </w:tc>
        <w:tc>
          <w:tcPr>
            <w:tcW w:type="dxa" w:w="68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r>
      <w:tr>
        <w:tc>
          <w:tcPr>
            <w:tcW w:type="dxa" w:w="25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c>
          <w:tcPr>
            <w:tcW w:type="dxa" w:w="68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20"/>
                <w:szCs w:val="20"/>
              </w:rPr>
              <w:t xml:space="preserve"> </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2026-03-06T14:19:36.505Z</dcterms:created>
  <dcterms:modified xsi:type="dcterms:W3CDTF">2026-03-06T14:19:36.506Z</dcterms:modified>
</cp:coreProperties>
</file>

<file path=docProps/custom.xml><?xml version="1.0" encoding="utf-8"?>
<Properties xmlns="http://schemas.openxmlformats.org/officeDocument/2006/custom-properties" xmlns:vt="http://schemas.openxmlformats.org/officeDocument/2006/docPropsVTypes"/>
</file>