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20"/>
      </w:pPr>
      <w:r>
        <w:rPr>
          <w:rFonts w:ascii="Times New Roman" w:cs="Times New Roman" w:eastAsia="Times New Roman" w:hAnsi="Times New Roman"/>
          <w:b/>
          <w:bCs/>
          <w:color w:val="1B2A5E"/>
          <w:sz w:val="30"/>
          <w:szCs w:val="30"/>
        </w:rPr>
        <w:t xml:space="preserve">FCPA AND REGULATORY COMPLIANCE POLICY</w:t>
      </w:r>
    </w:p>
    <w:p>
      <w:pPr>
        <w:spacing w:before="0" w:after="4"/>
      </w:pPr>
      <w:r>
        <w:rPr>
          <w:rFonts w:ascii="Times New Roman" w:cs="Times New Roman" w:eastAsia="Times New Roman" w:hAnsi="Times New Roman"/>
          <w:b/>
          <w:bCs/>
          <w:color w:val="4A9FD4"/>
          <w:sz w:val="20"/>
          <w:szCs w:val="20"/>
        </w:rPr>
        <w:t xml:space="preserve">Celerity Energy Advisors LLC</w:t>
      </w:r>
    </w:p>
    <w:p>
      <w:pPr>
        <w:pBdr>
          <w:bottom w:val="single" w:color="4A9FD4" w:sz="16" w:space="1"/>
        </w:pBdr>
        <w:spacing w:before="0" w:after="0"/>
      </w:pP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A6070"/>
                <w:sz w:val="20"/>
                <w:szCs w:val="20"/>
                <w:highlight w:val="yellow"/>
              </w:rPr>
              <w:t xml:space="preserve">[DATE]</w:t>
            </w:r>
          </w:p>
        </w:tc>
      </w:tr>
      <w:tr>
        <w:tc>
          <w:tcPr>
            <w:tcW w:type="dxa" w:w="2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Policy Owner</w:t>
            </w:r>
          </w:p>
        </w:tc>
        <w:tc>
          <w:tcPr>
            <w:tcW w:type="dxa" w:w="6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A6070"/>
                <w:sz w:val="20"/>
                <w:szCs w:val="20"/>
                <w:highlight w:val="yellow"/>
              </w:rPr>
              <w:t xml:space="preserve">[COMPLIANCE OFFICER / GENERAL COUNSEL / MANAGING PARTNER]</w:t>
            </w:r>
          </w:p>
        </w:tc>
      </w:tr>
      <w:tr>
        <w:tc>
          <w:tcPr>
            <w:tcW w:type="dxa" w:w="2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Questions</w:t>
            </w:r>
          </w:p>
        </w:tc>
        <w:tc>
          <w:tcPr>
            <w:tcW w:type="dxa" w:w="6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A6070"/>
                <w:sz w:val="20"/>
                <w:szCs w:val="20"/>
                <w:highlight w:val="yellow"/>
              </w:rPr>
              <w:t xml:space="preserve">[NAME]</w:t>
            </w:r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A6070"/>
                <w:sz w:val="20"/>
                <w:szCs w:val="20"/>
                <w:highlight w:val="yellow"/>
              </w:rPr>
              <w:t xml:space="preserve">[TITLE]</w:t>
            </w:r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 —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A6070"/>
                <w:sz w:val="20"/>
                <w:szCs w:val="20"/>
                <w:highlight w:val="yellow"/>
              </w:rPr>
              <w:t xml:space="preserve">[EMAIL]</w:t>
            </w:r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  |  </w:t>
            </w:r>
            <w:r>
              <w:rPr>
                <w:rFonts w:ascii="Times New Roman" w:cs="Times New Roman" w:eastAsia="Times New Roman" w:hAnsi="Times New Roman"/>
                <w:i/>
                <w:iCs/>
                <w:color w:val="5A6070"/>
                <w:sz w:val="20"/>
                <w:szCs w:val="20"/>
                <w:highlight w:val="yellow"/>
              </w:rPr>
              <w:t xml:space="preserve">[PHONE]</w:t>
            </w:r>
          </w:p>
        </w:tc>
      </w:tr>
      <w:tr>
        <w:tc>
          <w:tcPr>
            <w:tcW w:type="dxa" w:w="28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Reporting Channel</w:t>
            </w:r>
          </w:p>
        </w:tc>
        <w:tc>
          <w:tcPr>
            <w:tcW w:type="dxa" w:w="6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A6070"/>
                <w:sz w:val="20"/>
                <w:szCs w:val="20"/>
                <w:highlight w:val="yellow"/>
              </w:rPr>
              <w:t xml:space="preserve">[HOTLINE NUMBER AND/OR EMAIL]</w:t>
            </w:r>
          </w:p>
        </w:tc>
      </w:tr>
    </w:tbl>
    <w:p>
      <w:pPr>
        <w:spacing w:before="80" w:after="60"/>
      </w:pP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This Policy aligns with, and should be read together with, the Company's </w:t>
      </w: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Code of Business Ethics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 (the "Code"). If there is a conflict, the stricter standard applies. This Policy does not reproduce the Code; it supplements it with specific anti-corruption and regulatory compliance procedures.</w:t>
      </w:r>
    </w:p>
    <w:p>
      <w:pPr>
        <w:pBdr>
          <w:bottom w:val="single" w:color="D0D7E3" w:sz="4" w:space="1"/>
        </w:pBdr>
        <w:spacing w:before="0" w:after="0"/>
      </w:pPr>
    </w:p>
    <w:p>
      <w:pPr>
        <w:spacing w:before="80" w:after="60"/>
      </w:pP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1.  Purpose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This Policy establishes requirements to prevent bribery and corruption and to ensure compliance with: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the U.S. Foreign Corrupt Practices Act ("FCPA");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U.S. federal and state anti-bribery laws (including commercial bribery where applicable);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applicable anti-corruption laws in jurisdictions where Celerity operates (including the UK Bribery Act, where relevant);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applicable regulatory obligations encountered in energy/oil &amp; gas consulting engagements (including permitting and regulator interactions);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related controls for </w:t>
      </w: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sanctions/export controls, anti-money laundering (AML), and books-and-records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 compliance.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Celerity's standard is </w:t>
      </w: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zero tolerance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 for bribery, corruption, or improper influence.</w:t>
      </w: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2.  Scope and Applicability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This Policy applies to all Celerity </w:t>
      </w: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Personnel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 (as defined in the Code), including employees, officers, managers, contractors, consultants, agents, and temporary staff.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This Policy also applies to: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any </w:t>
      </w: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Third Party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 acting for or on behalf of Celerity (e.g., subcontractors, intermediaries, introducers, lobbyists, permit expediters, advisors, and vendors);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any interaction with:</w:t>
      </w:r>
    </w:p>
    <w:p>
      <w:pPr>
        <w:pStyle w:val="ListParagraph"/>
        <w:numPr>
          <w:ilvl w:val="0"/>
          <w:numId w:val="3"/>
        </w:numPr>
        <w:spacing w:before="30" w:after="40"/>
        <w:jc w:val="both"/>
      </w:pP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Government Officials;</w:t>
      </w:r>
    </w:p>
    <w:p>
      <w:pPr>
        <w:pStyle w:val="ListParagraph"/>
        <w:numPr>
          <w:ilvl w:val="0"/>
          <w:numId w:val="3"/>
        </w:numPr>
        <w:spacing w:before="30" w:after="4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state-owned or state-controlled enterprises (e.g., national oil companies);</w:t>
      </w:r>
    </w:p>
    <w:p>
      <w:pPr>
        <w:pStyle w:val="ListParagraph"/>
        <w:numPr>
          <w:ilvl w:val="0"/>
          <w:numId w:val="3"/>
        </w:numPr>
        <w:spacing w:before="30" w:after="4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regulators, permitting authorities, inspectors, and enforcement agencies;</w:t>
      </w:r>
    </w:p>
    <w:p>
      <w:pPr>
        <w:pStyle w:val="ListParagraph"/>
        <w:numPr>
          <w:ilvl w:val="0"/>
          <w:numId w:val="3"/>
        </w:numPr>
        <w:spacing w:before="30" w:after="4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public universities or government-affiliated research entities (where officials may be involved).</w:t>
      </w: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3.  Definitions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3.1  Government Official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"Government Official" includes any: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officer, employee, or agent of any government (federal, state, local, tribal, or foreign);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officer/employee of a government department, agency, regulator, instrumentality, or </w:t>
      </w: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state-owned or state-controlled enterprise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 (including national oil companies);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political party, party official, or candidate for political office;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employee of a public international organization (e.g., UN, World Bank);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person acting in an official capacity (including consultants or intermediaries acting on behalf of a government body).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3.2  Thing of Value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"Thing of Value" includes anything of value, not just cash, such as: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gifts, meals, entertainment, hospitality, travel, lodging;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per diems, honoraria, consulting fees, internships, jobs, secondments;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charitable donations or sponsorships directed by an official;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discounts, rebates, forgiveness of debt, loans;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political contributions;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in-kind services, equipment, or access.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3.3  Facilitation Payments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Celerity prohibits facilitation payments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, even if permitted under limited circumstances by the FCPA. "Facilitation Payments" are small payments made to secure or expedite routine governmental action (e.g., processing permits, customs clearance, utility hookups).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3.4  Third Parties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"Third Parties" include any non-Celerity person or entity that provides services to, represents, or interacts with others for Celerity (including subcontractors, agents, intermediaries, consultants, vendors, and joint marketing partners).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3.5  Red Flags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"Red Flags" are indicators of heightened risk, including: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requests for cash, cryptocurrency, or payment to unrelated third parties;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requests for unusually high commissions, success fees, or "consulting" fees without clear scope;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refusal to certify compliance with anti-corruption laws or to disclose beneficial ownership;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suggested use of shell companies, offshore accounts, or opaque structures;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close relationship between the Third Party and a Government Official;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requests for false or vague invoices ("miscellaneous services," "special handling," etc.);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poor reputation, prior allegations, or a history of regulatory issues;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being hired to "get approvals," "fix problems," or "make issues go away";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unusual urgency around payment, especially before services are performed;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lack of qualifications for the work.</w:t>
      </w: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4.  Core Rule: Prohibition on Bribery and Corruption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Celerity prohibits: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offering, promising, authorizing, giving, or providing a Thing of Value to any person (including a Government Official) to improperly obtain or retain business, influence a decision, secure an improper advantage, or reduce a burden;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soliciting or accepting bribes, kickbacks, or improper benefits;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using Third Parties to do anything Celerity may not do directly;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any facilitation payment;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any "quid pro quo" arrangements (explicit or implicit).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No one is authorized to violate this Policy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 due to perceived business necessity, local custom, client pressure, or competitive demands.</w:t>
      </w: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5.  Gifts, Entertainment, Travel, and Hospitality (GETH)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5.1  General Standard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GETH must be: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modest, reasonable, and infrequent;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for a legitimate business purpose;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transparent, accurately recorded, and compliant with law and the Code;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never conditioned on an official act or business award.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5.2  Prohibited GETH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GETH is prohibited if: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it is cash or cash equivalent (gift cards, prepaid cards, vouchers);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it is lavish, adult entertainment, or otherwise inappropriate;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it includes family members or guests of a Government Official (unless pre-approved in writing and legally permitted);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it is offered during a tender/bid, active permitting decision, enforcement action, inspection, or similar sensitive period (absent exceptional pre-approval).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5.3  Approval Thresholds</w:t>
      </w:r>
    </w:p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160"/>
        <w:gridCol w:w="3960"/>
      </w:tblGrid>
      <w:tr>
        <w:trPr>
          <w:tblHeader/>
        </w:trPr>
        <w:tc>
          <w:tcPr>
            <w:tcW w:type="dxa" w:w="3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3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Pre-Approval Required?</w:t>
            </w:r>
          </w:p>
        </w:tc>
      </w:tr>
      <w:tr>
        <w:tc>
          <w:tcPr>
            <w:tcW w:type="dxa" w:w="3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Gifts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A6070"/>
                <w:sz w:val="20"/>
                <w:szCs w:val="20"/>
                <w:highlight w:val="yellow"/>
              </w:rPr>
              <w:t xml:space="preserve">$[GIFT THRESHOLD] per person/instance</w:t>
            </w:r>
          </w:p>
        </w:tc>
        <w:tc>
          <w:tcPr>
            <w:tcW w:type="dxa" w:w="3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Yes — above threshold</w:t>
            </w:r>
          </w:p>
        </w:tc>
      </w:tr>
      <w:tr>
        <w:tc>
          <w:tcPr>
            <w:tcW w:type="dxa" w:w="3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Entertainment / Meals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A6070"/>
                <w:sz w:val="20"/>
                <w:szCs w:val="20"/>
                <w:highlight w:val="yellow"/>
              </w:rPr>
              <w:t xml:space="preserve">$[MEAL THRESHOLD] per person/instance</w:t>
            </w:r>
          </w:p>
        </w:tc>
        <w:tc>
          <w:tcPr>
            <w:tcW w:type="dxa" w:w="3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Yes — above threshold</w:t>
            </w:r>
          </w:p>
        </w:tc>
      </w:tr>
      <w:tr>
        <w:tc>
          <w:tcPr>
            <w:tcW w:type="dxa" w:w="3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Travel / Lodging / Hospitality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A6070"/>
                <w:sz w:val="20"/>
                <w:szCs w:val="20"/>
                <w:highlight w:val="yellow"/>
              </w:rPr>
              <w:t xml:space="preserve">$[TRAVEL THRESHOLD] total per individual/event</w:t>
            </w:r>
          </w:p>
        </w:tc>
        <w:tc>
          <w:tcPr>
            <w:tcW w:type="dxa" w:w="3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Yes — above threshold</w:t>
            </w:r>
          </w:p>
        </w:tc>
      </w:tr>
      <w:tr>
        <w:tc>
          <w:tcPr>
            <w:tcW w:type="dxa" w:w="3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Annual Aggregate per Recipient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A6070"/>
                <w:sz w:val="20"/>
                <w:szCs w:val="20"/>
                <w:highlight w:val="yellow"/>
              </w:rPr>
              <w:t xml:space="preserve">$[ANNUAL AGGREGATE THRESHOLD]</w:t>
            </w:r>
          </w:p>
        </w:tc>
        <w:tc>
          <w:tcPr>
            <w:tcW w:type="dxa" w:w="3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Yes — above threshold</w:t>
            </w:r>
          </w:p>
        </w:tc>
      </w:tr>
      <w:tr>
        <w:tc>
          <w:tcPr>
            <w:tcW w:type="dxa" w:w="3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Government Official — any GETH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A6070"/>
                <w:sz w:val="20"/>
                <w:szCs w:val="20"/>
                <w:highlight w:val="yellow"/>
              </w:rPr>
              <w:t xml:space="preserve">Below $[DE MINIMIS OFFICIAL THRESHOLD] if clearly permissible</w:t>
            </w:r>
          </w:p>
        </w:tc>
        <w:tc>
          <w:tcPr>
            <w:tcW w:type="dxa" w:w="3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Yes — regardless of amount (except de minimis)</w:t>
            </w:r>
          </w:p>
        </w:tc>
      </w:tr>
      <w:tr>
        <w:tc>
          <w:tcPr>
            <w:tcW w:type="dxa" w:w="3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Charitable Contributions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A6070"/>
                <w:sz w:val="20"/>
                <w:szCs w:val="20"/>
                <w:highlight w:val="yellow"/>
              </w:rPr>
              <w:t xml:space="preserve">$[CHARITY THRESHOLD]</w:t>
            </w:r>
          </w:p>
        </w:tc>
        <w:tc>
          <w:tcPr>
            <w:tcW w:type="dxa" w:w="3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Yes — above threshold</w:t>
            </w:r>
          </w:p>
        </w:tc>
      </w:tr>
      <w:tr>
        <w:tc>
          <w:tcPr>
            <w:tcW w:type="dxa" w:w="3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Sponsorships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A6070"/>
                <w:sz w:val="20"/>
                <w:szCs w:val="20"/>
                <w:highlight w:val="yellow"/>
              </w:rPr>
              <w:t xml:space="preserve">$[SPONSORSHIP THRESHOLD]</w:t>
            </w:r>
          </w:p>
        </w:tc>
        <w:tc>
          <w:tcPr>
            <w:tcW w:type="dxa" w:w="39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Yes — above threshold</w:t>
            </w:r>
          </w:p>
        </w:tc>
      </w:tr>
    </w:tbl>
    <w:p>
      <w:pPr>
        <w:spacing w:before="80" w:after="60"/>
      </w:pP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5.4  Government Officials (Higher Standard)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Any GETH involving a Government Official requires: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pre-approval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 under Section 14 (Workflow) regardless of amount, unless below </w:t>
      </w:r>
      <w:r>
        <w:rPr>
          <w:rFonts w:ascii="Times New Roman" w:cs="Times New Roman" w:eastAsia="Times New Roman" w:hAnsi="Times New Roman"/>
          <w:i/>
          <w:iCs/>
          <w:color w:val="5A6070"/>
          <w:sz w:val="20"/>
          <w:szCs w:val="20"/>
          <w:highlight w:val="yellow"/>
        </w:rPr>
        <w:t xml:space="preserve">$[DE MINIMIS OFFICIAL THRESHOLD]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 and clearly permissible under local law and agency rules;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confirmation that: it is lawful and consistent with the official's rules; it is directly related to a legitimate business purpose; and it is not intended to influence an official act.</w:t>
      </w: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6.  Charitable Contributions, Political Contributions, and Sponsorships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6.1  Charitable Contributions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Charitable donations must not be used to influence decisions or as a conduit to a Government Official. Requirements: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written request and documented business rationale (if any);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verification of charity legitimacy and end use of funds;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prohibition on donations requested or directed by a Government Official where the donation could influence an official act (unless vetted and approved);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pre-approval required for donations above </w:t>
      </w:r>
      <w:r>
        <w:rPr>
          <w:rFonts w:ascii="Times New Roman" w:cs="Times New Roman" w:eastAsia="Times New Roman" w:hAnsi="Times New Roman"/>
          <w:i/>
          <w:iCs/>
          <w:color w:val="5A6070"/>
          <w:sz w:val="20"/>
          <w:szCs w:val="20"/>
          <w:highlight w:val="yellow"/>
        </w:rPr>
        <w:t xml:space="preserve">$[CHARITY THRESHOLD]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6.2  Political Contributions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Celerity will not make political contributions on behalf of the Company unless: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approved in advance in writing by </w:t>
      </w:r>
      <w:r>
        <w:rPr>
          <w:rFonts w:ascii="Times New Roman" w:cs="Times New Roman" w:eastAsia="Times New Roman" w:hAnsi="Times New Roman"/>
          <w:i/>
          <w:iCs/>
          <w:color w:val="5A6070"/>
          <w:sz w:val="20"/>
          <w:szCs w:val="20"/>
          <w:highlight w:val="yellow"/>
        </w:rPr>
        <w:t xml:space="preserve">[APPROVING AUTHORITY]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reviewed for legal compliance (including pay-to-play restrictions, if applicable);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properly recorded and publicly disclosed where required.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Personnel may make personal political contributions only in a personal capacity and must not imply Company endorsement.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6.3  Sponsorships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Sponsorships (industry events, conferences, community initiatives) require: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written agreement describing benefits and deliverables;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reasonableness review;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enhanced review if a Government Official, regulator, or government-affiliated entity is involved.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Pre-approval required above </w:t>
      </w:r>
      <w:r>
        <w:rPr>
          <w:rFonts w:ascii="Times New Roman" w:cs="Times New Roman" w:eastAsia="Times New Roman" w:hAnsi="Times New Roman"/>
          <w:i/>
          <w:iCs/>
          <w:color w:val="5A6070"/>
          <w:sz w:val="20"/>
          <w:szCs w:val="20"/>
          <w:highlight w:val="yellow"/>
        </w:rPr>
        <w:t xml:space="preserve">$[SPONSORSHIP THRESHOLD]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.</w:t>
      </w: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7.  Payments, Invoicing, and Financial Controls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7.1  Approved Payment Methods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Payments must be made </w:t>
      </w: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only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 to the contracting counterparty named in an approved contract and to a bank account in that counterparty's name, in the country where services are performed, unless exception is approved.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No cash payments (except documented petty cash consistent with Company policy, if any, and never involving Government Officials).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7.2  Prohibited Payment Practices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split invoicing to avoid approval limits;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false descriptions, vague line items, or unsupported expenses;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"success fees" or commissions without an approved structure, clear scope, and due diligence;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payments to third parties not identified in the contract without formal approval and documentation.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7.3  Invoice Requirements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Invoices must include: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detailed description of services performed, dates, personnel, and time entries (where applicable);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appropriate supporting documentation for expenses;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valid tax information and required documentation (e.g., W-9/W-8, VAT where relevant).</w:t>
      </w: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8.  Books and Records; Accurate Time and Expense Reporting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All records must be accurate and complete. Personnel must: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record time and expenses truthfully and promptly;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maintain receipts and documentation as required by Company procedures;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never mischaracterize expenses (e.g., describing gifts as "consulting fees").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Any attempt to conceal or misstate transactions is a serious violation and may trigger disciplinary action and external reporting obligations.</w:t>
      </w: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9.  Third-Party Due Diligence (Agents, Intermediaries, Subcontractors)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9.1  When Due Diligence is Required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Due diligence is required before engaging: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any Third Party who will interact with Government Officials or regulators on Celerity's behalf;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any Third Party being paid commissions, success fees, or contingency fees;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any permit expeditor, customs broker, lobbyist, or local "advisor" used to obtain licenses/approvals;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any Third Party located in, or performing services in, high-risk jurisdictions (as designated by the Policy Owner).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9.2  Due Diligence Steps (Summary)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risk-tier the Third Party (Low / Medium / High);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collect and verify: legal entity details and beneficial ownership; references and qualifications; sanctions screening results; disclosure of government ties;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review red flags and resolve/mitigate before engagement;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obtain written certifications and include required contract clauses.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9.3  Required Contract Clauses (Flow-Down)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Third-party agreements must include: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anti-corruption compliance covenant (FCPA/UK Bribery Act and applicable laws);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prohibition on facilitation payments;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representations: no government ownership/affiliation except disclosed;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audit rights (reasonable) and books/records obligations;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right to terminate immediately for compliance breach or credible allegations;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subcontracting restrictions and flow-down obligations;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sanctions/export controls/AML compliance obligations where relevant.</w:t>
      </w: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10.  Sanctions, Export Controls, and AML Touchpoints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10.1  Sanctions and Restricted Parties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Celerity will not conduct business with: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sanctioned persons/entities or those owned 50%+ by them (or applicable threshold);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parties in comprehensively sanctioned jurisdictions, absent written legal approval.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Personnel must escalate any sanctions concerns, including: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requests to route payments through third countries;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counterparties unwilling to provide ownership information;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engagements involving sensitive technology or controlled data.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10.2  Export Controls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Where Celerity provides technical data, software, models, or analysis that may be export-controlled, Personnel must consult the Policy Owner before transfer to non-U.S. persons or across borders.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10.3  AML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While Celerity is not typically a "financial institution," Personnel must be alert to AML risks, including: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unusual payment instructions or sources of funds;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requests for overpayment and refunds;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lack of legitimate business purpose.</w:t>
      </w: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11.  Interactions with Regulators, Inspectors, and Permitting Authorities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11.1  General Rule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All interactions with regulators must be professional, truthful, and transparent. Personnel must: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provide accurate information; do not mislead regulators;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preserve documents and follow legal hold instructions when applicable;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avoid off-the-record inducements or informal payments.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11.2  Site Visits, Inspections, and Permitting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If Celerity supports clients in permitting or regulatory processes: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any submission must be accurate and supported;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any request by a client to "fix" outcomes through improper means must be refused and immediately escalated.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11.3  Use of Permit Expediters/Lobbyists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Engaging lobbyists, permit expediters, or similar intermediaries is high-risk and requires: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enhanced due diligence;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written scope, transparent fee structure, and documented deliverables;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pre-approval by the Policy Owner.</w:t>
      </w: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12.  Conflicts of Interest (Tie-In to Code)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Personnel must disclose actual or potential conflicts consistent with the Code, including: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financial interests in clients/vendors;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outside engagements that overlap with client interests;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family/personal relationships with Government Officials, regulators, or client decision-makers.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Any conflict affecting regulatory engagements or permitting support is subject to heightened review and may require recusals, information barriers, or declining the engagement.</w:t>
      </w: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13.  Training, Certifications, and Ongoing Compliance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13.1  Training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required upon onboarding and at least </w:t>
      </w: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annually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 thereafter (or more frequently for high-risk roles);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additional training for Personnel interacting with Government Officials or managing Third Parties.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13.2  Certifications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At least annually, Personnel must certify: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they have read, understand, and will comply with this Policy, the Code, and related procedures;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they have disclosed any conflicts and any known policy violations.</w:t>
      </w: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14.  Practical Procedures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14.1  Pre-Approval Workflow (GETH, Donations, Sponsorships, High-Risk Third Parties)</w:t>
      </w:r>
    </w:p>
    <w:p>
      <w:pPr>
        <w:spacing w:before="80" w:after="60"/>
        <w:jc w:val="both"/>
      </w:pP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Step 1 — Request Submission.  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Submit a pre-approval request to </w:t>
      </w:r>
      <w:r>
        <w:rPr>
          <w:rFonts w:ascii="Times New Roman" w:cs="Times New Roman" w:eastAsia="Times New Roman" w:hAnsi="Times New Roman"/>
          <w:i/>
          <w:iCs/>
          <w:color w:val="5A6070"/>
          <w:sz w:val="20"/>
          <w:szCs w:val="20"/>
          <w:highlight w:val="yellow"/>
        </w:rPr>
        <w:t xml:space="preserve">[APPROVAL EMAIL/PORTAL]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 including: requestor name, engagement/client, and purpose; recipient(s) identity and role (including whether Government Official); item description and estimated value; timing and location; business justification; confirmation of compliance with recipient rules (if Government Official); supporting documents (agenda, invitations, quotes).</w:t>
      </w:r>
    </w:p>
    <w:p>
      <w:pPr>
        <w:spacing w:before="80" w:after="60"/>
        <w:jc w:val="both"/>
      </w:pP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Step 2 — Initial Review (Business Lead).  </w:t>
      </w:r>
      <w:r>
        <w:rPr>
          <w:rFonts w:ascii="Times New Roman" w:cs="Times New Roman" w:eastAsia="Times New Roman" w:hAnsi="Times New Roman"/>
          <w:i/>
          <w:iCs/>
          <w:color w:val="5A6070"/>
          <w:sz w:val="20"/>
          <w:szCs w:val="20"/>
          <w:highlight w:val="yellow"/>
        </w:rPr>
        <w:t xml:space="preserve">[ENGAGEMENT LEAD / PARTNER]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 confirms legitimacy, reasonableness, and necessity.</w:t>
      </w:r>
    </w:p>
    <w:p>
      <w:pPr>
        <w:spacing w:before="80" w:after="60"/>
        <w:jc w:val="both"/>
      </w:pP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Step 3 — Compliance Review.  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Policy Owner or delegate reviews for legal/policy compliance, checks red flags, and may require additional diligence.</w:t>
      </w:r>
    </w:p>
    <w:p>
      <w:pPr>
        <w:spacing w:before="80" w:after="60"/>
        <w:jc w:val="both"/>
      </w:pP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Step 4 — Approval/Denial and Documentation.  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Approval must be in writing and stored in the engagement file. Denials must be respected; no workaround.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Emergency Exception:  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If there is an imminent safety/security risk, Personnel may take necessary steps to protect life/health, then report to the Policy Owner within </w:t>
      </w: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24 hours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 with documentation. This does </w:t>
      </w: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not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 permit facilitation payments to expedite routine action.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14.2  Third-Party Due Diligence Checklist (Minimum)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For applicable Third Parties, collect and document: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legal name, address, registration, beneficial owners;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services description and qualifications;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references (as appropriate);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government affiliations/relationships questionnaire;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sanctions screening results;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proposed compensation structure and justification;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bank account details and payment currency/country;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written anti-corruption certification;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contract with required clauses (Section 9.3);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red flags identified and mitigations implemented.</w:t>
      </w:r>
    </w:p>
    <w:p>
      <w:pPr>
        <w:pStyle w:val="Heading2"/>
        <w:spacing w:before="200" w:after="80"/>
      </w:pPr>
      <w:r>
        <w:rPr>
          <w:rFonts w:ascii="Times New Roman" w:cs="Times New Roman" w:eastAsia="Times New Roman" w:hAnsi="Times New Roman"/>
          <w:b/>
          <w:bCs/>
          <w:color w:val="1B2A5E"/>
          <w:sz w:val="22"/>
          <w:szCs w:val="22"/>
        </w:rPr>
        <w:t xml:space="preserve">14.3  Escalation Matrix</w:t>
      </w:r>
    </w:p>
    <w:p>
      <w:pPr>
        <w:spacing w:before="6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520"/>
        <w:gridCol w:w="2160"/>
      </w:tblGrid>
      <w:tr>
        <w:trPr>
          <w:tblHeader/>
        </w:trPr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Escalate To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Timing</w:t>
            </w:r>
          </w:p>
        </w:tc>
      </w:tr>
      <w:tr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A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B2A5E"/>
                <w:sz w:val="18"/>
                <w:szCs w:val="18"/>
              </w:rPr>
              <w:t xml:space="preserve">Low Risk / Routine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18"/>
                <w:szCs w:val="18"/>
              </w:rPr>
              <w:t xml:space="preserve">Small meal within policy; no Government Official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A6070"/>
                <w:sz w:val="20"/>
                <w:szCs w:val="20"/>
                <w:highlight w:val="yellow"/>
              </w:rPr>
              <w:t xml:space="preserve">[ENGAGEMENT LEAD]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18"/>
                <w:szCs w:val="18"/>
              </w:rPr>
              <w:t xml:space="preserve">Before commitment</w:t>
            </w:r>
          </w:p>
        </w:tc>
      </w:tr>
      <w:tr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B2A5E"/>
                <w:sz w:val="18"/>
                <w:szCs w:val="18"/>
              </w:rPr>
              <w:t xml:space="preserve">Medium Risk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18"/>
                <w:szCs w:val="18"/>
              </w:rPr>
              <w:t xml:space="preserve">GETH near thresholds; Third Party with minor red flags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A6070"/>
                <w:sz w:val="20"/>
                <w:szCs w:val="20"/>
                <w:highlight w:val="yellow"/>
              </w:rPr>
              <w:t xml:space="preserve">[POLICY OWNER]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18"/>
                <w:szCs w:val="18"/>
              </w:rPr>
              <w:t xml:space="preserve">Before commitment</w:t>
            </w:r>
          </w:p>
        </w:tc>
      </w:tr>
      <w:tr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B2A5E"/>
                <w:sz w:val="18"/>
                <w:szCs w:val="18"/>
              </w:rPr>
              <w:t xml:space="preserve">High Risk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18"/>
                <w:szCs w:val="18"/>
              </w:rPr>
              <w:t xml:space="preserve">Gov't Official; permit expeditor; success fee; sanctions concern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A6070"/>
                <w:sz w:val="20"/>
                <w:szCs w:val="20"/>
                <w:highlight w:val="yellow"/>
              </w:rPr>
              <w:t xml:space="preserve">[POLICY OWNER] + [CEO/MANAGING PARTNER]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18"/>
                <w:szCs w:val="18"/>
              </w:rPr>
              <w:t xml:space="preserve">Immediately — no spend until cleared</w:t>
            </w:r>
          </w:p>
        </w:tc>
      </w:tr>
      <w:tr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E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B2A5E"/>
                <w:sz w:val="18"/>
                <w:szCs w:val="18"/>
              </w:rPr>
              <w:t xml:space="preserve">Suspected Violation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18"/>
                <w:szCs w:val="18"/>
              </w:rPr>
              <w:t xml:space="preserve">Request for bribe; false invoice; retaliation</w:t>
            </w:r>
          </w:p>
        </w:tc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i/>
                <w:iCs/>
                <w:color w:val="5A6070"/>
                <w:sz w:val="20"/>
                <w:szCs w:val="20"/>
                <w:highlight w:val="yellow"/>
              </w:rPr>
              <w:t xml:space="preserve">[HOTLINE/EMAIL] + Policy Owner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18"/>
                <w:szCs w:val="18"/>
              </w:rPr>
              <w:t xml:space="preserve">Immediately</w:t>
            </w:r>
          </w:p>
        </w:tc>
      </w:tr>
    </w:tbl>
    <w:p>
      <w:pPr>
        <w:spacing w:before="80" w:after="60"/>
      </w:pP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15.  Reporting, Whistleblower Protection, and Non-Retaliation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Personnel must promptly report suspected violations of this Policy, the Code, or applicable laws via: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i/>
          <w:iCs/>
          <w:color w:val="5A6070"/>
          <w:sz w:val="20"/>
          <w:szCs w:val="20"/>
          <w:highlight w:val="yellow"/>
        </w:rPr>
        <w:t xml:space="preserve">[HOTLINE/EMAIL]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Policy Owner: </w:t>
      </w:r>
      <w:r>
        <w:rPr>
          <w:rFonts w:ascii="Times New Roman" w:cs="Times New Roman" w:eastAsia="Times New Roman" w:hAnsi="Times New Roman"/>
          <w:i/>
          <w:iCs/>
          <w:color w:val="5A6070"/>
          <w:sz w:val="20"/>
          <w:szCs w:val="20"/>
          <w:highlight w:val="yellow"/>
        </w:rPr>
        <w:t xml:space="preserve">[EMAIL]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management chain, if appropriate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Celerity prohibits retaliation against anyone who in good faith reports a concern or participates in an investigation, consistent with the Code.</w:t>
      </w: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16.  Investigations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Celerity will investigate credible concerns promptly and fairly, with confidentiality maintained to the extent practicable.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Personnel must: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cooperate fully;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preserve relevant records (including emails, messages, time/expense records);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not interfere with investigations or retaliate.</w:t>
      </w: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17.  Disciplinary Actions and Remedies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Violations may result in disciplinary action up to and including: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termination of employment or engagement;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contract termination with Third Parties;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repayment of improper amounts;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referral to law enforcement or regulators where appropriate.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Discipline will be applied consistently, regardless of seniority or revenue impact.</w:t>
      </w: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18.  Record Retention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Records related to: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pre-approvals, due diligence, Third Party contracts;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gifts/entertainment/travel approvals;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charitable/political contributions and sponsorships;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investigations and findings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must be retained for at least </w:t>
      </w:r>
      <w:r>
        <w:rPr>
          <w:rFonts w:ascii="Times New Roman" w:cs="Times New Roman" w:eastAsia="Times New Roman" w:hAnsi="Times New Roman"/>
          <w:i/>
          <w:iCs/>
          <w:color w:val="5A6070"/>
          <w:sz w:val="20"/>
          <w:szCs w:val="20"/>
          <w:highlight w:val="yellow"/>
        </w:rPr>
        <w:t xml:space="preserve">[7]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 years or longer if required by law, contract, or a legal hold.</w:t>
      </w:r>
    </w:p>
    <w:p>
      <w:pPr>
        <w:pStyle w:val="Heading1"/>
        <w:pBdr>
          <w:bottom w:val="single" w:color="4A9FD4" w:sz="6" w:space="4"/>
        </w:pBdr>
        <w:spacing w:before="280" w:after="100"/>
      </w:pPr>
      <w:r>
        <w:rPr>
          <w:rFonts w:ascii="Times New Roman" w:cs="Times New Roman" w:eastAsia="Times New Roman" w:hAnsi="Times New Roman"/>
          <w:b/>
          <w:bCs/>
          <w:color w:val="1B2A5E"/>
          <w:sz w:val="24"/>
          <w:szCs w:val="24"/>
        </w:rPr>
        <w:t xml:space="preserve">19.  Policy Ownership, Review, and Updates</w:t>
      </w: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The Policy Owner is responsible for: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implementing and maintaining this Policy and procedures;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maintaining a risk-based list of high-risk jurisdictions and Third Party categories;</w:t>
      </w:r>
    </w:p>
    <w:p>
      <w:pPr>
        <w:pStyle w:val="ListParagraph"/>
        <w:numPr>
          <w:ilvl w:val="0"/>
          <w:numId w:val="2"/>
        </w:numPr>
        <w:spacing w:before="40" w:after="6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annual review and updates at least once every </w:t>
      </w:r>
      <w:r>
        <w:rPr>
          <w:rFonts w:ascii="Times New Roman" w:cs="Times New Roman" w:eastAsia="Times New Roman" w:hAnsi="Times New Roman"/>
          <w:i/>
          <w:iCs/>
          <w:color w:val="5A6070"/>
          <w:sz w:val="20"/>
          <w:szCs w:val="20"/>
          <w:highlight w:val="yellow"/>
        </w:rPr>
        <w:t xml:space="preserve">[12]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 months, and sooner upon: material legal changes; significant incidents; expansion into new geographies/services.</w:t>
      </w:r>
    </w:p>
    <w:p>
      <w:pPr>
        <w:pageBreakBefore/>
      </w:pPr>
      <w:r>
        <w:rPr>
          <w:rFonts w:ascii="Times New Roman" w:cs="Times New Roman" w:eastAsia="Times New Roman" w:hAnsi="Times New Roman"/>
        </w:rPr>
        <w:t xml:space="preserve"/>
      </w:r>
    </w:p>
    <w:p>
      <w:pPr>
        <w:spacing w:before="160" w:after="20"/>
      </w:pPr>
      <w:r>
        <w:rPr>
          <w:rFonts w:ascii="Times New Roman" w:cs="Times New Roman" w:eastAsia="Times New Roman" w:hAnsi="Times New Roman"/>
          <w:b/>
          <w:bCs/>
          <w:color w:val="1B2A5E"/>
          <w:sz w:val="32"/>
          <w:szCs w:val="32"/>
        </w:rPr>
        <w:t xml:space="preserve">SECTION 20</w:t>
      </w:r>
    </w:p>
    <w:p>
      <w:pPr>
        <w:spacing w:before="0" w:after="4"/>
      </w:pPr>
      <w:r>
        <w:rPr>
          <w:rFonts w:ascii="Times New Roman" w:cs="Times New Roman" w:eastAsia="Times New Roman" w:hAnsi="Times New Roman"/>
          <w:b/>
          <w:bCs/>
          <w:color w:val="4A9FD4"/>
          <w:sz w:val="20"/>
          <w:szCs w:val="20"/>
        </w:rPr>
        <w:t xml:space="preserve">Acknowledgment of Receipt and Agreement</w:t>
      </w:r>
    </w:p>
    <w:p>
      <w:pPr>
        <w:pBdr>
          <w:bottom w:val="single" w:color="4A9FD4" w:sz="16" w:space="1"/>
        </w:pBdr>
        <w:spacing w:before="0" w:after="0"/>
      </w:pPr>
    </w:p>
    <w:p>
      <w:pPr>
        <w:spacing w:before="120" w:after="80"/>
      </w:pPr>
    </w:p>
    <w:p>
      <w:pPr>
        <w:spacing w:before="60" w:after="100"/>
        <w:jc w:val="both"/>
      </w:pP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I confirm that I have received, read, and understood the </w:t>
      </w:r>
      <w:r>
        <w:rPr>
          <w:rFonts w:ascii="Times New Roman" w:cs="Times New Roman" w:eastAsia="Times New Roman" w:hAnsi="Times New Roman"/>
          <w:b/>
          <w:bCs/>
          <w:color w:val="1A1A2A"/>
          <w:sz w:val="20"/>
          <w:szCs w:val="20"/>
        </w:rPr>
        <w:t xml:space="preserve">Celerity Energy Advisors LLC FCPA and Regulatory Compliance Policy</w:t>
      </w:r>
      <w:r>
        <w:rPr>
          <w:rFonts w:ascii="Times New Roman" w:cs="Times New Roman" w:eastAsia="Times New Roman" w:hAnsi="Times New Roman"/>
          <w:color w:val="1A1A2A"/>
          <w:sz w:val="20"/>
          <w:szCs w:val="20"/>
        </w:rPr>
        <w:t xml:space="preserve">. I agree to comply with it and with the Company's Code of Business Ethics as a condition of my employment or engagement. I understand that violations may result in disciplinary action up to and including termination.</w:t>
      </w:r>
    </w:p>
    <w:p>
      <w:pPr>
        <w:spacing w:before="8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Print Name</w:t>
            </w:r>
          </w:p>
        </w:tc>
        <w:tc>
          <w:tcPr>
            <w:tcW w:type="dxa" w:w="68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Title / Role</w:t>
            </w:r>
          </w:p>
        </w:tc>
        <w:tc>
          <w:tcPr>
            <w:tcW w:type="dxa" w:w="68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68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52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68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A1A2A"/>
                <w:sz w:val="20"/>
                <w:szCs w:val="20"/>
              </w:rPr>
              <w:t xml:space="preserve"> 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A5E" w:sz="6" w:space="4"/>
      </w:pBdr>
      <w:tabs>
        <w:tab w:val="right" w:pos="9360"/>
      </w:tabs>
      <w:spacing w:before="80" w:after="0"/>
    </w:pPr>
    <w:r>
      <w:rPr>
        <w:rFonts w:ascii="Times New Roman" w:cs="Times New Roman" w:eastAsia="Times New Roman" w:hAnsi="Times New Roman"/>
        <w:color w:val="7B8FB0"/>
        <w:sz w:val="16"/>
        <w:szCs w:val="16"/>
      </w:rPr>
      <w:t xml:space="preserve">Celerity Energy Advisors  |  celerity.energy  |  (844) 610-5945</w:t>
    </w:r>
    <w:r>
      <w:rPr>
        <w:rFonts w:ascii="Times New Roman" w:cs="Times New Roman" w:eastAsia="Times New Roman" w:hAnsi="Times New Roman"/>
        <w:color w:val="7B8FB0"/>
        <w:sz w:val="16"/>
        <w:szCs w:val="16"/>
      </w:rPr>
      <w:t xml:space="preserve">	© 2025 Celerity Energy Advisors LLC.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40"/>
      <w:jc w:val="right"/>
    </w:pPr>
    <w:r>
      <w:rPr>
        <w:rFonts w:ascii="Times New Roman" w:cs="Times New Roman" w:eastAsia="Times New Roman" w:hAnsi="Times New Roman"/>
        <w:color w:val="9AAABF"/>
        <w:sz w:val="17"/>
        <w:szCs w:val="17"/>
      </w:rPr>
      <w:t xml:space="preserve">Page </w:t>
    </w:r>
    <w:fldSimple w:instr="PAGE">
      <w:r/>
    </w:fldSimple>
  </w:p>
  <w:p>
    <w:pPr>
      <w:pBdr>
        <w:bottom w:val="single" w:color="4A9FD4" w:sz="12" w:space="6"/>
      </w:pBdr>
      <w:spacing w:before="0" w:after="0"/>
    </w:pPr>
    <w:r>
      <w:drawing>
        <wp:inline distT="0" distB="0" distL="0" distR="0">
          <wp:extent cx="1714500" cy="5810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581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  <w:color w:val="4A9FD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  <w:rPr>
        <w:rFonts w:ascii="Times New Roman" w:cs="Times New Roman" w:eastAsia="Times New Roman" w:hAnsi="Times New Roman"/>
        <w:color w:val="D0D7E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A1A2A"/>
        <w:sz w:val="20"/>
        <w:szCs w:val="20"/>
      </w:rPr>
    </w:rPrDefault>
    <w:pPrDefault>
      <w:pPr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Times New Roman" w:cs="Times New Roman" w:eastAsia="Times New Roman" w:hAnsi="Times New Roman"/>
      <w:b/>
      <w:bCs/>
      <w:color w:val="1B2A5E"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Times New Roman" w:cs="Times New Roman" w:eastAsia="Times New Roman" w:hAnsi="Times New Roman"/>
      <w:b/>
      <w:bCs/>
      <w:color w:val="1B2A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c3a6a4ad35f7d04b491a7373f583c1c545acfb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2026-03-06T14:44:45.286Z</dcterms:created>
  <dcterms:modified xsi:type="dcterms:W3CDTF">2026-03-06T14:44:45.318Z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