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4"/>
          <w:szCs w:val="34"/>
        </w:rPr>
        <w:t xml:space="preserve">HUMAN RIGHTS POLICY</w:t>
      </w:r>
    </w:p>
    <w:p>
      <w:pPr>
        <w:spacing w:before="0" w:after="4"/>
      </w:pPr>
      <w:r>
        <w:rPr>
          <w:rFonts w:ascii="Times New Roman" w:cs="Times New Roman" w:eastAsia="Times New Roman" w:hAnsi="Times New Roman"/>
          <w:b/>
          <w:bCs/>
          <w:color w:val="4A9FD4"/>
          <w:sz w:val="20"/>
          <w:szCs w:val="20"/>
        </w:rPr>
        <w:t xml:space="preserve">Implementation-Ready  ·  Celerity Energy Advisors LLC</w:t>
      </w:r>
    </w:p>
    <w:p>
      <w:pPr>
        <w:pBdr>
          <w:bottom w:val="single" w:color="4A9FD4" w:sz="16" w:space="1"/>
        </w:pBdr>
        <w:spacing w:before="0" w:after="0"/>
      </w:pP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Effective Date</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[EFFECTIVE DATE]</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Policy Owner</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[POLICY OWNER / COMPLIANCE OFFICER]</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Approved By</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[CEO / MANAGING PARTNER / BOARD]</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Next Review Date</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[DATE]</w:t>
            </w:r>
          </w:p>
        </w:tc>
      </w:tr>
    </w:tbl>
    <w:p>
      <w:pPr>
        <w:spacing w:before="100" w:after="60"/>
      </w:pPr>
    </w:p>
    <w:p>
      <w:pPr>
        <w:pBdr>
          <w:bottom w:val="single" w:color="D0D7E3" w:sz="4" w:space="1"/>
        </w:pBdr>
        <w:spacing w:before="0" w:after="0"/>
      </w:pPr>
    </w:p>
    <w:p>
      <w:pPr>
        <w:spacing w:before="80" w:after="60"/>
      </w:pP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Purpose and Commitment</w:t>
      </w:r>
    </w:p>
    <w:p>
      <w:pPr>
        <w:spacing w:before="60" w:after="100"/>
        <w:jc w:val="both"/>
      </w:pPr>
      <w:r>
        <w:rPr>
          <w:rFonts w:ascii="Times New Roman" w:cs="Times New Roman" w:eastAsia="Times New Roman" w:hAnsi="Times New Roman"/>
          <w:color w:val="1A1A2A"/>
          <w:sz w:val="20"/>
          <w:szCs w:val="20"/>
        </w:rPr>
        <w:t xml:space="preserve">Celerity is committed to respecting internationally recognized human rights in our operations and advisory work. This Human Rights Policy (this "Policy") sets out Celerity's principles, minimum standards, and internal procedures to identify, prevent, mitigate, and — where appropriate — remediate adverse human rights impacts connected to our business.</w:t>
      </w:r>
    </w:p>
    <w:p>
      <w:pPr>
        <w:spacing w:before="60" w:after="100"/>
        <w:jc w:val="both"/>
      </w:pPr>
      <w:r>
        <w:rPr>
          <w:rFonts w:ascii="Times New Roman" w:cs="Times New Roman" w:eastAsia="Times New Roman" w:hAnsi="Times New Roman"/>
          <w:color w:val="1A1A2A"/>
          <w:sz w:val="20"/>
          <w:szCs w:val="20"/>
        </w:rPr>
        <w:t xml:space="preserve">Celerity's approach is aligned with the following frameworks and standards: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Framework / Standard</w:t>
            </w:r>
          </w:p>
        </w:tc>
        <w:tc>
          <w:tcPr>
            <w:tcW w:type="dxa" w:w="576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Scope</w:t>
            </w:r>
          </w:p>
        </w:tc>
      </w:tr>
      <w:tr>
        <w:tc>
          <w:tcPr>
            <w:tcW w:type="dxa" w:w="360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UN Guiding Principles (UNGPs)</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Business and human rights framework — protect, respect, remedy</w:t>
            </w:r>
          </w:p>
        </w:tc>
      </w:tr>
      <w:tr>
        <w:tc>
          <w:tcPr>
            <w:tcW w:type="dxa" w:w="360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Universal Declaration of Human Rights (UDHR)</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Foundational international human rights standards</w:t>
            </w:r>
          </w:p>
        </w:tc>
      </w:tr>
      <w:tr>
        <w:tc>
          <w:tcPr>
            <w:tcW w:type="dxa" w:w="360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ILO Core Conventions</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Labor rights: forced labor, child labor, discrimination, freedom of association</w:t>
            </w:r>
          </w:p>
        </w:tc>
      </w:tr>
      <w:tr>
        <w:tc>
          <w:tcPr>
            <w:tcW w:type="dxa" w:w="360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UN Global Compact — Ten Principles</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Human rights, labor, environment, and anti-corruption</w:t>
            </w:r>
          </w:p>
        </w:tc>
      </w:tr>
      <w:tr>
        <w:tc>
          <w:tcPr>
            <w:tcW w:type="dxa" w:w="360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Applicable Laws &amp; Regulations</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All jurisdictions in which Celerity operates</w:t>
            </w:r>
          </w:p>
        </w:tc>
      </w:tr>
    </w:tbl>
    <w:p>
      <w:pPr>
        <w:spacing w:before="80" w:after="60"/>
      </w:pPr>
    </w:p>
    <w:p>
      <w:pPr>
        <w:spacing w:before="60" w:after="100"/>
        <w:jc w:val="both"/>
      </w:pPr>
      <w:r>
        <w:rPr>
          <w:rFonts w:ascii="Times New Roman" w:cs="Times New Roman" w:eastAsia="Times New Roman" w:hAnsi="Times New Roman"/>
          <w:color w:val="1A1A2A"/>
          <w:sz w:val="20"/>
          <w:szCs w:val="20"/>
        </w:rPr>
        <w:t xml:space="preserve">This Policy is intended to be practical for a consulting firm serving the oil &amp; gas and broader energy sector. We will apply a risk-based and proportionate approach consistent with our role as an advisor and our reasonable ability to influence outcomes.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Scope and Applicability</w:t>
      </w:r>
    </w:p>
    <w:p>
      <w:pPr>
        <w:spacing w:before="60" w:after="100"/>
        <w:jc w:val="both"/>
      </w:pPr>
      <w:r>
        <w:rPr>
          <w:rFonts w:ascii="Times New Roman" w:cs="Times New Roman" w:eastAsia="Times New Roman" w:hAnsi="Times New Roman"/>
          <w:color w:val="1A1A2A"/>
          <w:sz w:val="20"/>
          <w:szCs w:val="20"/>
        </w:rPr>
        <w:t xml:space="preserve">This Policy applies globally to:</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all Celerity employees, officers, directors (if any), interns, and temporary personnel;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all independent contractors, consultants, agents, and other individuals performing services on behalf of Celerity</w:t>
      </w:r>
    </w:p>
    <w:p>
      <w:pPr>
        <w:spacing w:before="60" w:after="100"/>
        <w:jc w:val="both"/>
      </w:pPr>
      <w:r>
        <w:rPr>
          <w:rFonts w:ascii="Times New Roman" w:cs="Times New Roman" w:eastAsia="Times New Roman" w:hAnsi="Times New Roman"/>
          <w:color w:val="1A1A2A"/>
          <w:sz w:val="20"/>
          <w:szCs w:val="20"/>
        </w:rPr>
        <w:t xml:space="preserve">(collectively, "</w:t>
      </w:r>
      <w:r>
        <w:rPr>
          <w:rFonts w:ascii="Times New Roman" w:cs="Times New Roman" w:eastAsia="Times New Roman" w:hAnsi="Times New Roman"/>
          <w:b/>
          <w:bCs/>
          <w:color w:val="1A1A2A"/>
          <w:sz w:val="20"/>
          <w:szCs w:val="20"/>
        </w:rPr>
        <w:t xml:space="preserve">Personnel</w:t>
      </w:r>
      <w:r>
        <w:rPr>
          <w:rFonts w:ascii="Times New Roman" w:cs="Times New Roman" w:eastAsia="Times New Roman" w:hAnsi="Times New Roman"/>
          <w:color w:val="1A1A2A"/>
          <w:sz w:val="20"/>
          <w:szCs w:val="20"/>
        </w:rPr>
        <w:t xml:space="preserve">").</w:t>
      </w:r>
    </w:p>
    <w:p>
      <w:pPr>
        <w:spacing w:before="60" w:after="100"/>
        <w:jc w:val="both"/>
      </w:pPr>
      <w:r>
        <w:rPr>
          <w:rFonts w:ascii="Times New Roman" w:cs="Times New Roman" w:eastAsia="Times New Roman" w:hAnsi="Times New Roman"/>
          <w:color w:val="1A1A2A"/>
          <w:sz w:val="20"/>
          <w:szCs w:val="20"/>
        </w:rPr>
        <w:t xml:space="preserve">This Policy also informs how we engage with </w:t>
      </w:r>
      <w:r>
        <w:rPr>
          <w:rFonts w:ascii="Times New Roman" w:cs="Times New Roman" w:eastAsia="Times New Roman" w:hAnsi="Times New Roman"/>
          <w:b/>
          <w:bCs/>
          <w:color w:val="1A1A2A"/>
          <w:sz w:val="20"/>
          <w:szCs w:val="20"/>
        </w:rPr>
        <w:t xml:space="preserve">clients, vendors, subcontractors, and other third parties</w:t>
      </w:r>
      <w:r>
        <w:rPr>
          <w:rFonts w:ascii="Times New Roman" w:cs="Times New Roman" w:eastAsia="Times New Roman" w:hAnsi="Times New Roman"/>
          <w:color w:val="1A1A2A"/>
          <w:sz w:val="20"/>
          <w:szCs w:val="20"/>
        </w:rPr>
        <w:t xml:space="preserve"> (collectively, "</w:t>
      </w:r>
      <w:r>
        <w:rPr>
          <w:rFonts w:ascii="Times New Roman" w:cs="Times New Roman" w:eastAsia="Times New Roman" w:hAnsi="Times New Roman"/>
          <w:b/>
          <w:bCs/>
          <w:color w:val="1A1A2A"/>
          <w:sz w:val="20"/>
          <w:szCs w:val="20"/>
        </w:rPr>
        <w:t xml:space="preserve">Business Partners</w:t>
      </w:r>
      <w:r>
        <w:rPr>
          <w:rFonts w:ascii="Times New Roman" w:cs="Times New Roman" w:eastAsia="Times New Roman" w:hAnsi="Times New Roman"/>
          <w:color w:val="1A1A2A"/>
          <w:sz w:val="20"/>
          <w:szCs w:val="20"/>
        </w:rPr>
        <w:t xml:space="preserve">") across our value chain, including our </w:t>
      </w:r>
      <w:r>
        <w:rPr>
          <w:rFonts w:ascii="Times New Roman" w:cs="Times New Roman" w:eastAsia="Times New Roman" w:hAnsi="Times New Roman"/>
          <w:b/>
          <w:bCs/>
          <w:color w:val="1A1A2A"/>
          <w:sz w:val="20"/>
          <w:szCs w:val="20"/>
        </w:rPr>
        <w:t xml:space="preserve">Supply Chain</w:t>
      </w:r>
      <w:r>
        <w:rPr>
          <w:rFonts w:ascii="Times New Roman" w:cs="Times New Roman" w:eastAsia="Times New Roman" w:hAnsi="Times New Roman"/>
          <w:color w:val="1A1A2A"/>
          <w:sz w:val="20"/>
          <w:szCs w:val="20"/>
        </w:rPr>
        <w:t xml:space="preserv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Governance, Ownership, and Approval</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b/>
          <w:bCs/>
          <w:color w:val="1A1A2A"/>
          <w:sz w:val="20"/>
          <w:szCs w:val="20"/>
        </w:rPr>
        <w:t xml:space="preserve">Policy Owner.  </w:t>
      </w:r>
      <w:r>
        <w:rPr>
          <w:rFonts w:ascii="Times New Roman" w:cs="Times New Roman" w:eastAsia="Times New Roman" w:hAnsi="Times New Roman"/>
          <w:color w:val="1A1A2A"/>
          <w:sz w:val="20"/>
          <w:szCs w:val="20"/>
        </w:rPr>
        <w:t xml:space="preserve">The Policy Owner is responsible for: maintaining and updating this Policy; overseeing implementation and training; maintaining reporting channels and the grievance mechanism; and coordinating due diligence, escalation, documentation, and periodic review.</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b/>
          <w:bCs/>
          <w:color w:val="1A1A2A"/>
          <w:sz w:val="20"/>
          <w:szCs w:val="20"/>
        </w:rPr>
        <w:t xml:space="preserve">Management Accountability.  </w:t>
      </w:r>
      <w:r>
        <w:rPr>
          <w:rFonts w:ascii="Times New Roman" w:cs="Times New Roman" w:eastAsia="Times New Roman" w:hAnsi="Times New Roman"/>
          <w:color w:val="1A1A2A"/>
          <w:sz w:val="20"/>
          <w:szCs w:val="20"/>
        </w:rPr>
        <w:t xml:space="preserve">Engagement leads and people managers are responsible for: incorporating this Policy into relevant engagement planning; promptly escalating red flags or concerns; and supporting investigations and corrective actions.</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b/>
          <w:bCs/>
          <w:color w:val="1A1A2A"/>
          <w:sz w:val="20"/>
          <w:szCs w:val="20"/>
        </w:rPr>
        <w:t xml:space="preserve">Approval and Review.  </w:t>
      </w:r>
      <w:r>
        <w:rPr>
          <w:rFonts w:ascii="Times New Roman" w:cs="Times New Roman" w:eastAsia="Times New Roman" w:hAnsi="Times New Roman"/>
          <w:color w:val="1A1A2A"/>
          <w:sz w:val="20"/>
          <w:szCs w:val="20"/>
        </w:rPr>
        <w:t xml:space="preserve">This Policy is approved by </w:t>
      </w:r>
      <w:r>
        <w:rPr>
          <w:rFonts w:ascii="Times New Roman" w:cs="Times New Roman" w:eastAsia="Times New Roman" w:hAnsi="Times New Roman"/>
          <w:i/>
          <w:iCs/>
          <w:color w:val="5A6070"/>
          <w:sz w:val="20"/>
          <w:szCs w:val="20"/>
          <w:highlight w:val="yellow"/>
        </w:rPr>
        <w:t xml:space="preserve">[APPROVER]</w:t>
      </w:r>
      <w:r>
        <w:rPr>
          <w:rFonts w:ascii="Times New Roman" w:cs="Times New Roman" w:eastAsia="Times New Roman" w:hAnsi="Times New Roman"/>
          <w:color w:val="1A1A2A"/>
          <w:sz w:val="20"/>
          <w:szCs w:val="20"/>
        </w:rPr>
        <w:t xml:space="preserve"> and will be reviewed at least every </w:t>
      </w:r>
      <w:r>
        <w:rPr>
          <w:rFonts w:ascii="Times New Roman" w:cs="Times New Roman" w:eastAsia="Times New Roman" w:hAnsi="Times New Roman"/>
          <w:i/>
          <w:iCs/>
          <w:color w:val="5A6070"/>
          <w:sz w:val="20"/>
          <w:szCs w:val="20"/>
          <w:highlight w:val="yellow"/>
        </w:rPr>
        <w:t xml:space="preserve">[12]</w:t>
      </w:r>
      <w:r>
        <w:rPr>
          <w:rFonts w:ascii="Times New Roman" w:cs="Times New Roman" w:eastAsia="Times New Roman" w:hAnsi="Times New Roman"/>
          <w:color w:val="1A1A2A"/>
          <w:sz w:val="20"/>
          <w:szCs w:val="20"/>
        </w:rPr>
        <w:t xml:space="preserve"> months (or sooner if required by law, material incident, or business change).</w:t>
      </w:r>
    </w:p>
    <w:p>
      <w:pPr>
        <w:spacing w:before="40" w:after="60"/>
        <w:ind w:left="720" w:hanging="360"/>
        <w:jc w:val="both"/>
      </w:pPr>
      <w:r>
        <w:rPr>
          <w:rFonts w:ascii="Times New Roman" w:cs="Times New Roman" w:eastAsia="Times New Roman" w:hAnsi="Times New Roman"/>
          <w:b/>
          <w:bCs/>
          <w:color w:val="1A1A2A"/>
          <w:sz w:val="20"/>
          <w:szCs w:val="20"/>
        </w:rPr>
        <w:t xml:space="preserve">4.  </w:t>
      </w:r>
      <w:r>
        <w:rPr>
          <w:rFonts w:ascii="Times New Roman" w:cs="Times New Roman" w:eastAsia="Times New Roman" w:hAnsi="Times New Roman"/>
          <w:b/>
          <w:bCs/>
          <w:color w:val="1A1A2A"/>
          <w:sz w:val="20"/>
          <w:szCs w:val="20"/>
        </w:rPr>
        <w:t xml:space="preserve">Non-Waiver Culture.  </w:t>
      </w:r>
      <w:r>
        <w:rPr>
          <w:rFonts w:ascii="Times New Roman" w:cs="Times New Roman" w:eastAsia="Times New Roman" w:hAnsi="Times New Roman"/>
          <w:color w:val="1A1A2A"/>
          <w:sz w:val="20"/>
          <w:szCs w:val="20"/>
        </w:rPr>
        <w:t xml:space="preserve">Exceptions are expected to be rare and must follow Section 14 (Updates; Exceptions and Waivers).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Definitions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"Business Partners" </w:t>
      </w:r>
      <w:r>
        <w:rPr>
          <w:rFonts w:ascii="Times New Roman" w:cs="Times New Roman" w:eastAsia="Times New Roman" w:hAnsi="Times New Roman"/>
          <w:color w:val="1A1A2A"/>
          <w:sz w:val="20"/>
          <w:szCs w:val="20"/>
        </w:rPr>
        <w:t xml:space="preserve">means Celerity's clients, vendors, subcontractors, suppliers, intermediaries, and other third parties with whom Celerity has a business relationship.</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"Grievance" </w:t>
      </w:r>
      <w:r>
        <w:rPr>
          <w:rFonts w:ascii="Times New Roman" w:cs="Times New Roman" w:eastAsia="Times New Roman" w:hAnsi="Times New Roman"/>
          <w:color w:val="1A1A2A"/>
          <w:sz w:val="20"/>
          <w:szCs w:val="20"/>
        </w:rPr>
        <w:t xml:space="preserve">means a complaint or concern raised by Personnel or an affected stakeholder regarding an actual or potential adverse human rights impact connected to Celerity's operations, engagements, or Business Partners.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"Human Rights" </w:t>
      </w:r>
      <w:r>
        <w:rPr>
          <w:rFonts w:ascii="Times New Roman" w:cs="Times New Roman" w:eastAsia="Times New Roman" w:hAnsi="Times New Roman"/>
          <w:color w:val="1A1A2A"/>
          <w:sz w:val="20"/>
          <w:szCs w:val="20"/>
        </w:rPr>
        <w:t xml:space="preserve">means internationally recognized rights and principles reflected in the UDHR and related instruments, including rights relating to labor, equality, security, and dignity.</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"Personnel" </w:t>
      </w:r>
      <w:r>
        <w:rPr>
          <w:rFonts w:ascii="Times New Roman" w:cs="Times New Roman" w:eastAsia="Times New Roman" w:hAnsi="Times New Roman"/>
          <w:color w:val="1A1A2A"/>
          <w:sz w:val="20"/>
          <w:szCs w:val="20"/>
        </w:rPr>
        <w:t xml:space="preserve">has the meaning set out in Section 2.</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"Retaliation" </w:t>
      </w:r>
      <w:r>
        <w:rPr>
          <w:rFonts w:ascii="Times New Roman" w:cs="Times New Roman" w:eastAsia="Times New Roman" w:hAnsi="Times New Roman"/>
          <w:color w:val="1A1A2A"/>
          <w:sz w:val="20"/>
          <w:szCs w:val="20"/>
        </w:rPr>
        <w:t xml:space="preserve">means any adverse action, threat, intimidation, harassment, discrimination, or other negative consequence taken because a person raised a concern in good faith, supported a report, or participated in an investigation.</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"Supply Chain" </w:t>
      </w:r>
      <w:r>
        <w:rPr>
          <w:rFonts w:ascii="Times New Roman" w:cs="Times New Roman" w:eastAsia="Times New Roman" w:hAnsi="Times New Roman"/>
          <w:color w:val="1A1A2A"/>
          <w:sz w:val="20"/>
          <w:szCs w:val="20"/>
        </w:rPr>
        <w:t xml:space="preserve">means entities providing goods or services to Celerity (directly or indirectly), including subcontractors used to deliver client work.</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Core Human Rights Commitments (Minimum Standards)</w:t>
      </w:r>
    </w:p>
    <w:p>
      <w:pPr>
        <w:spacing w:before="60" w:after="100"/>
        <w:jc w:val="both"/>
      </w:pPr>
      <w:r>
        <w:rPr>
          <w:rFonts w:ascii="Times New Roman" w:cs="Times New Roman" w:eastAsia="Times New Roman" w:hAnsi="Times New Roman"/>
          <w:color w:val="1A1A2A"/>
          <w:sz w:val="20"/>
          <w:szCs w:val="20"/>
        </w:rPr>
        <w:t xml:space="preserve">Celerity's commitments below apply to our internal operations and inform our expectations of Business Partners, recognizing that our leverage varies by relationship and context.</w:t>
      </w:r>
    </w:p>
    <w:p>
      <w:pPr>
        <w:pStyle w:val="Heading2"/>
        <w:spacing w:before="200" w:after="80"/>
      </w:pPr>
      <w:r>
        <w:rPr>
          <w:rFonts w:ascii="Times New Roman" w:cs="Times New Roman" w:eastAsia="Times New Roman" w:hAnsi="Times New Roman"/>
          <w:b/>
          <w:bCs/>
          <w:color w:val="1B2A5E"/>
          <w:sz w:val="22"/>
          <w:szCs w:val="22"/>
        </w:rPr>
        <w:t xml:space="preserve">5.1  Forced Labor, Human Trafficking, and Modern Slavery</w:t>
      </w:r>
    </w:p>
    <w:p>
      <w:pPr>
        <w:spacing w:before="60" w:after="100"/>
        <w:jc w:val="both"/>
      </w:pPr>
      <w:r>
        <w:rPr>
          <w:rFonts w:ascii="Times New Roman" w:cs="Times New Roman" w:eastAsia="Times New Roman" w:hAnsi="Times New Roman"/>
          <w:color w:val="1A1A2A"/>
          <w:sz w:val="20"/>
          <w:szCs w:val="20"/>
        </w:rPr>
        <w:t xml:space="preserve">Celerity prohibits forced, bonded, trafficked, prison, or involuntary labor in any form. We will not knowingly engage Business Partners that use forced labor or trafficking.</w:t>
      </w:r>
    </w:p>
    <w:p>
      <w:pPr>
        <w:pStyle w:val="Heading2"/>
        <w:spacing w:before="200" w:after="80"/>
      </w:pPr>
      <w:r>
        <w:rPr>
          <w:rFonts w:ascii="Times New Roman" w:cs="Times New Roman" w:eastAsia="Times New Roman" w:hAnsi="Times New Roman"/>
          <w:b/>
          <w:bCs/>
          <w:color w:val="1B2A5E"/>
          <w:sz w:val="22"/>
          <w:szCs w:val="22"/>
        </w:rPr>
        <w:t xml:space="preserve">5.2  Child Labor</w:t>
      </w:r>
    </w:p>
    <w:p>
      <w:pPr>
        <w:spacing w:before="60" w:after="100"/>
        <w:jc w:val="both"/>
      </w:pPr>
      <w:r>
        <w:rPr>
          <w:rFonts w:ascii="Times New Roman" w:cs="Times New Roman" w:eastAsia="Times New Roman" w:hAnsi="Times New Roman"/>
          <w:color w:val="1A1A2A"/>
          <w:sz w:val="20"/>
          <w:szCs w:val="20"/>
        </w:rPr>
        <w:t xml:space="preserve">Celerity does not tolerate child labor. We will not knowingly engage individuals below the minimum legal working age in the applicable jurisdiction, and in no event below age 15 (subject to lawful apprenticeships or similar programs consistent with ILO standards).</w:t>
      </w:r>
    </w:p>
    <w:p>
      <w:pPr>
        <w:pStyle w:val="Heading2"/>
        <w:spacing w:before="200" w:after="80"/>
      </w:pPr>
      <w:r>
        <w:rPr>
          <w:rFonts w:ascii="Times New Roman" w:cs="Times New Roman" w:eastAsia="Times New Roman" w:hAnsi="Times New Roman"/>
          <w:b/>
          <w:bCs/>
          <w:color w:val="1B2A5E"/>
          <w:sz w:val="22"/>
          <w:szCs w:val="22"/>
        </w:rPr>
        <w:t xml:space="preserve">5.3  Freedom of Association and Collective Bargaining</w:t>
      </w:r>
    </w:p>
    <w:p>
      <w:pPr>
        <w:spacing w:before="60" w:after="100"/>
        <w:jc w:val="both"/>
      </w:pPr>
      <w:r>
        <w:rPr>
          <w:rFonts w:ascii="Times New Roman" w:cs="Times New Roman" w:eastAsia="Times New Roman" w:hAnsi="Times New Roman"/>
          <w:color w:val="1A1A2A"/>
          <w:sz w:val="20"/>
          <w:szCs w:val="20"/>
        </w:rPr>
        <w:t xml:space="preserve">Celerity respects the rights of workers to freely associate, organize, and bargain collectively, consistent with applicable law. Where local law restricts these rights, we will seek to respect the intent of internationally recognized standards to the extent practicable.</w:t>
      </w:r>
    </w:p>
    <w:p>
      <w:pPr>
        <w:pStyle w:val="Heading2"/>
        <w:spacing w:before="200" w:after="80"/>
      </w:pPr>
      <w:r>
        <w:rPr>
          <w:rFonts w:ascii="Times New Roman" w:cs="Times New Roman" w:eastAsia="Times New Roman" w:hAnsi="Times New Roman"/>
          <w:b/>
          <w:bCs/>
          <w:color w:val="1B2A5E"/>
          <w:sz w:val="22"/>
          <w:szCs w:val="22"/>
        </w:rPr>
        <w:t xml:space="preserve">5.4  Non-Discrimination, Harassment, and Equal Opportunity</w:t>
      </w:r>
    </w:p>
    <w:p>
      <w:pPr>
        <w:spacing w:before="60" w:after="100"/>
        <w:jc w:val="both"/>
      </w:pPr>
      <w:r>
        <w:rPr>
          <w:rFonts w:ascii="Times New Roman" w:cs="Times New Roman" w:eastAsia="Times New Roman" w:hAnsi="Times New Roman"/>
          <w:color w:val="1A1A2A"/>
          <w:sz w:val="20"/>
          <w:szCs w:val="20"/>
        </w:rPr>
        <w:t xml:space="preserve">Celerity is committed to a workplace free from discrimination and harassment. We prohibit discrimination based on protected characteristics under applicable law and we expect professionalism, dignity, and respect in all interactions.</w:t>
      </w:r>
    </w:p>
    <w:p>
      <w:pPr>
        <w:pStyle w:val="Heading2"/>
        <w:spacing w:before="200" w:after="80"/>
      </w:pPr>
      <w:r>
        <w:rPr>
          <w:rFonts w:ascii="Times New Roman" w:cs="Times New Roman" w:eastAsia="Times New Roman" w:hAnsi="Times New Roman"/>
          <w:b/>
          <w:bCs/>
          <w:color w:val="1B2A5E"/>
          <w:sz w:val="22"/>
          <w:szCs w:val="22"/>
        </w:rPr>
        <w:t xml:space="preserve">5.5  Fair Wages, Benefits, and Working Hours</w:t>
      </w:r>
    </w:p>
    <w:p>
      <w:pPr>
        <w:spacing w:before="60" w:after="100"/>
        <w:jc w:val="both"/>
      </w:pPr>
      <w:r>
        <w:rPr>
          <w:rFonts w:ascii="Times New Roman" w:cs="Times New Roman" w:eastAsia="Times New Roman" w:hAnsi="Times New Roman"/>
          <w:color w:val="1A1A2A"/>
          <w:sz w:val="20"/>
          <w:szCs w:val="20"/>
        </w:rPr>
        <w:t xml:space="preserve">Celerity is committed to lawful, fair compensation practices for Personnel consistent with applicable wage and hour laws. We oppose unlawful or excessive working hours and support reasonable rest and leave practices.</w:t>
      </w:r>
    </w:p>
    <w:p>
      <w:pPr>
        <w:pStyle w:val="Heading2"/>
        <w:spacing w:before="200" w:after="80"/>
      </w:pPr>
      <w:r>
        <w:rPr>
          <w:rFonts w:ascii="Times New Roman" w:cs="Times New Roman" w:eastAsia="Times New Roman" w:hAnsi="Times New Roman"/>
          <w:b/>
          <w:bCs/>
          <w:color w:val="1B2A5E"/>
          <w:sz w:val="22"/>
          <w:szCs w:val="22"/>
        </w:rPr>
        <w:t xml:space="preserve">5.6  Health, Safety, and Security</w:t>
      </w:r>
    </w:p>
    <w:p>
      <w:pPr>
        <w:spacing w:before="60" w:after="100"/>
        <w:jc w:val="both"/>
      </w:pPr>
      <w:r>
        <w:rPr>
          <w:rFonts w:ascii="Times New Roman" w:cs="Times New Roman" w:eastAsia="Times New Roman" w:hAnsi="Times New Roman"/>
          <w:color w:val="1A1A2A"/>
          <w:sz w:val="20"/>
          <w:szCs w:val="20"/>
        </w:rPr>
        <w:t xml:space="preserve">Celerity is committed to a safe and healthy work environment. When Personnel perform work at client or third-party sites, we expect compliance with applicable safety requirements and site rules, and we support raising safety concerns without fear of retaliation.</w:t>
      </w:r>
    </w:p>
    <w:p>
      <w:pPr>
        <w:pStyle w:val="Heading2"/>
        <w:spacing w:before="200" w:after="80"/>
      </w:pPr>
      <w:r>
        <w:rPr>
          <w:rFonts w:ascii="Times New Roman" w:cs="Times New Roman" w:eastAsia="Times New Roman" w:hAnsi="Times New Roman"/>
          <w:b/>
          <w:bCs/>
          <w:color w:val="1B2A5E"/>
          <w:sz w:val="22"/>
          <w:szCs w:val="22"/>
        </w:rPr>
        <w:t xml:space="preserve">5.7  Community Impacts, Land Rights, and Indigenous Peoples / FPIC</w:t>
      </w:r>
    </w:p>
    <w:p>
      <w:pPr>
        <w:spacing w:before="60" w:after="100"/>
        <w:jc w:val="both"/>
      </w:pPr>
      <w:r>
        <w:rPr>
          <w:rFonts w:ascii="Times New Roman" w:cs="Times New Roman" w:eastAsia="Times New Roman" w:hAnsi="Times New Roman"/>
          <w:color w:val="1A1A2A"/>
          <w:sz w:val="20"/>
          <w:szCs w:val="20"/>
        </w:rPr>
        <w:t xml:space="preserve">Celerity recognizes that energy projects can impact local communities and, in some contexts, Indigenous peoples. While we typically act as an advisor (not an operator), we aim to encourage responsible practices, including: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respect for community rights and lawful land use;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avoidance of contributing to conflict or harm in vulnerable regions;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respect for Indigenous rights, and </w:t>
      </w:r>
      <w:r>
        <w:rPr>
          <w:rFonts w:ascii="Times New Roman" w:cs="Times New Roman" w:eastAsia="Times New Roman" w:hAnsi="Times New Roman"/>
          <w:b/>
          <w:bCs/>
          <w:color w:val="1A1A2A"/>
          <w:sz w:val="20"/>
          <w:szCs w:val="20"/>
        </w:rPr>
        <w:t xml:space="preserve">Free, Prior and Informed Consent (FPIC)</w:t>
      </w:r>
      <w:r>
        <w:rPr>
          <w:rFonts w:ascii="Times New Roman" w:cs="Times New Roman" w:eastAsia="Times New Roman" w:hAnsi="Times New Roman"/>
          <w:color w:val="1A1A2A"/>
          <w:sz w:val="20"/>
          <w:szCs w:val="20"/>
        </w:rPr>
        <w:t xml:space="preserve"> where applicable under law or widely recognized standards and where relevant to the engagement context.</w:t>
      </w:r>
    </w:p>
    <w:p>
      <w:pPr>
        <w:spacing w:before="60" w:after="100"/>
        <w:jc w:val="both"/>
      </w:pPr>
      <w:r>
        <w:rPr>
          <w:rFonts w:ascii="Times New Roman" w:cs="Times New Roman" w:eastAsia="Times New Roman" w:hAnsi="Times New Roman"/>
          <w:color w:val="1A1A2A"/>
          <w:sz w:val="20"/>
          <w:szCs w:val="20"/>
        </w:rPr>
        <w:t xml:space="preserve">Celerity does not make operational decisions for clients, but may raise human rights concerns where identified.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Integration into Engagements (Risk-Based Controls)</w:t>
      </w:r>
    </w:p>
    <w:p>
      <w:pPr>
        <w:spacing w:before="60" w:after="100"/>
        <w:jc w:val="both"/>
      </w:pPr>
      <w:r>
        <w:rPr>
          <w:rFonts w:ascii="Times New Roman" w:cs="Times New Roman" w:eastAsia="Times New Roman" w:hAnsi="Times New Roman"/>
          <w:color w:val="1A1A2A"/>
          <w:sz w:val="20"/>
          <w:szCs w:val="20"/>
        </w:rPr>
        <w:t xml:space="preserve">Celerity will integrate human rights considerations into our work in a manner proportionate to engagement scope, geography, and risk.</w:t>
      </w:r>
    </w:p>
    <w:p>
      <w:pPr>
        <w:pStyle w:val="Heading2"/>
        <w:spacing w:before="200" w:after="80"/>
      </w:pPr>
      <w:r>
        <w:rPr>
          <w:rFonts w:ascii="Times New Roman" w:cs="Times New Roman" w:eastAsia="Times New Roman" w:hAnsi="Times New Roman"/>
          <w:b/>
          <w:bCs/>
          <w:color w:val="1B2A5E"/>
          <w:sz w:val="22"/>
          <w:szCs w:val="22"/>
        </w:rPr>
        <w:t xml:space="preserve">6.1  Risk-Based Screening (At Intake and When Scope Changes)</w:t>
      </w:r>
    </w:p>
    <w:p>
      <w:pPr>
        <w:spacing w:before="60" w:after="100"/>
        <w:jc w:val="both"/>
      </w:pPr>
      <w:r>
        <w:rPr>
          <w:rFonts w:ascii="Times New Roman" w:cs="Times New Roman" w:eastAsia="Times New Roman" w:hAnsi="Times New Roman"/>
          <w:color w:val="1A1A2A"/>
          <w:sz w:val="20"/>
          <w:szCs w:val="20"/>
        </w:rPr>
        <w:t xml:space="preserve">For new engagements, and for material scope changes, the engagement lead will conduct a human rights risk screen considering, as applicable: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geography and country risk factors;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client sector/subsector and known risk exposures;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of fieldwork or site access;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of subcontractors, agents, or intermediaries;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project type (e.g., upstream operations support, M&amp;A diligence, midstream infrastructure, international work).</w:t>
      </w:r>
    </w:p>
    <w:p>
      <w:pPr>
        <w:pStyle w:val="Heading2"/>
        <w:spacing w:before="200" w:after="80"/>
      </w:pPr>
      <w:r>
        <w:rPr>
          <w:rFonts w:ascii="Times New Roman" w:cs="Times New Roman" w:eastAsia="Times New Roman" w:hAnsi="Times New Roman"/>
          <w:b/>
          <w:bCs/>
          <w:color w:val="1B2A5E"/>
          <w:sz w:val="22"/>
          <w:szCs w:val="22"/>
        </w:rPr>
        <w:t xml:space="preserve">6.2  Contractual and Commercial Expectations</w:t>
      </w:r>
    </w:p>
    <w:p>
      <w:pPr>
        <w:spacing w:before="60" w:after="100"/>
        <w:jc w:val="both"/>
      </w:pPr>
      <w:r>
        <w:rPr>
          <w:rFonts w:ascii="Times New Roman" w:cs="Times New Roman" w:eastAsia="Times New Roman" w:hAnsi="Times New Roman"/>
          <w:color w:val="1A1A2A"/>
          <w:sz w:val="20"/>
          <w:szCs w:val="20"/>
        </w:rPr>
        <w:t xml:space="preserve">Where appropriate and proportionate, Celerity will: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include policy references, compliance clauses, or supplier standards in subcontractor/vendor agreements;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request reasonable commitments from Business Partners to comply with applicable human rights and labor laws;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reserve rights to request information reasonably necessary to assess human rights risk (subject to confidentiality and practicality).</w:t>
      </w:r>
    </w:p>
    <w:p>
      <w:pPr>
        <w:pStyle w:val="Heading2"/>
        <w:spacing w:before="200" w:after="80"/>
      </w:pPr>
      <w:r>
        <w:rPr>
          <w:rFonts w:ascii="Times New Roman" w:cs="Times New Roman" w:eastAsia="Times New Roman" w:hAnsi="Times New Roman"/>
          <w:b/>
          <w:bCs/>
          <w:color w:val="1B2A5E"/>
          <w:sz w:val="22"/>
          <w:szCs w:val="22"/>
        </w:rPr>
        <w:t xml:space="preserve">6.3  Right to Disengage / Terminate for Material Violations</w:t>
      </w:r>
    </w:p>
    <w:p>
      <w:pPr>
        <w:spacing w:before="60" w:after="100"/>
        <w:jc w:val="both"/>
      </w:pPr>
      <w:r>
        <w:rPr>
          <w:rFonts w:ascii="Times New Roman" w:cs="Times New Roman" w:eastAsia="Times New Roman" w:hAnsi="Times New Roman"/>
          <w:color w:val="1A1A2A"/>
          <w:sz w:val="20"/>
          <w:szCs w:val="20"/>
        </w:rPr>
        <w:t xml:space="preserve">If Celerity reasonably determines that a Business Partner is involved in </w:t>
      </w:r>
      <w:r>
        <w:rPr>
          <w:rFonts w:ascii="Times New Roman" w:cs="Times New Roman" w:eastAsia="Times New Roman" w:hAnsi="Times New Roman"/>
          <w:b/>
          <w:bCs/>
          <w:color w:val="1A1A2A"/>
          <w:sz w:val="20"/>
          <w:szCs w:val="20"/>
        </w:rPr>
        <w:t xml:space="preserve">material</w:t>
      </w:r>
      <w:r>
        <w:rPr>
          <w:rFonts w:ascii="Times New Roman" w:cs="Times New Roman" w:eastAsia="Times New Roman" w:hAnsi="Times New Roman"/>
          <w:color w:val="1A1A2A"/>
          <w:sz w:val="20"/>
          <w:szCs w:val="20"/>
        </w:rPr>
        <w:t xml:space="preserve"> human rights violations connected to our relationship, and remediation is not feasible or is refused, Celerity may take appropriate action, which may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suspending work;</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replacing subcontractors or vendors;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escalating to client leadership (where appropriate and permitted);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disengaging from the relationship, including termination in accordance with contract terms.</w:t>
      </w:r>
    </w:p>
    <w:p>
      <w:pPr>
        <w:spacing w:before="60" w:after="100"/>
        <w:jc w:val="both"/>
      </w:pPr>
      <w:r>
        <w:rPr>
          <w:rFonts w:ascii="Times New Roman" w:cs="Times New Roman" w:eastAsia="Times New Roman" w:hAnsi="Times New Roman"/>
          <w:color w:val="1A1A2A"/>
          <w:sz w:val="20"/>
          <w:szCs w:val="20"/>
        </w:rPr>
        <w:t xml:space="preserve">Celerity will consider safety, legal constraints, client obligations, and potential unintended impacts when deciding the appropriate course.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Human Rights Due Diligence Process</w:t>
      </w:r>
    </w:p>
    <w:p>
      <w:pPr>
        <w:spacing w:before="60" w:after="100"/>
        <w:jc w:val="both"/>
      </w:pPr>
      <w:r>
        <w:rPr>
          <w:rFonts w:ascii="Times New Roman" w:cs="Times New Roman" w:eastAsia="Times New Roman" w:hAnsi="Times New Roman"/>
          <w:color w:val="1A1A2A"/>
          <w:sz w:val="20"/>
          <w:szCs w:val="20"/>
        </w:rPr>
        <w:t xml:space="preserve">Celerity's due diligence approach is intended to be practical and aligned with the UNGPs, calibrated to a consulting firm's role.</w:t>
      </w:r>
    </w:p>
    <w:p>
      <w:pPr>
        <w:pStyle w:val="Heading2"/>
        <w:spacing w:before="200" w:after="80"/>
      </w:pPr>
      <w:r>
        <w:rPr>
          <w:rFonts w:ascii="Times New Roman" w:cs="Times New Roman" w:eastAsia="Times New Roman" w:hAnsi="Times New Roman"/>
          <w:b/>
          <w:bCs/>
          <w:color w:val="1B2A5E"/>
          <w:sz w:val="22"/>
          <w:szCs w:val="22"/>
        </w:rPr>
        <w:t xml:space="preserve">7.1  Risk Assessment</w:t>
      </w:r>
    </w:p>
    <w:p>
      <w:pPr>
        <w:spacing w:before="60" w:after="100"/>
        <w:jc w:val="both"/>
      </w:pPr>
      <w:r>
        <w:rPr>
          <w:rFonts w:ascii="Times New Roman" w:cs="Times New Roman" w:eastAsia="Times New Roman" w:hAnsi="Times New Roman"/>
          <w:color w:val="1A1A2A"/>
          <w:sz w:val="20"/>
          <w:szCs w:val="20"/>
        </w:rPr>
        <w:t xml:space="preserve">The Policy Owner (or designee) will maintain a risk-based framework to identify engagements, regions, or third-party relationships that warrant enhanced due diligence.</w:t>
      </w:r>
    </w:p>
    <w:p>
      <w:pPr>
        <w:pStyle w:val="Heading2"/>
        <w:spacing w:before="200" w:after="80"/>
      </w:pPr>
      <w:r>
        <w:rPr>
          <w:rFonts w:ascii="Times New Roman" w:cs="Times New Roman" w:eastAsia="Times New Roman" w:hAnsi="Times New Roman"/>
          <w:b/>
          <w:bCs/>
          <w:color w:val="1B2A5E"/>
          <w:sz w:val="22"/>
          <w:szCs w:val="22"/>
        </w:rPr>
        <w:t xml:space="preserve">7.2  Third-Party Due Diligence (Business Partners)</w:t>
      </w:r>
    </w:p>
    <w:p>
      <w:pPr>
        <w:spacing w:before="60" w:after="100"/>
        <w:jc w:val="both"/>
      </w:pPr>
      <w:r>
        <w:rPr>
          <w:rFonts w:ascii="Times New Roman" w:cs="Times New Roman" w:eastAsia="Times New Roman" w:hAnsi="Times New Roman"/>
          <w:color w:val="1A1A2A"/>
          <w:sz w:val="20"/>
          <w:szCs w:val="20"/>
        </w:rPr>
        <w:t xml:space="preserve">For Business Partners presenting elevated risk (e.g., certain geographies, onsite security providers, labor-intensive services, intermediaries), Celerity may conduct due diligence proportionate to the risk, which may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sanctions/PEP checks and adverse media screening (as appropriate);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requesting relevant policies (e.g., human rights, HSE, anti-trafficking);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reviewing hiring, wage, and subcontracting practices at a high level (as appropriate);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contractual commitments and audit/termination rights where feasible.</w:t>
      </w:r>
    </w:p>
    <w:p>
      <w:pPr>
        <w:pStyle w:val="Heading2"/>
        <w:spacing w:before="200" w:after="80"/>
      </w:pPr>
      <w:r>
        <w:rPr>
          <w:rFonts w:ascii="Times New Roman" w:cs="Times New Roman" w:eastAsia="Times New Roman" w:hAnsi="Times New Roman"/>
          <w:b/>
          <w:bCs/>
          <w:color w:val="1B2A5E"/>
          <w:sz w:val="22"/>
          <w:szCs w:val="22"/>
        </w:rPr>
        <w:t xml:space="preserve">7.3  Escalation and Decisioning</w:t>
      </w:r>
    </w:p>
    <w:p>
      <w:pPr>
        <w:spacing w:before="60" w:after="100"/>
        <w:jc w:val="both"/>
      </w:pPr>
      <w:r>
        <w:rPr>
          <w:rFonts w:ascii="Times New Roman" w:cs="Times New Roman" w:eastAsia="Times New Roman" w:hAnsi="Times New Roman"/>
          <w:color w:val="1A1A2A"/>
          <w:sz w:val="20"/>
          <w:szCs w:val="20"/>
        </w:rPr>
        <w:t xml:space="preserve">Identified red flags must be escalated promptly to the Policy Owner. Celerity may decide to:</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proceed with mitigation conditions;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require corrective actions or contractual protections;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decline or exit the engagement/relationship.</w:t>
      </w:r>
    </w:p>
    <w:p>
      <w:pPr>
        <w:pStyle w:val="Heading2"/>
        <w:spacing w:before="200" w:after="80"/>
      </w:pPr>
      <w:r>
        <w:rPr>
          <w:rFonts w:ascii="Times New Roman" w:cs="Times New Roman" w:eastAsia="Times New Roman" w:hAnsi="Times New Roman"/>
          <w:b/>
          <w:bCs/>
          <w:color w:val="1B2A5E"/>
          <w:sz w:val="22"/>
          <w:szCs w:val="22"/>
        </w:rPr>
        <w:t xml:space="preserve">7.4  Documentation and Periodic Review</w:t>
      </w:r>
    </w:p>
    <w:p>
      <w:pPr>
        <w:spacing w:before="60" w:after="100"/>
        <w:jc w:val="both"/>
      </w:pPr>
      <w:r>
        <w:rPr>
          <w:rFonts w:ascii="Times New Roman" w:cs="Times New Roman" w:eastAsia="Times New Roman" w:hAnsi="Times New Roman"/>
          <w:color w:val="1A1A2A"/>
          <w:sz w:val="20"/>
          <w:szCs w:val="20"/>
        </w:rPr>
        <w:t xml:space="preserve">Celerity will document material due diligence steps and outcomes in a manner proportionate to the risk and engagement size, and will periodically review this program for effectiveness.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Training and Awareness</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b/>
          <w:bCs/>
          <w:color w:val="1A1A2A"/>
          <w:sz w:val="20"/>
          <w:szCs w:val="20"/>
        </w:rPr>
        <w:t xml:space="preserve">Training.  </w:t>
      </w:r>
      <w:r>
        <w:rPr>
          <w:rFonts w:ascii="Times New Roman" w:cs="Times New Roman" w:eastAsia="Times New Roman" w:hAnsi="Times New Roman"/>
          <w:color w:val="1A1A2A"/>
          <w:sz w:val="20"/>
          <w:szCs w:val="20"/>
        </w:rPr>
        <w:t xml:space="preserve">Celerity will provide human rights awareness training to Personnel on a risk-based basis, including for Personnel involved in: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fieldwork or site visits;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international engagements;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vendor/subcontractor selection and management;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M&amp;A or diligence work where human rights risk may be relevant.</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b/>
          <w:bCs/>
          <w:color w:val="1A1A2A"/>
          <w:sz w:val="20"/>
          <w:szCs w:val="20"/>
        </w:rPr>
        <w:t xml:space="preserve">Ongoing Communications.  </w:t>
      </w:r>
      <w:r>
        <w:rPr>
          <w:rFonts w:ascii="Times New Roman" w:cs="Times New Roman" w:eastAsia="Times New Roman" w:hAnsi="Times New Roman"/>
          <w:color w:val="1A1A2A"/>
          <w:sz w:val="20"/>
          <w:szCs w:val="20"/>
        </w:rPr>
        <w:t xml:space="preserve">Celerity may issue reminders, guidance notes, or engagement checklists to reinforce expectations and address emerging risks.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Reporting Channels and Grievance Mechanism</w:t>
      </w:r>
    </w:p>
    <w:p>
      <w:pPr>
        <w:spacing w:before="60" w:after="100"/>
        <w:jc w:val="both"/>
      </w:pPr>
      <w:r>
        <w:rPr>
          <w:rFonts w:ascii="Times New Roman" w:cs="Times New Roman" w:eastAsia="Times New Roman" w:hAnsi="Times New Roman"/>
          <w:color w:val="1A1A2A"/>
          <w:sz w:val="20"/>
          <w:szCs w:val="20"/>
        </w:rPr>
        <w:t xml:space="preserve">Celerity maintains channels for Personnel and stakeholders to raise concerns and grievances.</w:t>
      </w:r>
    </w:p>
    <w:p>
      <w:pPr>
        <w:pStyle w:val="Heading2"/>
        <w:spacing w:before="200" w:after="80"/>
      </w:pPr>
      <w:r>
        <w:rPr>
          <w:rFonts w:ascii="Times New Roman" w:cs="Times New Roman" w:eastAsia="Times New Roman" w:hAnsi="Times New Roman"/>
          <w:b/>
          <w:bCs/>
          <w:color w:val="1B2A5E"/>
          <w:sz w:val="22"/>
          <w:szCs w:val="22"/>
        </w:rPr>
        <w:t xml:space="preserve">9.1  Reporting Channels</w:t>
      </w:r>
    </w:p>
    <w:p>
      <w:pPr>
        <w:spacing w:before="60" w:after="100"/>
        <w:jc w:val="both"/>
      </w:pPr>
      <w:r>
        <w:rPr>
          <w:rFonts w:ascii="Times New Roman" w:cs="Times New Roman" w:eastAsia="Times New Roman" w:hAnsi="Times New Roman"/>
          <w:color w:val="1A1A2A"/>
          <w:sz w:val="20"/>
          <w:szCs w:val="20"/>
        </w:rPr>
        <w:t xml:space="preserve">Reports may be made through:</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Policy Owner / Compliance Contact:  </w:t>
      </w:r>
      <w:r>
        <w:rPr>
          <w:rFonts w:ascii="Times New Roman" w:cs="Times New Roman" w:eastAsia="Times New Roman" w:hAnsi="Times New Roman"/>
          <w:i/>
          <w:iCs/>
          <w:color w:val="5A6070"/>
          <w:sz w:val="20"/>
          <w:szCs w:val="20"/>
          <w:highlight w:val="yellow"/>
        </w:rPr>
        <w:t xml:space="preserve">[EMAIL]</w:t>
      </w:r>
      <w:r>
        <w:rPr>
          <w:rFonts w:ascii="Times New Roman" w:cs="Times New Roman" w:eastAsia="Times New Roman" w:hAnsi="Times New Roman"/>
          <w:color w:val="1A1A2A"/>
          <w:sz w:val="20"/>
          <w:szCs w:val="20"/>
        </w:rPr>
        <w:t xml:space="preserve">  |  </w:t>
      </w:r>
      <w:r>
        <w:rPr>
          <w:rFonts w:ascii="Times New Roman" w:cs="Times New Roman" w:eastAsia="Times New Roman" w:hAnsi="Times New Roman"/>
          <w:i/>
          <w:iCs/>
          <w:color w:val="5A6070"/>
          <w:sz w:val="20"/>
          <w:szCs w:val="20"/>
          <w:highlight w:val="yellow"/>
        </w:rPr>
        <w:t xml:space="preserve">[PHONE]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Management:  </w:t>
      </w:r>
      <w:r>
        <w:rPr>
          <w:rFonts w:ascii="Times New Roman" w:cs="Times New Roman" w:eastAsia="Times New Roman" w:hAnsi="Times New Roman"/>
          <w:color w:val="1A1A2A"/>
          <w:sz w:val="20"/>
          <w:szCs w:val="20"/>
        </w:rPr>
        <w:t xml:space="preserve">direct manager, engagement lead, or senior management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Anonymous Reporting (where permitted by law):  </w:t>
      </w:r>
      <w:r>
        <w:rPr>
          <w:rFonts w:ascii="Times New Roman" w:cs="Times New Roman" w:eastAsia="Times New Roman" w:hAnsi="Times New Roman"/>
          <w:i/>
          <w:iCs/>
          <w:color w:val="5A6070"/>
          <w:sz w:val="20"/>
          <w:szCs w:val="20"/>
          <w:highlight w:val="yellow"/>
        </w:rPr>
        <w:t xml:space="preserve">[HOTLINE URL]</w:t>
      </w:r>
      <w:r>
        <w:rPr>
          <w:rFonts w:ascii="Times New Roman" w:cs="Times New Roman" w:eastAsia="Times New Roman" w:hAnsi="Times New Roman"/>
          <w:color w:val="1A1A2A"/>
          <w:sz w:val="20"/>
          <w:szCs w:val="20"/>
        </w:rPr>
        <w:t xml:space="preserve">  |  </w:t>
      </w:r>
      <w:r>
        <w:rPr>
          <w:rFonts w:ascii="Times New Roman" w:cs="Times New Roman" w:eastAsia="Times New Roman" w:hAnsi="Times New Roman"/>
          <w:i/>
          <w:iCs/>
          <w:color w:val="5A6070"/>
          <w:sz w:val="20"/>
          <w:szCs w:val="20"/>
          <w:highlight w:val="yellow"/>
        </w:rPr>
        <w:t xml:space="preserve">[HOTLINE NUMBER]</w:t>
      </w:r>
    </w:p>
    <w:p>
      <w:pPr>
        <w:pStyle w:val="Heading2"/>
        <w:spacing w:before="200" w:after="80"/>
      </w:pPr>
      <w:r>
        <w:rPr>
          <w:rFonts w:ascii="Times New Roman" w:cs="Times New Roman" w:eastAsia="Times New Roman" w:hAnsi="Times New Roman"/>
          <w:b/>
          <w:bCs/>
          <w:color w:val="1B2A5E"/>
          <w:sz w:val="22"/>
          <w:szCs w:val="22"/>
        </w:rPr>
        <w:t xml:space="preserve">9.2  Anonymous Option and Confidentiality</w:t>
      </w:r>
    </w:p>
    <w:p>
      <w:pPr>
        <w:spacing w:before="60" w:after="100"/>
        <w:jc w:val="both"/>
      </w:pPr>
      <w:r>
        <w:rPr>
          <w:rFonts w:ascii="Times New Roman" w:cs="Times New Roman" w:eastAsia="Times New Roman" w:hAnsi="Times New Roman"/>
          <w:color w:val="1A1A2A"/>
          <w:sz w:val="20"/>
          <w:szCs w:val="20"/>
        </w:rPr>
        <w:t xml:space="preserve">Celerity will accept anonymous reports where legally permitted. Celerity will handle reports as confidentially as practicable, consistent with the need to investigate, legal obligations, and fairness to involved persons.</w:t>
      </w:r>
    </w:p>
    <w:p>
      <w:pPr>
        <w:pStyle w:val="Heading2"/>
        <w:spacing w:before="200" w:after="80"/>
      </w:pPr>
      <w:r>
        <w:rPr>
          <w:rFonts w:ascii="Times New Roman" w:cs="Times New Roman" w:eastAsia="Times New Roman" w:hAnsi="Times New Roman"/>
          <w:b/>
          <w:bCs/>
          <w:color w:val="1B2A5E"/>
          <w:sz w:val="22"/>
          <w:szCs w:val="22"/>
        </w:rPr>
        <w:t xml:space="preserve">9.3  No Retaliation</w:t>
      </w:r>
    </w:p>
    <w:p>
      <w:pPr>
        <w:spacing w:before="60" w:after="100"/>
        <w:jc w:val="both"/>
      </w:pPr>
      <w:r>
        <w:rPr>
          <w:rFonts w:ascii="Times New Roman" w:cs="Times New Roman" w:eastAsia="Times New Roman" w:hAnsi="Times New Roman"/>
          <w:color w:val="1A1A2A"/>
          <w:sz w:val="20"/>
          <w:szCs w:val="20"/>
        </w:rPr>
        <w:t xml:space="preserve">Celerity prohibits </w:t>
      </w:r>
      <w:r>
        <w:rPr>
          <w:rFonts w:ascii="Times New Roman" w:cs="Times New Roman" w:eastAsia="Times New Roman" w:hAnsi="Times New Roman"/>
          <w:b/>
          <w:bCs/>
          <w:color w:val="1A1A2A"/>
          <w:sz w:val="20"/>
          <w:szCs w:val="20"/>
        </w:rPr>
        <w:t xml:space="preserve">Retaliation</w:t>
      </w:r>
      <w:r>
        <w:rPr>
          <w:rFonts w:ascii="Times New Roman" w:cs="Times New Roman" w:eastAsia="Times New Roman" w:hAnsi="Times New Roman"/>
          <w:color w:val="1A1A2A"/>
          <w:sz w:val="20"/>
          <w:szCs w:val="20"/>
        </w:rPr>
        <w:t xml:space="preserve"> against any person who, in good faith:</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reports a concern or grievance;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seeks advice regarding potential human rights risks;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participates in an investigation.</w:t>
      </w:r>
    </w:p>
    <w:p>
      <w:pPr>
        <w:spacing w:before="60" w:after="100"/>
        <w:jc w:val="both"/>
      </w:pPr>
      <w:r>
        <w:rPr>
          <w:rFonts w:ascii="Times New Roman" w:cs="Times New Roman" w:eastAsia="Times New Roman" w:hAnsi="Times New Roman"/>
          <w:color w:val="1A1A2A"/>
          <w:sz w:val="20"/>
          <w:szCs w:val="20"/>
        </w:rPr>
        <w:t xml:space="preserve">Retaliation is grounds for discipline up to and including termination of employment or engagement.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Investigation, Response, and Remediation</w:t>
      </w:r>
    </w:p>
    <w:p>
      <w:pPr>
        <w:pStyle w:val="Heading2"/>
        <w:spacing w:before="200" w:after="80"/>
      </w:pPr>
      <w:r>
        <w:rPr>
          <w:rFonts w:ascii="Times New Roman" w:cs="Times New Roman" w:eastAsia="Times New Roman" w:hAnsi="Times New Roman"/>
          <w:b/>
          <w:bCs/>
          <w:color w:val="1B2A5E"/>
          <w:sz w:val="22"/>
          <w:szCs w:val="22"/>
        </w:rPr>
        <w:t xml:space="preserve">10.1  Investigation Process</w:t>
      </w:r>
    </w:p>
    <w:p>
      <w:pPr>
        <w:spacing w:before="60" w:after="100"/>
        <w:jc w:val="both"/>
      </w:pPr>
      <w:r>
        <w:rPr>
          <w:rFonts w:ascii="Times New Roman" w:cs="Times New Roman" w:eastAsia="Times New Roman" w:hAnsi="Times New Roman"/>
          <w:color w:val="1A1A2A"/>
          <w:sz w:val="20"/>
          <w:szCs w:val="20"/>
        </w:rPr>
        <w:t xml:space="preserve">Celerity will review and assess grievances promptly and in good faith. Depending on severity, Celerity may: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triage for immediate safety risks;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preserve documents and restrict access as needed;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conduct interviews and review relevant materials (consistent with law);</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determine findings and corrective actions.</w:t>
      </w:r>
    </w:p>
    <w:p>
      <w:pPr>
        <w:pStyle w:val="Heading2"/>
        <w:spacing w:before="200" w:after="80"/>
      </w:pPr>
      <w:r>
        <w:rPr>
          <w:rFonts w:ascii="Times New Roman" w:cs="Times New Roman" w:eastAsia="Times New Roman" w:hAnsi="Times New Roman"/>
          <w:b/>
          <w:bCs/>
          <w:color w:val="1B2A5E"/>
          <w:sz w:val="22"/>
          <w:szCs w:val="22"/>
        </w:rPr>
        <w:t xml:space="preserve">10.2  Remediation and Corrective Action</w:t>
      </w:r>
    </w:p>
    <w:p>
      <w:pPr>
        <w:spacing w:before="60" w:after="100"/>
        <w:jc w:val="both"/>
      </w:pPr>
      <w:r>
        <w:rPr>
          <w:rFonts w:ascii="Times New Roman" w:cs="Times New Roman" w:eastAsia="Times New Roman" w:hAnsi="Times New Roman"/>
          <w:color w:val="1A1A2A"/>
          <w:sz w:val="20"/>
          <w:szCs w:val="20"/>
        </w:rPr>
        <w:t xml:space="preserve">If Celerity determines that it caused or contributed to an adverse human rights impact, or that one is directly connected to our operations or services through a Business Partner, Celerity will take actions that are reasonable and appropriate, which may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process changes, training, or enhanced controls;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corrective action plans with Business Partners;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disengagement where remediation is not feasible;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cooperation with lawful investigations or client-required processes.</w:t>
      </w:r>
    </w:p>
    <w:p>
      <w:pPr>
        <w:spacing w:before="60" w:after="100"/>
        <w:jc w:val="both"/>
      </w:pPr>
      <w:r>
        <w:rPr>
          <w:rFonts w:ascii="Times New Roman" w:cs="Times New Roman" w:eastAsia="Times New Roman" w:hAnsi="Times New Roman"/>
          <w:color w:val="1A1A2A"/>
          <w:sz w:val="20"/>
          <w:szCs w:val="20"/>
        </w:rPr>
        <w:t xml:space="preserve">Celerity's remediation approach will be proportionate and consistent with legal obligations and our role in the relevant facts.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Monitoring and Continuous Improvement</w:t>
      </w:r>
    </w:p>
    <w:p>
      <w:pPr>
        <w:spacing w:before="60" w:after="100"/>
        <w:jc w:val="both"/>
      </w:pPr>
      <w:r>
        <w:rPr>
          <w:rFonts w:ascii="Times New Roman" w:cs="Times New Roman" w:eastAsia="Times New Roman" w:hAnsi="Times New Roman"/>
          <w:color w:val="1A1A2A"/>
          <w:sz w:val="20"/>
          <w:szCs w:val="20"/>
        </w:rPr>
        <w:t xml:space="preserve">Celerity will monitor implementation through a risk-based approach that may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periodic review of engagement screening outcomes;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review of grievance trends and corrective actions;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assessment of third-party diligence processes;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updates based on evolving standards and client expectations.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Records Retention</w:t>
      </w:r>
    </w:p>
    <w:p>
      <w:pPr>
        <w:spacing w:before="60" w:after="100"/>
        <w:jc w:val="both"/>
      </w:pPr>
      <w:r>
        <w:rPr>
          <w:rFonts w:ascii="Times New Roman" w:cs="Times New Roman" w:eastAsia="Times New Roman" w:hAnsi="Times New Roman"/>
          <w:color w:val="1A1A2A"/>
          <w:sz w:val="20"/>
          <w:szCs w:val="20"/>
        </w:rPr>
        <w:t xml:space="preserve">Celerity will retain records relating to:</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material grievances and investigations;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due diligence activities and decisions;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training completion (where applicable)</w:t>
      </w:r>
    </w:p>
    <w:p>
      <w:pPr>
        <w:spacing w:before="60" w:after="100"/>
        <w:jc w:val="both"/>
      </w:pPr>
      <w:r>
        <w:rPr>
          <w:rFonts w:ascii="Times New Roman" w:cs="Times New Roman" w:eastAsia="Times New Roman" w:hAnsi="Times New Roman"/>
          <w:color w:val="1A1A2A"/>
          <w:sz w:val="20"/>
          <w:szCs w:val="20"/>
        </w:rPr>
        <w:t xml:space="preserve">for at least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years, or longer if required by law, contract, insurance, or a litigation hold.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13.  Communication and Availability</w:t>
      </w:r>
    </w:p>
    <w:p>
      <w:pPr>
        <w:spacing w:before="60" w:after="100"/>
        <w:jc w:val="both"/>
      </w:pPr>
      <w:r>
        <w:rPr>
          <w:rFonts w:ascii="Times New Roman" w:cs="Times New Roman" w:eastAsia="Times New Roman" w:hAnsi="Times New Roman"/>
          <w:color w:val="1A1A2A"/>
          <w:sz w:val="20"/>
          <w:szCs w:val="20"/>
        </w:rPr>
        <w:t xml:space="preserve">This Policy will be made available to Personnel and may be shared with Business Partners upon request or where appropriate for contracting and engagement purposes.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14.  Policy Updates; Exceptions and Waivers</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b/>
          <w:bCs/>
          <w:color w:val="1A1A2A"/>
          <w:sz w:val="20"/>
          <w:szCs w:val="20"/>
        </w:rPr>
        <w:t xml:space="preserve">Updates.  </w:t>
      </w:r>
      <w:r>
        <w:rPr>
          <w:rFonts w:ascii="Times New Roman" w:cs="Times New Roman" w:eastAsia="Times New Roman" w:hAnsi="Times New Roman"/>
          <w:color w:val="1A1A2A"/>
          <w:sz w:val="20"/>
          <w:szCs w:val="20"/>
        </w:rPr>
        <w:t xml:space="preserve">Celerity may update this Policy from time to time. Updated versions will be communicated to Personnel.</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b/>
          <w:bCs/>
          <w:color w:val="1A1A2A"/>
          <w:sz w:val="20"/>
          <w:szCs w:val="20"/>
        </w:rPr>
        <w:t xml:space="preserve">No Implied Waiver.  </w:t>
      </w:r>
      <w:r>
        <w:rPr>
          <w:rFonts w:ascii="Times New Roman" w:cs="Times New Roman" w:eastAsia="Times New Roman" w:hAnsi="Times New Roman"/>
          <w:color w:val="1A1A2A"/>
          <w:sz w:val="20"/>
          <w:szCs w:val="20"/>
        </w:rPr>
        <w:t xml:space="preserve">Failure to enforce any part of this Policy in a particular instance does not waive future enforcement.</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b/>
          <w:bCs/>
          <w:color w:val="1A1A2A"/>
          <w:sz w:val="20"/>
          <w:szCs w:val="20"/>
        </w:rPr>
        <w:t xml:space="preserve">Exceptions/Waivers.  </w:t>
      </w:r>
      <w:r>
        <w:rPr>
          <w:rFonts w:ascii="Times New Roman" w:cs="Times New Roman" w:eastAsia="Times New Roman" w:hAnsi="Times New Roman"/>
          <w:color w:val="1A1A2A"/>
          <w:sz w:val="20"/>
          <w:szCs w:val="20"/>
        </w:rPr>
        <w:t xml:space="preserve">Any waiver or exception must be: in writing; supported by documented rationale; approved by </w:t>
      </w:r>
      <w:r>
        <w:rPr>
          <w:rFonts w:ascii="Times New Roman" w:cs="Times New Roman" w:eastAsia="Times New Roman" w:hAnsi="Times New Roman"/>
          <w:i/>
          <w:iCs/>
          <w:color w:val="5A6070"/>
          <w:sz w:val="20"/>
          <w:szCs w:val="20"/>
          <w:highlight w:val="yellow"/>
        </w:rPr>
        <w:t xml:space="preserve">[APPROVER TITLE]</w:t>
      </w:r>
      <w:r>
        <w:rPr>
          <w:rFonts w:ascii="Times New Roman" w:cs="Times New Roman" w:eastAsia="Times New Roman" w:hAnsi="Times New Roman"/>
          <w:color w:val="1A1A2A"/>
          <w:sz w:val="20"/>
          <w:szCs w:val="20"/>
        </w:rPr>
        <w:t xml:space="preserve">; and implemented with appropriate mitigating controls.</w:t>
      </w: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APPENDIX A</w:t>
      </w:r>
    </w:p>
    <w:p>
      <w:pPr>
        <w:spacing w:before="0" w:after="4"/>
      </w:pPr>
      <w:r>
        <w:rPr>
          <w:rFonts w:ascii="Times New Roman" w:cs="Times New Roman" w:eastAsia="Times New Roman" w:hAnsi="Times New Roman"/>
          <w:b/>
          <w:bCs/>
          <w:color w:val="4A9FD4"/>
          <w:sz w:val="20"/>
          <w:szCs w:val="20"/>
        </w:rPr>
        <w:t xml:space="preserve">Acknowledgment of Receipt and Agreement</w:t>
      </w:r>
    </w:p>
    <w:p>
      <w:pPr>
        <w:pBdr>
          <w:bottom w:val="single" w:color="4A9FD4" w:sz="16" w:space="1"/>
        </w:pBdr>
        <w:spacing w:before="0" w:after="0"/>
      </w:pPr>
    </w:p>
    <w:p>
      <w:pPr>
        <w:spacing w:before="120" w:after="80"/>
      </w:pPr>
    </w:p>
    <w:p>
      <w:pPr>
        <w:spacing w:before="60" w:after="100"/>
        <w:jc w:val="both"/>
      </w:pPr>
      <w:r>
        <w:rPr>
          <w:rFonts w:ascii="Times New Roman" w:cs="Times New Roman" w:eastAsia="Times New Roman" w:hAnsi="Times New Roman"/>
          <w:color w:val="1A1A2A"/>
          <w:sz w:val="20"/>
          <w:szCs w:val="20"/>
        </w:rPr>
        <w:t xml:space="preserve">I acknowledge that I have received, read, and understand the </w:t>
      </w:r>
      <w:r>
        <w:rPr>
          <w:rFonts w:ascii="Times New Roman" w:cs="Times New Roman" w:eastAsia="Times New Roman" w:hAnsi="Times New Roman"/>
          <w:b/>
          <w:bCs/>
          <w:color w:val="1A1A2A"/>
          <w:sz w:val="20"/>
          <w:szCs w:val="20"/>
        </w:rPr>
        <w:t xml:space="preserve">Celerity Energy Advisors LLC Human Rights Policy</w:t>
      </w:r>
      <w:r>
        <w:rPr>
          <w:rFonts w:ascii="Times New Roman" w:cs="Times New Roman" w:eastAsia="Times New Roman" w:hAnsi="Times New Roman"/>
          <w:color w:val="1A1A2A"/>
          <w:sz w:val="20"/>
          <w:szCs w:val="20"/>
        </w:rPr>
        <w:t xml:space="preserve">. I agree to comply with this Policy as a condition of my employment or engagement with Celerity. I understand that violations may result in disciplinary action up to and including termination of employment or engagement.</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Name (Print)</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 </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Title / Role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 </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Signature</w:t>
            </w:r>
          </w:p>
        </w:tc>
        <w:tc>
          <w:tcPr>
            <w:tcW w:type="dxa" w:w="6840"/>
            <w:tcBorders>
              <w:top w:val="single" w:color="D0D7E3" w:sz="1"/>
              <w:left w:val="single" w:color="D0D7E3" w:sz="1"/>
              <w:bottom w:val="single" w:color="D0D7E3" w:sz="1"/>
              <w:right w:val="single" w:color="D0D7E3" w:sz="1"/>
            </w:tcBorders>
            <w:shd w:fill="F4F6F9" w:val="clear"/>
            <w:tcMar>
              <w:top w:type="dxa" w:w="120"/>
              <w:left w:type="dxa" w:w="120"/>
              <w:bottom w:type="dxa" w:w="120"/>
              <w:right w:type="dxa" w:w="120"/>
            </w:tcMar>
          </w:tcPr>
          <w:p>
            <w:r>
              <w:rPr>
                <w:rFonts w:ascii="Times New Roman" w:cs="Times New Roman" w:eastAsia="Times New Roman" w:hAnsi="Times New Roman"/>
                <w:color w:val="1A1A2A"/>
                <w:sz w:val="20"/>
                <w:szCs w:val="20"/>
              </w:rPr>
              <w:t xml:space="preserve"> </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Date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 </w:t>
            </w:r>
          </w:p>
        </w:tc>
      </w:tr>
    </w:tbl>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2026-03-06T14:23:27.919Z</dcterms:created>
  <dcterms:modified xsi:type="dcterms:W3CDTF">2026-03-06T14:23:27.920Z</dcterms:modified>
</cp:coreProperties>
</file>

<file path=docProps/custom.xml><?xml version="1.0" encoding="utf-8"?>
<Properties xmlns="http://schemas.openxmlformats.org/officeDocument/2006/custom-properties" xmlns:vt="http://schemas.openxmlformats.org/officeDocument/2006/docPropsVTypes"/>
</file>