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20"/>
      </w:pPr>
      <w:r>
        <w:rPr>
          <w:rFonts w:ascii="Times New Roman" w:cs="Times New Roman" w:eastAsia="Times New Roman" w:hAnsi="Times New Roman"/>
          <w:b/>
          <w:bCs/>
          <w:color w:val="1B2A5E"/>
          <w:sz w:val="34"/>
          <w:szCs w:val="34"/>
        </w:rPr>
        <w:t xml:space="preserve">MASTER SERVICES AGREEMENT</w:t>
      </w:r>
    </w:p>
    <w:p>
      <w:pPr>
        <w:spacing w:before="0" w:after="4"/>
      </w:pPr>
      <w:r>
        <w:rPr>
          <w:rFonts w:ascii="Times New Roman" w:cs="Times New Roman" w:eastAsia="Times New Roman" w:hAnsi="Times New Roman"/>
          <w:b/>
          <w:bCs/>
          <w:color w:val="4A9FD4"/>
          <w:sz w:val="20"/>
          <w:szCs w:val="20"/>
        </w:rPr>
        <w:t xml:space="preserve">Professional Consulting Services  ·  Oil &amp; Gas</w:t>
      </w:r>
    </w:p>
    <w:p>
      <w:pPr>
        <w:pBdr>
          <w:bottom w:val="single" w:color="4A9FD4" w:sz="16" w:space="1"/>
        </w:pBdr>
        <w:spacing w:before="0" w:after="0"/>
      </w:pPr>
    </w:p>
    <w:p>
      <w:pPr>
        <w:spacing w:before="120" w:after="80"/>
      </w:pPr>
    </w:p>
    <w:p>
      <w:pPr>
        <w:spacing w:before="60" w:after="100"/>
        <w:jc w:val="both"/>
      </w:pPr>
      <w:r>
        <w:rPr>
          <w:rFonts w:ascii="Times New Roman" w:cs="Times New Roman" w:eastAsia="Times New Roman" w:hAnsi="Times New Roman"/>
          <w:color w:val="1A1A2A"/>
          <w:sz w:val="20"/>
          <w:szCs w:val="20"/>
        </w:rPr>
        <w:t xml:space="preserve">This Master Services Agreement (this "</w:t>
      </w:r>
      <w:r>
        <w:rPr>
          <w:rFonts w:ascii="Times New Roman" w:cs="Times New Roman" w:eastAsia="Times New Roman" w:hAnsi="Times New Roman"/>
          <w:b/>
          <w:bCs/>
          <w:color w:val="1A1A2A"/>
          <w:sz w:val="20"/>
          <w:szCs w:val="20"/>
        </w:rPr>
        <w:t xml:space="preserve">Agreement</w:t>
      </w:r>
      <w:r>
        <w:rPr>
          <w:rFonts w:ascii="Times New Roman" w:cs="Times New Roman" w:eastAsia="Times New Roman" w:hAnsi="Times New Roman"/>
          <w:color w:val="1A1A2A"/>
          <w:sz w:val="20"/>
          <w:szCs w:val="20"/>
        </w:rPr>
        <w:t xml:space="preserve">") is entered into as of </w:t>
      </w:r>
      <w:r>
        <w:rPr>
          <w:rFonts w:ascii="Times New Roman" w:cs="Times New Roman" w:eastAsia="Times New Roman" w:hAnsi="Times New Roman"/>
          <w:i/>
          <w:iCs/>
          <w:color w:val="5A6070"/>
          <w:sz w:val="20"/>
          <w:szCs w:val="20"/>
          <w:highlight w:val="yellow"/>
        </w:rPr>
        <w:t xml:space="preserve">[EFFECTIVE DATE]</w:t>
      </w:r>
      <w:r>
        <w:rPr>
          <w:rFonts w:ascii="Times New Roman" w:cs="Times New Roman" w:eastAsia="Times New Roman" w:hAnsi="Times New Roman"/>
          <w:color w:val="1A1A2A"/>
          <w:sz w:val="20"/>
          <w:szCs w:val="20"/>
        </w:rPr>
        <w:t xml:space="preserve"> (the "</w:t>
      </w:r>
      <w:r>
        <w:rPr>
          <w:rFonts w:ascii="Times New Roman" w:cs="Times New Roman" w:eastAsia="Times New Roman" w:hAnsi="Times New Roman"/>
          <w:b/>
          <w:bCs/>
          <w:color w:val="1A1A2A"/>
          <w:sz w:val="20"/>
          <w:szCs w:val="20"/>
        </w:rPr>
        <w:t xml:space="preserve">Effective Date</w:t>
      </w:r>
      <w:r>
        <w:rPr>
          <w:rFonts w:ascii="Times New Roman" w:cs="Times New Roman" w:eastAsia="Times New Roman" w:hAnsi="Times New Roman"/>
          <w:color w:val="1A1A2A"/>
          <w:sz w:val="20"/>
          <w:szCs w:val="20"/>
        </w:rPr>
        <w:t xml:space="preserve">") by and between:</w:t>
      </w:r>
    </w:p>
    <w:p>
      <w:pPr>
        <w:spacing w:before="40" w:after="20"/>
      </w:pPr>
    </w:p>
    <w:p>
      <w:pPr>
        <w:spacing w:before="60" w:after="60"/>
        <w:ind w:left="480"/>
        <w:jc w:val="both"/>
      </w:pPr>
      <w:r>
        <w:rPr>
          <w:rFonts w:ascii="Times New Roman" w:cs="Times New Roman" w:eastAsia="Times New Roman" w:hAnsi="Times New Roman"/>
          <w:i/>
          <w:iCs/>
          <w:color w:val="5A6070"/>
          <w:sz w:val="20"/>
          <w:szCs w:val="20"/>
          <w:highlight w:val="yellow"/>
        </w:rPr>
        <w:t xml:space="preserve">[CLIENT LEGAL NAME]</w:t>
      </w:r>
      <w:r>
        <w:rPr>
          <w:rFonts w:ascii="Times New Roman" w:cs="Times New Roman" w:eastAsia="Times New Roman" w:hAnsi="Times New Roman"/>
          <w:color w:val="1A1A2A"/>
          <w:sz w:val="20"/>
          <w:szCs w:val="20"/>
        </w:rPr>
        <w:t xml:space="preserve">, a </w:t>
      </w:r>
      <w:r>
        <w:rPr>
          <w:rFonts w:ascii="Times New Roman" w:cs="Times New Roman" w:eastAsia="Times New Roman" w:hAnsi="Times New Roman"/>
          <w:i/>
          <w:iCs/>
          <w:color w:val="5A6070"/>
          <w:sz w:val="20"/>
          <w:szCs w:val="20"/>
          <w:highlight w:val="yellow"/>
        </w:rPr>
        <w:t xml:space="preserve">[ENTITY TYPE]</w:t>
      </w:r>
      <w:r>
        <w:rPr>
          <w:rFonts w:ascii="Times New Roman" w:cs="Times New Roman" w:eastAsia="Times New Roman" w:hAnsi="Times New Roman"/>
          <w:color w:val="1A1A2A"/>
          <w:sz w:val="20"/>
          <w:szCs w:val="20"/>
        </w:rPr>
        <w:t xml:space="preserve"> with its principal place of business at </w:t>
      </w:r>
      <w:r>
        <w:rPr>
          <w:rFonts w:ascii="Times New Roman" w:cs="Times New Roman" w:eastAsia="Times New Roman" w:hAnsi="Times New Roman"/>
          <w:i/>
          <w:iCs/>
          <w:color w:val="5A6070"/>
          <w:sz w:val="20"/>
          <w:szCs w:val="20"/>
          <w:highlight w:val="yellow"/>
        </w:rPr>
        <w:t xml:space="preserve">[ADDRESS]</w:t>
      </w:r>
      <w:r>
        <w:rPr>
          <w:rFonts w:ascii="Times New Roman" w:cs="Times New Roman" w:eastAsia="Times New Roman" w:hAnsi="Times New Roman"/>
          <w:color w:val="1A1A2A"/>
          <w:sz w:val="20"/>
          <w:szCs w:val="20"/>
        </w:rPr>
        <w:t xml:space="preserve"> ("</w:t>
      </w:r>
      <w:r>
        <w:rPr>
          <w:rFonts w:ascii="Times New Roman" w:cs="Times New Roman" w:eastAsia="Times New Roman" w:hAnsi="Times New Roman"/>
          <w:b/>
          <w:bCs/>
          <w:color w:val="1A1A2A"/>
          <w:sz w:val="20"/>
          <w:szCs w:val="20"/>
        </w:rPr>
        <w:t xml:space="preserve">Client</w:t>
      </w:r>
      <w:r>
        <w:rPr>
          <w:rFonts w:ascii="Times New Roman" w:cs="Times New Roman" w:eastAsia="Times New Roman" w:hAnsi="Times New Roman"/>
          <w:color w:val="1A1A2A"/>
          <w:sz w:val="20"/>
          <w:szCs w:val="20"/>
        </w:rPr>
        <w:t xml:space="preserve">"); and</w:t>
      </w:r>
    </w:p>
    <w:p>
      <w:pPr>
        <w:spacing w:before="60" w:after="80"/>
        <w:ind w:left="480"/>
        <w:jc w:val="both"/>
      </w:pPr>
      <w:r>
        <w:rPr>
          <w:rFonts w:ascii="Times New Roman" w:cs="Times New Roman" w:eastAsia="Times New Roman" w:hAnsi="Times New Roman"/>
          <w:b/>
          <w:bCs/>
          <w:color w:val="1A1A2A"/>
          <w:sz w:val="20"/>
          <w:szCs w:val="20"/>
        </w:rPr>
        <w:t xml:space="preserve">Celerity Energy Advisors</w:t>
      </w:r>
      <w:r>
        <w:rPr>
          <w:rFonts w:ascii="Times New Roman" w:cs="Times New Roman" w:eastAsia="Times New Roman" w:hAnsi="Times New Roman"/>
          <w:color w:val="1A1A2A"/>
          <w:sz w:val="20"/>
          <w:szCs w:val="20"/>
        </w:rPr>
        <w:t xml:space="preserve">, a </w:t>
      </w:r>
      <w:r>
        <w:rPr>
          <w:rFonts w:ascii="Times New Roman" w:cs="Times New Roman" w:eastAsia="Times New Roman" w:hAnsi="Times New Roman"/>
          <w:i/>
          <w:iCs/>
          <w:color w:val="5A6070"/>
          <w:sz w:val="20"/>
          <w:szCs w:val="20"/>
          <w:highlight w:val="yellow"/>
        </w:rPr>
        <w:t xml:space="preserve">[ENTITY TYPE]</w:t>
      </w:r>
      <w:r>
        <w:rPr>
          <w:rFonts w:ascii="Times New Roman" w:cs="Times New Roman" w:eastAsia="Times New Roman" w:hAnsi="Times New Roman"/>
          <w:color w:val="1A1A2A"/>
          <w:sz w:val="20"/>
          <w:szCs w:val="20"/>
        </w:rPr>
        <w:t xml:space="preserve"> with its principal place of business at </w:t>
      </w:r>
      <w:r>
        <w:rPr>
          <w:rFonts w:ascii="Times New Roman" w:cs="Times New Roman" w:eastAsia="Times New Roman" w:hAnsi="Times New Roman"/>
          <w:i/>
          <w:iCs/>
          <w:color w:val="5A6070"/>
          <w:sz w:val="20"/>
          <w:szCs w:val="20"/>
          <w:highlight w:val="yellow"/>
        </w:rPr>
        <w:t xml:space="preserve">[ADDRESS]</w:t>
      </w:r>
      <w:r>
        <w:rPr>
          <w:rFonts w:ascii="Times New Roman" w:cs="Times New Roman" w:eastAsia="Times New Roman" w:hAnsi="Times New Roman"/>
          <w:color w:val="1A1A2A"/>
          <w:sz w:val="20"/>
          <w:szCs w:val="20"/>
        </w:rPr>
        <w:t xml:space="preserve"> ("</w:t>
      </w:r>
      <w:r>
        <w:rPr>
          <w:rFonts w:ascii="Times New Roman" w:cs="Times New Roman" w:eastAsia="Times New Roman" w:hAnsi="Times New Roman"/>
          <w:b/>
          <w:bCs/>
          <w:color w:val="1A1A2A"/>
          <w:sz w:val="20"/>
          <w:szCs w:val="20"/>
        </w:rPr>
        <w:t xml:space="preserve">Consultant</w:t>
      </w:r>
      <w:r>
        <w:rPr>
          <w:rFonts w:ascii="Times New Roman" w:cs="Times New Roman" w:eastAsia="Times New Roman" w:hAnsi="Times New Roman"/>
          <w:color w:val="1A1A2A"/>
          <w:sz w:val="20"/>
          <w:szCs w:val="20"/>
        </w:rPr>
        <w:t xml:space="preserve">").</w:t>
      </w:r>
    </w:p>
    <w:p>
      <w:pPr>
        <w:spacing w:before="60" w:after="100"/>
        <w:jc w:val="both"/>
      </w:pPr>
      <w:r>
        <w:rPr>
          <w:rFonts w:ascii="Times New Roman" w:cs="Times New Roman" w:eastAsia="Times New Roman" w:hAnsi="Times New Roman"/>
          <w:color w:val="1A1A2A"/>
          <w:sz w:val="20"/>
          <w:szCs w:val="20"/>
        </w:rPr>
        <w:t xml:space="preserve">Client and Consultant may be referred to individually as a "Party" and collectively as the "Parties."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  Scope; Statements of Work</w:t>
      </w:r>
    </w:p>
    <w:p>
      <w:pPr>
        <w:pStyle w:val="Heading2"/>
        <w:spacing w:before="200" w:after="80"/>
      </w:pPr>
      <w:r>
        <w:rPr>
          <w:rFonts w:ascii="Times New Roman" w:cs="Times New Roman" w:eastAsia="Times New Roman" w:hAnsi="Times New Roman"/>
          <w:b/>
          <w:bCs/>
          <w:color w:val="1B2A5E"/>
          <w:sz w:val="22"/>
          <w:szCs w:val="22"/>
        </w:rPr>
        <w:t xml:space="preserve">1.1  Engagement Structure</w:t>
      </w:r>
    </w:p>
    <w:p>
      <w:pPr>
        <w:spacing w:before="60" w:after="100"/>
        <w:jc w:val="both"/>
      </w:pPr>
      <w:r>
        <w:rPr>
          <w:rFonts w:ascii="Times New Roman" w:cs="Times New Roman" w:eastAsia="Times New Roman" w:hAnsi="Times New Roman"/>
          <w:color w:val="1A1A2A"/>
          <w:sz w:val="20"/>
          <w:szCs w:val="20"/>
        </w:rPr>
        <w:t xml:space="preserve">Consultant will provide professional consulting and advisory services related to energy and oil &amp; gas matters (the "</w:t>
      </w:r>
      <w:r>
        <w:rPr>
          <w:rFonts w:ascii="Times New Roman" w:cs="Times New Roman" w:eastAsia="Times New Roman" w:hAnsi="Times New Roman"/>
          <w:b/>
          <w:bCs/>
          <w:color w:val="1A1A2A"/>
          <w:sz w:val="20"/>
          <w:szCs w:val="20"/>
        </w:rPr>
        <w:t xml:space="preserve">Services</w:t>
      </w:r>
      <w:r>
        <w:rPr>
          <w:rFonts w:ascii="Times New Roman" w:cs="Times New Roman" w:eastAsia="Times New Roman" w:hAnsi="Times New Roman"/>
          <w:color w:val="1A1A2A"/>
          <w:sz w:val="20"/>
          <w:szCs w:val="20"/>
        </w:rPr>
        <w:t xml:space="preserve">") as described in one or more statements of work, work orders, or project schedules executed by the Parties (each, an "</w:t>
      </w:r>
      <w:r>
        <w:rPr>
          <w:rFonts w:ascii="Times New Roman" w:cs="Times New Roman" w:eastAsia="Times New Roman" w:hAnsi="Times New Roman"/>
          <w:b/>
          <w:bCs/>
          <w:color w:val="1A1A2A"/>
          <w:sz w:val="20"/>
          <w:szCs w:val="20"/>
        </w:rPr>
        <w:t xml:space="preserve">SOW</w:t>
      </w:r>
      <w:r>
        <w:rPr>
          <w:rFonts w:ascii="Times New Roman" w:cs="Times New Roman" w:eastAsia="Times New Roman" w:hAnsi="Times New Roman"/>
          <w:color w:val="1A1A2A"/>
          <w:sz w:val="20"/>
          <w:szCs w:val="20"/>
        </w:rPr>
        <w:t xml:space="preserve">"). Each SOW will incorporate this Agreement by reference and will include, as applicable, (a) description of Services and deliverables (if any), (b) assumptions and Client dependencies, (c) schedule and milestones, (d) fees and billing basis, (e) travel/expense rules, and (f) key personnel (if applicable).</w:t>
      </w:r>
    </w:p>
    <w:p>
      <w:pPr>
        <w:pStyle w:val="Heading2"/>
        <w:spacing w:before="200" w:after="80"/>
      </w:pPr>
      <w:r>
        <w:rPr>
          <w:rFonts w:ascii="Times New Roman" w:cs="Times New Roman" w:eastAsia="Times New Roman" w:hAnsi="Times New Roman"/>
          <w:b/>
          <w:bCs/>
          <w:color w:val="1B2A5E"/>
          <w:sz w:val="22"/>
          <w:szCs w:val="22"/>
        </w:rPr>
        <w:t xml:space="preserve">1.2  Order of Precedence</w:t>
      </w:r>
    </w:p>
    <w:p>
      <w:pPr>
        <w:spacing w:before="60" w:after="100"/>
        <w:jc w:val="both"/>
      </w:pPr>
      <w:r>
        <w:rPr>
          <w:rFonts w:ascii="Times New Roman" w:cs="Times New Roman" w:eastAsia="Times New Roman" w:hAnsi="Times New Roman"/>
          <w:color w:val="1A1A2A"/>
          <w:sz w:val="20"/>
          <w:szCs w:val="20"/>
        </w:rPr>
        <w:t xml:space="preserve">If there is a conflict, the following order of precedence applies: (a) the applicable SOW (but only for its subject matter); (b) any addendum signed by both Parties; (c) this Agreement.</w:t>
      </w:r>
    </w:p>
    <w:p>
      <w:pPr>
        <w:pStyle w:val="Heading2"/>
        <w:spacing w:before="200" w:after="80"/>
      </w:pPr>
      <w:r>
        <w:rPr>
          <w:rFonts w:ascii="Times New Roman" w:cs="Times New Roman" w:eastAsia="Times New Roman" w:hAnsi="Times New Roman"/>
          <w:b/>
          <w:bCs/>
          <w:color w:val="1B2A5E"/>
          <w:sz w:val="22"/>
          <w:szCs w:val="22"/>
        </w:rPr>
        <w:t xml:space="preserve">1.3  No Exclusivity</w:t>
      </w:r>
    </w:p>
    <w:p>
      <w:pPr>
        <w:spacing w:before="60" w:after="100"/>
        <w:jc w:val="both"/>
      </w:pPr>
      <w:r>
        <w:rPr>
          <w:rFonts w:ascii="Times New Roman" w:cs="Times New Roman" w:eastAsia="Times New Roman" w:hAnsi="Times New Roman"/>
          <w:color w:val="1A1A2A"/>
          <w:sz w:val="20"/>
          <w:szCs w:val="20"/>
        </w:rPr>
        <w:t xml:space="preserve">This Agreement is non-exclusive.</w:t>
      </w:r>
    </w:p>
    <w:p>
      <w:pPr>
        <w:pStyle w:val="Heading2"/>
        <w:spacing w:before="200" w:after="80"/>
      </w:pPr>
      <w:r>
        <w:rPr>
          <w:rFonts w:ascii="Times New Roman" w:cs="Times New Roman" w:eastAsia="Times New Roman" w:hAnsi="Times New Roman"/>
          <w:b/>
          <w:bCs/>
          <w:color w:val="1B2A5E"/>
          <w:sz w:val="22"/>
          <w:szCs w:val="22"/>
        </w:rPr>
        <w:t xml:space="preserve">1.4  Subcontractors</w:t>
      </w:r>
    </w:p>
    <w:p>
      <w:pPr>
        <w:spacing w:before="60" w:after="100"/>
        <w:jc w:val="both"/>
      </w:pPr>
      <w:r>
        <w:rPr>
          <w:rFonts w:ascii="Times New Roman" w:cs="Times New Roman" w:eastAsia="Times New Roman" w:hAnsi="Times New Roman"/>
          <w:color w:val="1A1A2A"/>
          <w:sz w:val="20"/>
          <w:szCs w:val="20"/>
        </w:rPr>
        <w:t xml:space="preserve">Consultant may use subcontractors to perform portions of the Services, provided Consultant remains responsible for their work and ensures they are bound by confidentiality obligations at least as protective as this Agreement.</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2.  Term; Termination; Suspension</w:t>
      </w:r>
    </w:p>
    <w:p>
      <w:pPr>
        <w:pStyle w:val="Heading2"/>
        <w:spacing w:before="200" w:after="80"/>
      </w:pPr>
      <w:r>
        <w:rPr>
          <w:rFonts w:ascii="Times New Roman" w:cs="Times New Roman" w:eastAsia="Times New Roman" w:hAnsi="Times New Roman"/>
          <w:b/>
          <w:bCs/>
          <w:color w:val="1B2A5E"/>
          <w:sz w:val="22"/>
          <w:szCs w:val="22"/>
        </w:rPr>
        <w:t xml:space="preserve">2.1  Term</w:t>
      </w:r>
    </w:p>
    <w:p>
      <w:pPr>
        <w:spacing w:before="60" w:after="100"/>
        <w:jc w:val="both"/>
      </w:pPr>
      <w:r>
        <w:rPr>
          <w:rFonts w:ascii="Times New Roman" w:cs="Times New Roman" w:eastAsia="Times New Roman" w:hAnsi="Times New Roman"/>
          <w:color w:val="1A1A2A"/>
          <w:sz w:val="20"/>
          <w:szCs w:val="20"/>
        </w:rPr>
        <w:t xml:space="preserve">This Agreement begins on the Effective Date and continues until terminated under this Section 2.</w:t>
      </w:r>
    </w:p>
    <w:p>
      <w:pPr>
        <w:pStyle w:val="Heading2"/>
        <w:spacing w:before="200" w:after="80"/>
      </w:pPr>
      <w:r>
        <w:rPr>
          <w:rFonts w:ascii="Times New Roman" w:cs="Times New Roman" w:eastAsia="Times New Roman" w:hAnsi="Times New Roman"/>
          <w:b/>
          <w:bCs/>
          <w:color w:val="1B2A5E"/>
          <w:sz w:val="22"/>
          <w:szCs w:val="22"/>
        </w:rPr>
        <w:t xml:space="preserve">2.2  Termination for Convenience</w:t>
      </w:r>
    </w:p>
    <w:p>
      <w:pPr>
        <w:spacing w:before="60" w:after="100"/>
        <w:jc w:val="both"/>
      </w:pPr>
      <w:r>
        <w:rPr>
          <w:rFonts w:ascii="Times New Roman" w:cs="Times New Roman" w:eastAsia="Times New Roman" w:hAnsi="Times New Roman"/>
          <w:color w:val="1A1A2A"/>
          <w:sz w:val="20"/>
          <w:szCs w:val="20"/>
        </w:rPr>
        <w:t xml:space="preserve">Either Party may terminate this Agreement or any SOW for convenience on </w:t>
      </w:r>
      <w:r>
        <w:rPr>
          <w:rFonts w:ascii="Times New Roman" w:cs="Times New Roman" w:eastAsia="Times New Roman" w:hAnsi="Times New Roman"/>
          <w:i/>
          <w:iCs/>
          <w:color w:val="5A6070"/>
          <w:sz w:val="20"/>
          <w:szCs w:val="20"/>
          <w:highlight w:val="yellow"/>
        </w:rPr>
        <w:t xml:space="preserve">[30]</w:t>
      </w:r>
      <w:r>
        <w:rPr>
          <w:rFonts w:ascii="Times New Roman" w:cs="Times New Roman" w:eastAsia="Times New Roman" w:hAnsi="Times New Roman"/>
          <w:color w:val="1A1A2A"/>
          <w:sz w:val="20"/>
          <w:szCs w:val="20"/>
        </w:rPr>
        <w:t xml:space="preserve"> days' prior written notice.</w:t>
      </w:r>
    </w:p>
    <w:p>
      <w:pPr>
        <w:pStyle w:val="Heading2"/>
        <w:spacing w:before="200" w:after="80"/>
      </w:pPr>
      <w:r>
        <w:rPr>
          <w:rFonts w:ascii="Times New Roman" w:cs="Times New Roman" w:eastAsia="Times New Roman" w:hAnsi="Times New Roman"/>
          <w:b/>
          <w:bCs/>
          <w:color w:val="1B2A5E"/>
          <w:sz w:val="22"/>
          <w:szCs w:val="22"/>
        </w:rPr>
        <w:t xml:space="preserve">2.3  Termination for Cause</w:t>
      </w:r>
    </w:p>
    <w:p>
      <w:pPr>
        <w:spacing w:before="60" w:after="100"/>
        <w:jc w:val="both"/>
      </w:pPr>
      <w:r>
        <w:rPr>
          <w:rFonts w:ascii="Times New Roman" w:cs="Times New Roman" w:eastAsia="Times New Roman" w:hAnsi="Times New Roman"/>
          <w:color w:val="1A1A2A"/>
          <w:sz w:val="20"/>
          <w:szCs w:val="20"/>
        </w:rPr>
        <w:t xml:space="preserve">Either Party may terminate this Agreement or any SOW immediately upon written notice if the other Party (a) materially breaches this Agreement or the SOW and fails to cure within </w:t>
      </w:r>
      <w:r>
        <w:rPr>
          <w:rFonts w:ascii="Times New Roman" w:cs="Times New Roman" w:eastAsia="Times New Roman" w:hAnsi="Times New Roman"/>
          <w:i/>
          <w:iCs/>
          <w:color w:val="5A6070"/>
          <w:sz w:val="20"/>
          <w:szCs w:val="20"/>
          <w:highlight w:val="yellow"/>
        </w:rPr>
        <w:t xml:space="preserve">[30]</w:t>
      </w:r>
      <w:r>
        <w:rPr>
          <w:rFonts w:ascii="Times New Roman" w:cs="Times New Roman" w:eastAsia="Times New Roman" w:hAnsi="Times New Roman"/>
          <w:color w:val="1A1A2A"/>
          <w:sz w:val="20"/>
          <w:szCs w:val="20"/>
        </w:rPr>
        <w:t xml:space="preserve"> days after written notice (or within </w:t>
      </w:r>
      <w:r>
        <w:rPr>
          <w:rFonts w:ascii="Times New Roman" w:cs="Times New Roman" w:eastAsia="Times New Roman" w:hAnsi="Times New Roman"/>
          <w:i/>
          <w:iCs/>
          <w:color w:val="5A6070"/>
          <w:sz w:val="20"/>
          <w:szCs w:val="20"/>
          <w:highlight w:val="yellow"/>
        </w:rPr>
        <w:t xml:space="preserve">[10]</w:t>
      </w:r>
      <w:r>
        <w:rPr>
          <w:rFonts w:ascii="Times New Roman" w:cs="Times New Roman" w:eastAsia="Times New Roman" w:hAnsi="Times New Roman"/>
          <w:color w:val="1A1A2A"/>
          <w:sz w:val="20"/>
          <w:szCs w:val="20"/>
        </w:rPr>
        <w:t xml:space="preserve"> days for nonpayment), (b) becomes insolvent, makes a general assignment for the benefit of creditors, or has a receiver appointed, or (c) ceases business operations in the ordinary course.</w:t>
      </w:r>
    </w:p>
    <w:p>
      <w:pPr>
        <w:pStyle w:val="Heading2"/>
        <w:spacing w:before="200" w:after="80"/>
      </w:pPr>
      <w:r>
        <w:rPr>
          <w:rFonts w:ascii="Times New Roman" w:cs="Times New Roman" w:eastAsia="Times New Roman" w:hAnsi="Times New Roman"/>
          <w:b/>
          <w:bCs/>
          <w:color w:val="1B2A5E"/>
          <w:sz w:val="22"/>
          <w:szCs w:val="22"/>
        </w:rPr>
        <w:t xml:space="preserve">2.4  Suspension for Nonpayment</w:t>
      </w:r>
    </w:p>
    <w:p>
      <w:pPr>
        <w:spacing w:before="60" w:after="100"/>
        <w:jc w:val="both"/>
      </w:pPr>
      <w:r>
        <w:rPr>
          <w:rFonts w:ascii="Times New Roman" w:cs="Times New Roman" w:eastAsia="Times New Roman" w:hAnsi="Times New Roman"/>
          <w:color w:val="1A1A2A"/>
          <w:sz w:val="20"/>
          <w:szCs w:val="20"/>
        </w:rPr>
        <w:t xml:space="preserve">If Client fails to pay undisputed amounts when due and such failure continues for </w:t>
      </w:r>
      <w:r>
        <w:rPr>
          <w:rFonts w:ascii="Times New Roman" w:cs="Times New Roman" w:eastAsia="Times New Roman" w:hAnsi="Times New Roman"/>
          <w:i/>
          <w:iCs/>
          <w:color w:val="5A6070"/>
          <w:sz w:val="20"/>
          <w:szCs w:val="20"/>
          <w:highlight w:val="yellow"/>
        </w:rPr>
        <w:t xml:space="preserve">[10]</w:t>
      </w:r>
      <w:r>
        <w:rPr>
          <w:rFonts w:ascii="Times New Roman" w:cs="Times New Roman" w:eastAsia="Times New Roman" w:hAnsi="Times New Roman"/>
          <w:color w:val="1A1A2A"/>
          <w:sz w:val="20"/>
          <w:szCs w:val="20"/>
        </w:rPr>
        <w:t xml:space="preserve"> days after written notice, Consultant may suspend performance until all undisputed past-due amounts are paid. Consultant will use commercially reasonable efforts to resume performance promptly after payment.</w:t>
      </w:r>
    </w:p>
    <w:p>
      <w:pPr>
        <w:pStyle w:val="Heading2"/>
        <w:spacing w:before="200" w:after="80"/>
      </w:pPr>
      <w:r>
        <w:rPr>
          <w:rFonts w:ascii="Times New Roman" w:cs="Times New Roman" w:eastAsia="Times New Roman" w:hAnsi="Times New Roman"/>
          <w:b/>
          <w:bCs/>
          <w:color w:val="1B2A5E"/>
          <w:sz w:val="22"/>
          <w:szCs w:val="22"/>
        </w:rPr>
        <w:t xml:space="preserve">2.5  Effect of Termination</w:t>
      </w:r>
    </w:p>
    <w:p>
      <w:pPr>
        <w:spacing w:before="60" w:after="100"/>
        <w:jc w:val="both"/>
      </w:pPr>
      <w:r>
        <w:rPr>
          <w:rFonts w:ascii="Times New Roman" w:cs="Times New Roman" w:eastAsia="Times New Roman" w:hAnsi="Times New Roman"/>
          <w:color w:val="1A1A2A"/>
          <w:sz w:val="20"/>
          <w:szCs w:val="20"/>
        </w:rPr>
        <w:t xml:space="preserve">Upon termination or expiration of an SOW: (a) Consultant will stop performing the terminated Services; (b) Client will pay Consultant for Services performed through the effective date of termination, plus approved, non-cancelable commitments and expenses reasonably incurred; (c) each Party will return or destroy the other Party's Confidential Information, subject to Section 8.7 (Permitted Retention); and (d) at Client's request, Consultant will provide reasonable transition assistance at Consultant's then-current rates unless otherwise agreed.</w:t>
      </w:r>
    </w:p>
    <w:p>
      <w:pPr>
        <w:pStyle w:val="Heading2"/>
        <w:spacing w:before="200" w:after="80"/>
      </w:pPr>
      <w:r>
        <w:rPr>
          <w:rFonts w:ascii="Times New Roman" w:cs="Times New Roman" w:eastAsia="Times New Roman" w:hAnsi="Times New Roman"/>
          <w:b/>
          <w:bCs/>
          <w:color w:val="1B2A5E"/>
          <w:sz w:val="22"/>
          <w:szCs w:val="22"/>
        </w:rPr>
        <w:t xml:space="preserve">2.6  Survival</w:t>
      </w:r>
    </w:p>
    <w:p>
      <w:pPr>
        <w:spacing w:before="60" w:after="100"/>
        <w:jc w:val="both"/>
      </w:pPr>
      <w:r>
        <w:rPr>
          <w:rFonts w:ascii="Times New Roman" w:cs="Times New Roman" w:eastAsia="Times New Roman" w:hAnsi="Times New Roman"/>
          <w:color w:val="1A1A2A"/>
          <w:sz w:val="20"/>
          <w:szCs w:val="20"/>
        </w:rPr>
        <w:t xml:space="preserve">Sections 4 (Fees; Taxes), 6 (Work Product; IP), 8 (Confidentiality), 9 (Compliance; Site Rules), 10 (Warranties; Disclaimers; Reliance), 11 (Indemnification), 12 (Limitation of Liability), 13 (Insurance), 14 (Disputes; Governing Law), 15 (General), and 16 (Non-Solicitation) survive to the extent required by their nature.</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3.  Personnel; Professional Standards</w:t>
      </w:r>
    </w:p>
    <w:p>
      <w:pPr>
        <w:pStyle w:val="Heading2"/>
        <w:spacing w:before="200" w:after="80"/>
      </w:pPr>
      <w:r>
        <w:rPr>
          <w:rFonts w:ascii="Times New Roman" w:cs="Times New Roman" w:eastAsia="Times New Roman" w:hAnsi="Times New Roman"/>
          <w:b/>
          <w:bCs/>
          <w:color w:val="1B2A5E"/>
          <w:sz w:val="22"/>
          <w:szCs w:val="22"/>
        </w:rPr>
        <w:t xml:space="preserve">3.1  Standard of Care</w:t>
      </w:r>
    </w:p>
    <w:p>
      <w:pPr>
        <w:spacing w:before="60" w:after="100"/>
        <w:jc w:val="both"/>
      </w:pPr>
      <w:r>
        <w:rPr>
          <w:rFonts w:ascii="Times New Roman" w:cs="Times New Roman" w:eastAsia="Times New Roman" w:hAnsi="Times New Roman"/>
          <w:color w:val="1A1A2A"/>
          <w:sz w:val="20"/>
          <w:szCs w:val="20"/>
        </w:rPr>
        <w:t xml:space="preserve">Consultant will perform the Services in a professional and workmanlike manner consistent with generally accepted industry standards for similar consulting services.</w:t>
      </w:r>
    </w:p>
    <w:p>
      <w:pPr>
        <w:pStyle w:val="Heading2"/>
        <w:spacing w:before="200" w:after="80"/>
      </w:pPr>
      <w:r>
        <w:rPr>
          <w:rFonts w:ascii="Times New Roman" w:cs="Times New Roman" w:eastAsia="Times New Roman" w:hAnsi="Times New Roman"/>
          <w:b/>
          <w:bCs/>
          <w:color w:val="1B2A5E"/>
          <w:sz w:val="22"/>
          <w:szCs w:val="22"/>
        </w:rPr>
        <w:t xml:space="preserve">3.2  Key Personnel (If Applicable)</w:t>
      </w:r>
    </w:p>
    <w:p>
      <w:pPr>
        <w:spacing w:before="60" w:after="100"/>
        <w:jc w:val="both"/>
      </w:pPr>
      <w:r>
        <w:rPr>
          <w:rFonts w:ascii="Times New Roman" w:cs="Times New Roman" w:eastAsia="Times New Roman" w:hAnsi="Times New Roman"/>
          <w:color w:val="1A1A2A"/>
          <w:sz w:val="20"/>
          <w:szCs w:val="20"/>
        </w:rPr>
        <w:t xml:space="preserve">If an SOW identifies key personnel, Consultant will use commercially reasonable efforts to provide such personnel. Consultant may replace personnel with comparably skilled personnel.</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4.  Fees; Expenses; Invoicing; Taxes</w:t>
      </w:r>
    </w:p>
    <w:p>
      <w:pPr>
        <w:pStyle w:val="Heading2"/>
        <w:spacing w:before="200" w:after="80"/>
      </w:pPr>
      <w:r>
        <w:rPr>
          <w:rFonts w:ascii="Times New Roman" w:cs="Times New Roman" w:eastAsia="Times New Roman" w:hAnsi="Times New Roman"/>
          <w:b/>
          <w:bCs/>
          <w:color w:val="1B2A5E"/>
          <w:sz w:val="22"/>
          <w:szCs w:val="22"/>
        </w:rPr>
        <w:t xml:space="preserve">4.1  Fees</w:t>
      </w:r>
    </w:p>
    <w:p>
      <w:pPr>
        <w:spacing w:before="60" w:after="100"/>
        <w:jc w:val="both"/>
      </w:pPr>
      <w:r>
        <w:rPr>
          <w:rFonts w:ascii="Times New Roman" w:cs="Times New Roman" w:eastAsia="Times New Roman" w:hAnsi="Times New Roman"/>
          <w:color w:val="1A1A2A"/>
          <w:sz w:val="20"/>
          <w:szCs w:val="20"/>
        </w:rPr>
        <w:t xml:space="preserve">Client will pay Consultant the fees stated in each SOW (e.g., fixed fee, time-and-materials, retainer, or milestone-based).</w:t>
      </w:r>
    </w:p>
    <w:p>
      <w:pPr>
        <w:pStyle w:val="Heading2"/>
        <w:spacing w:before="200" w:after="80"/>
      </w:pPr>
      <w:r>
        <w:rPr>
          <w:rFonts w:ascii="Times New Roman" w:cs="Times New Roman" w:eastAsia="Times New Roman" w:hAnsi="Times New Roman"/>
          <w:b/>
          <w:bCs/>
          <w:color w:val="1B2A5E"/>
          <w:sz w:val="22"/>
          <w:szCs w:val="22"/>
        </w:rPr>
        <w:t xml:space="preserve">4.2  Time and Materials</w:t>
      </w:r>
    </w:p>
    <w:p>
      <w:pPr>
        <w:spacing w:before="60" w:after="100"/>
        <w:jc w:val="both"/>
      </w:pPr>
      <w:r>
        <w:rPr>
          <w:rFonts w:ascii="Times New Roman" w:cs="Times New Roman" w:eastAsia="Times New Roman" w:hAnsi="Times New Roman"/>
          <w:color w:val="1A1A2A"/>
          <w:sz w:val="20"/>
          <w:szCs w:val="20"/>
        </w:rPr>
        <w:t xml:space="preserve">Unless otherwise stated in an SOW, time is billed in </w:t>
      </w:r>
      <w:r>
        <w:rPr>
          <w:rFonts w:ascii="Times New Roman" w:cs="Times New Roman" w:eastAsia="Times New Roman" w:hAnsi="Times New Roman"/>
          <w:i/>
          <w:iCs/>
          <w:color w:val="5A6070"/>
          <w:sz w:val="20"/>
          <w:szCs w:val="20"/>
          <w:highlight w:val="yellow"/>
        </w:rPr>
        <w:t xml:space="preserve">[0.25-hour]</w:t>
      </w:r>
      <w:r>
        <w:rPr>
          <w:rFonts w:ascii="Times New Roman" w:cs="Times New Roman" w:eastAsia="Times New Roman" w:hAnsi="Times New Roman"/>
          <w:color w:val="1A1A2A"/>
          <w:sz w:val="20"/>
          <w:szCs w:val="20"/>
        </w:rPr>
        <w:t xml:space="preserve"> increments at the rates set forth in the SOW.</w:t>
      </w:r>
    </w:p>
    <w:p>
      <w:pPr>
        <w:pStyle w:val="Heading2"/>
        <w:spacing w:before="200" w:after="80"/>
      </w:pPr>
      <w:r>
        <w:rPr>
          <w:rFonts w:ascii="Times New Roman" w:cs="Times New Roman" w:eastAsia="Times New Roman" w:hAnsi="Times New Roman"/>
          <w:b/>
          <w:bCs/>
          <w:color w:val="1B2A5E"/>
          <w:sz w:val="22"/>
          <w:szCs w:val="22"/>
        </w:rPr>
        <w:t xml:space="preserve">4.3  Expenses</w:t>
      </w:r>
    </w:p>
    <w:p>
      <w:pPr>
        <w:spacing w:before="60" w:after="100"/>
        <w:jc w:val="both"/>
      </w:pPr>
      <w:r>
        <w:rPr>
          <w:rFonts w:ascii="Times New Roman" w:cs="Times New Roman" w:eastAsia="Times New Roman" w:hAnsi="Times New Roman"/>
          <w:color w:val="1A1A2A"/>
          <w:sz w:val="20"/>
          <w:szCs w:val="20"/>
        </w:rPr>
        <w:t xml:space="preserve">Client will reimburse reasonable, necessary, and properly documented out-of-pocket expenses incurred in performing the Services (including travel) to the extent permitted by the SOW. Unless the SOW states otherwise, travel time is billed at </w:t>
      </w:r>
      <w:r>
        <w:rPr>
          <w:rFonts w:ascii="Times New Roman" w:cs="Times New Roman" w:eastAsia="Times New Roman" w:hAnsi="Times New Roman"/>
          <w:i/>
          <w:iCs/>
          <w:color w:val="5A6070"/>
          <w:sz w:val="20"/>
          <w:szCs w:val="20"/>
          <w:highlight w:val="yellow"/>
        </w:rPr>
        <w:t xml:space="preserve">[50%]</w:t>
      </w:r>
      <w:r>
        <w:rPr>
          <w:rFonts w:ascii="Times New Roman" w:cs="Times New Roman" w:eastAsia="Times New Roman" w:hAnsi="Times New Roman"/>
          <w:color w:val="1A1A2A"/>
          <w:sz w:val="20"/>
          <w:szCs w:val="20"/>
        </w:rPr>
        <w:t xml:space="preserve"> of the applicable hourly rate.</w:t>
      </w:r>
    </w:p>
    <w:p>
      <w:pPr>
        <w:pStyle w:val="Heading2"/>
        <w:spacing w:before="200" w:after="80"/>
      </w:pPr>
      <w:r>
        <w:rPr>
          <w:rFonts w:ascii="Times New Roman" w:cs="Times New Roman" w:eastAsia="Times New Roman" w:hAnsi="Times New Roman"/>
          <w:b/>
          <w:bCs/>
          <w:color w:val="1B2A5E"/>
          <w:sz w:val="22"/>
          <w:szCs w:val="22"/>
        </w:rPr>
        <w:t xml:space="preserve">4.4  Invoicing; Payment</w:t>
      </w:r>
    </w:p>
    <w:p>
      <w:pPr>
        <w:spacing w:before="60" w:after="100"/>
        <w:jc w:val="both"/>
      </w:pPr>
      <w:r>
        <w:rPr>
          <w:rFonts w:ascii="Times New Roman" w:cs="Times New Roman" w:eastAsia="Times New Roman" w:hAnsi="Times New Roman"/>
          <w:color w:val="1A1A2A"/>
          <w:sz w:val="20"/>
          <w:szCs w:val="20"/>
        </w:rPr>
        <w:t xml:space="preserve">Consultant will invoice per the SOW (or, if not specified, monthly in arrears). Client will pay undisputed amounts within </w:t>
      </w:r>
      <w:r>
        <w:rPr>
          <w:rFonts w:ascii="Times New Roman" w:cs="Times New Roman" w:eastAsia="Times New Roman" w:hAnsi="Times New Roman"/>
          <w:i/>
          <w:iCs/>
          <w:color w:val="5A6070"/>
          <w:sz w:val="20"/>
          <w:szCs w:val="20"/>
          <w:highlight w:val="yellow"/>
        </w:rPr>
        <w:t xml:space="preserve">[30]</w:t>
      </w:r>
      <w:r>
        <w:rPr>
          <w:rFonts w:ascii="Times New Roman" w:cs="Times New Roman" w:eastAsia="Times New Roman" w:hAnsi="Times New Roman"/>
          <w:color w:val="1A1A2A"/>
          <w:sz w:val="20"/>
          <w:szCs w:val="20"/>
        </w:rPr>
        <w:t xml:space="preserve"> days after the invoice date. Late amounts accrue interest at the lesser of (a) 1.5% per month or (b) the maximum rate permitted by law.</w:t>
      </w:r>
    </w:p>
    <w:p>
      <w:pPr>
        <w:pStyle w:val="Heading2"/>
        <w:spacing w:before="200" w:after="80"/>
      </w:pPr>
      <w:r>
        <w:rPr>
          <w:rFonts w:ascii="Times New Roman" w:cs="Times New Roman" w:eastAsia="Times New Roman" w:hAnsi="Times New Roman"/>
          <w:b/>
          <w:bCs/>
          <w:color w:val="1B2A5E"/>
          <w:sz w:val="22"/>
          <w:szCs w:val="22"/>
        </w:rPr>
        <w:t xml:space="preserve">4.5  Invoice Disputes</w:t>
      </w:r>
    </w:p>
    <w:p>
      <w:pPr>
        <w:spacing w:before="60" w:after="100"/>
        <w:jc w:val="both"/>
      </w:pPr>
      <w:r>
        <w:rPr>
          <w:rFonts w:ascii="Times New Roman" w:cs="Times New Roman" w:eastAsia="Times New Roman" w:hAnsi="Times New Roman"/>
          <w:color w:val="1A1A2A"/>
          <w:sz w:val="20"/>
          <w:szCs w:val="20"/>
        </w:rPr>
        <w:t xml:space="preserve">Client will notify Consultant in writing of any good-faith dispute within </w:t>
      </w:r>
      <w:r>
        <w:rPr>
          <w:rFonts w:ascii="Times New Roman" w:cs="Times New Roman" w:eastAsia="Times New Roman" w:hAnsi="Times New Roman"/>
          <w:i/>
          <w:iCs/>
          <w:color w:val="5A6070"/>
          <w:sz w:val="20"/>
          <w:szCs w:val="20"/>
          <w:highlight w:val="yellow"/>
        </w:rPr>
        <w:t xml:space="preserve">[15]</w:t>
      </w:r>
      <w:r>
        <w:rPr>
          <w:rFonts w:ascii="Times New Roman" w:cs="Times New Roman" w:eastAsia="Times New Roman" w:hAnsi="Times New Roman"/>
          <w:color w:val="1A1A2A"/>
          <w:sz w:val="20"/>
          <w:szCs w:val="20"/>
        </w:rPr>
        <w:t xml:space="preserve"> days after receipt of the invoice, describing the basis in reasonable detail. The Parties will work in good faith to resolve the dispute. Client will timely pay all undisputed amounts.</w:t>
      </w:r>
    </w:p>
    <w:p>
      <w:pPr>
        <w:pStyle w:val="Heading2"/>
        <w:spacing w:before="200" w:after="80"/>
      </w:pPr>
      <w:r>
        <w:rPr>
          <w:rFonts w:ascii="Times New Roman" w:cs="Times New Roman" w:eastAsia="Times New Roman" w:hAnsi="Times New Roman"/>
          <w:b/>
          <w:bCs/>
          <w:color w:val="1B2A5E"/>
          <w:sz w:val="22"/>
          <w:szCs w:val="22"/>
        </w:rPr>
        <w:t xml:space="preserve">4.6  Taxes</w:t>
      </w:r>
    </w:p>
    <w:p>
      <w:pPr>
        <w:spacing w:before="60" w:after="100"/>
        <w:jc w:val="both"/>
      </w:pPr>
      <w:r>
        <w:rPr>
          <w:rFonts w:ascii="Times New Roman" w:cs="Times New Roman" w:eastAsia="Times New Roman" w:hAnsi="Times New Roman"/>
          <w:color w:val="1A1A2A"/>
          <w:sz w:val="20"/>
          <w:szCs w:val="20"/>
        </w:rPr>
        <w:t xml:space="preserve">Fees exclude sales, use, excise, value-added, and similar taxes. Client is responsible for applicable taxes, excluding taxes on Consultant's net income. If Client claims exemption, Client will provide valid exemption documentation.</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5.  Change Management</w:t>
      </w:r>
    </w:p>
    <w:p>
      <w:pPr>
        <w:pStyle w:val="Heading2"/>
        <w:spacing w:before="200" w:after="80"/>
      </w:pPr>
      <w:r>
        <w:rPr>
          <w:rFonts w:ascii="Times New Roman" w:cs="Times New Roman" w:eastAsia="Times New Roman" w:hAnsi="Times New Roman"/>
          <w:b/>
          <w:bCs/>
          <w:color w:val="1B2A5E"/>
          <w:sz w:val="22"/>
          <w:szCs w:val="22"/>
        </w:rPr>
        <w:t xml:space="preserve">5.1  Changes</w:t>
      </w:r>
    </w:p>
    <w:p>
      <w:pPr>
        <w:spacing w:before="60" w:after="100"/>
        <w:jc w:val="both"/>
      </w:pPr>
      <w:r>
        <w:rPr>
          <w:rFonts w:ascii="Times New Roman" w:cs="Times New Roman" w:eastAsia="Times New Roman" w:hAnsi="Times New Roman"/>
          <w:color w:val="1A1A2A"/>
          <w:sz w:val="20"/>
          <w:szCs w:val="20"/>
        </w:rPr>
        <w:t xml:space="preserve">Either Party may request changes to an SOW. Changes are effective only if documented in a written change order signed by both Parties that describes the change and any impact on fees, schedule, and assumptions.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6.  Work Product; Intellectual Property</w:t>
      </w:r>
    </w:p>
    <w:p>
      <w:pPr>
        <w:pStyle w:val="Heading2"/>
        <w:spacing w:before="200" w:after="80"/>
      </w:pPr>
      <w:r>
        <w:rPr>
          <w:rFonts w:ascii="Times New Roman" w:cs="Times New Roman" w:eastAsia="Times New Roman" w:hAnsi="Times New Roman"/>
          <w:b/>
          <w:bCs/>
          <w:color w:val="1B2A5E"/>
          <w:sz w:val="22"/>
          <w:szCs w:val="22"/>
        </w:rPr>
        <w:t xml:space="preserve">6.1  Definitions</w:t>
      </w:r>
    </w:p>
    <w:p>
      <w:pPr>
        <w:spacing w:before="60" w:after="100"/>
        <w:jc w:val="both"/>
      </w:pPr>
      <w:r>
        <w:rPr>
          <w:rFonts w:ascii="Times New Roman" w:cs="Times New Roman" w:eastAsia="Times New Roman" w:hAnsi="Times New Roman"/>
          <w:b/>
          <w:bCs/>
          <w:color w:val="1A1A2A"/>
          <w:sz w:val="20"/>
          <w:szCs w:val="20"/>
        </w:rPr>
        <w:t xml:space="preserve">(a)  "Client Materials" </w:t>
      </w:r>
      <w:r>
        <w:rPr>
          <w:rFonts w:ascii="Times New Roman" w:cs="Times New Roman" w:eastAsia="Times New Roman" w:hAnsi="Times New Roman"/>
          <w:color w:val="1A1A2A"/>
          <w:sz w:val="20"/>
          <w:szCs w:val="20"/>
        </w:rPr>
        <w:t xml:space="preserve">means information, data, reports, models, assumptions, specifications, software, and other materials provided by or on behalf of Client.</w:t>
      </w:r>
    </w:p>
    <w:p>
      <w:pPr>
        <w:spacing w:before="60" w:after="100"/>
        <w:jc w:val="both"/>
      </w:pPr>
      <w:r>
        <w:rPr>
          <w:rFonts w:ascii="Times New Roman" w:cs="Times New Roman" w:eastAsia="Times New Roman" w:hAnsi="Times New Roman"/>
          <w:b/>
          <w:bCs/>
          <w:color w:val="1A1A2A"/>
          <w:sz w:val="20"/>
          <w:szCs w:val="20"/>
        </w:rPr>
        <w:t xml:space="preserve">(b)  "Work Product" </w:t>
      </w:r>
      <w:r>
        <w:rPr>
          <w:rFonts w:ascii="Times New Roman" w:cs="Times New Roman" w:eastAsia="Times New Roman" w:hAnsi="Times New Roman"/>
          <w:color w:val="1A1A2A"/>
          <w:sz w:val="20"/>
          <w:szCs w:val="20"/>
        </w:rPr>
        <w:t xml:space="preserve">means the deliverables (if any) expressly identified as such in an SOW that are created by Consultant specifically for Client under that SOW.</w:t>
      </w:r>
    </w:p>
    <w:p>
      <w:pPr>
        <w:spacing w:before="60" w:after="100"/>
        <w:jc w:val="both"/>
      </w:pPr>
      <w:r>
        <w:rPr>
          <w:rFonts w:ascii="Times New Roman" w:cs="Times New Roman" w:eastAsia="Times New Roman" w:hAnsi="Times New Roman"/>
          <w:b/>
          <w:bCs/>
          <w:color w:val="1A1A2A"/>
          <w:sz w:val="20"/>
          <w:szCs w:val="20"/>
        </w:rPr>
        <w:t xml:space="preserve">(c)  "Consultant Materials" </w:t>
      </w:r>
      <w:r>
        <w:rPr>
          <w:rFonts w:ascii="Times New Roman" w:cs="Times New Roman" w:eastAsia="Times New Roman" w:hAnsi="Times New Roman"/>
          <w:color w:val="1A1A2A"/>
          <w:sz w:val="20"/>
          <w:szCs w:val="20"/>
        </w:rPr>
        <w:t xml:space="preserve">means Consultant's pre-existing or independently developed methodologies, frameworks, templates, tools, know-how, checklists, models, software, and other intellectual property, and any improvements to the foregoing, whether or not created in connection with the Services.</w:t>
      </w:r>
    </w:p>
    <w:p>
      <w:pPr>
        <w:pStyle w:val="Heading2"/>
        <w:spacing w:before="200" w:after="80"/>
      </w:pPr>
      <w:r>
        <w:rPr>
          <w:rFonts w:ascii="Times New Roman" w:cs="Times New Roman" w:eastAsia="Times New Roman" w:hAnsi="Times New Roman"/>
          <w:b/>
          <w:bCs/>
          <w:color w:val="1B2A5E"/>
          <w:sz w:val="22"/>
          <w:szCs w:val="22"/>
        </w:rPr>
        <w:t xml:space="preserve">6.2  Ownership</w:t>
      </w:r>
    </w:p>
    <w:p>
      <w:pPr>
        <w:spacing w:before="60" w:after="100"/>
        <w:jc w:val="both"/>
      </w:pPr>
      <w:r>
        <w:rPr>
          <w:rFonts w:ascii="Times New Roman" w:cs="Times New Roman" w:eastAsia="Times New Roman" w:hAnsi="Times New Roman"/>
          <w:b/>
          <w:bCs/>
          <w:color w:val="1A1A2A"/>
          <w:sz w:val="20"/>
          <w:szCs w:val="20"/>
        </w:rPr>
        <w:t xml:space="preserve">(a)  Client Materials. </w:t>
      </w:r>
      <w:r>
        <w:rPr>
          <w:rFonts w:ascii="Times New Roman" w:cs="Times New Roman" w:eastAsia="Times New Roman" w:hAnsi="Times New Roman"/>
          <w:color w:val="1A1A2A"/>
          <w:sz w:val="20"/>
          <w:szCs w:val="20"/>
        </w:rPr>
        <w:t xml:space="preserve">Client retains all rights in Client Materials.</w:t>
      </w:r>
    </w:p>
    <w:p>
      <w:pPr>
        <w:spacing w:before="60" w:after="100"/>
        <w:jc w:val="both"/>
      </w:pPr>
      <w:r>
        <w:rPr>
          <w:rFonts w:ascii="Times New Roman" w:cs="Times New Roman" w:eastAsia="Times New Roman" w:hAnsi="Times New Roman"/>
          <w:b/>
          <w:bCs/>
          <w:color w:val="1A1A2A"/>
          <w:sz w:val="20"/>
          <w:szCs w:val="20"/>
        </w:rPr>
        <w:t xml:space="preserve">(b)  Consultant Materials. </w:t>
      </w:r>
      <w:r>
        <w:rPr>
          <w:rFonts w:ascii="Times New Roman" w:cs="Times New Roman" w:eastAsia="Times New Roman" w:hAnsi="Times New Roman"/>
          <w:color w:val="1A1A2A"/>
          <w:sz w:val="20"/>
          <w:szCs w:val="20"/>
        </w:rPr>
        <w:t xml:space="preserve">Consultant retains all rights in Consultant Materials.</w:t>
      </w:r>
    </w:p>
    <w:p>
      <w:pPr>
        <w:spacing w:before="60" w:after="100"/>
        <w:jc w:val="both"/>
      </w:pPr>
      <w:r>
        <w:rPr>
          <w:rFonts w:ascii="Times New Roman" w:cs="Times New Roman" w:eastAsia="Times New Roman" w:hAnsi="Times New Roman"/>
          <w:b/>
          <w:bCs/>
          <w:color w:val="1A1A2A"/>
          <w:sz w:val="20"/>
          <w:szCs w:val="20"/>
        </w:rPr>
        <w:t xml:space="preserve">(c)  Work Product. </w:t>
      </w:r>
      <w:r>
        <w:rPr>
          <w:rFonts w:ascii="Times New Roman" w:cs="Times New Roman" w:eastAsia="Times New Roman" w:hAnsi="Times New Roman"/>
          <w:color w:val="1A1A2A"/>
          <w:sz w:val="20"/>
          <w:szCs w:val="20"/>
        </w:rPr>
        <w:t xml:space="preserve">Upon Client's payment in full of all amounts due under the applicable SOW, Consultant assigns to Client all right, title, and interest in and to the Work Product, excluding Consultant Materials.</w:t>
      </w:r>
    </w:p>
    <w:p>
      <w:pPr>
        <w:pStyle w:val="Heading2"/>
        <w:spacing w:before="200" w:after="80"/>
      </w:pPr>
      <w:r>
        <w:rPr>
          <w:rFonts w:ascii="Times New Roman" w:cs="Times New Roman" w:eastAsia="Times New Roman" w:hAnsi="Times New Roman"/>
          <w:b/>
          <w:bCs/>
          <w:color w:val="1B2A5E"/>
          <w:sz w:val="22"/>
          <w:szCs w:val="22"/>
        </w:rPr>
        <w:t xml:space="preserve">6.3  License to Embedded Consultant Materials</w:t>
      </w:r>
    </w:p>
    <w:p>
      <w:pPr>
        <w:spacing w:before="60" w:after="100"/>
        <w:jc w:val="both"/>
      </w:pPr>
      <w:r>
        <w:rPr>
          <w:rFonts w:ascii="Times New Roman" w:cs="Times New Roman" w:eastAsia="Times New Roman" w:hAnsi="Times New Roman"/>
          <w:color w:val="1A1A2A"/>
          <w:sz w:val="20"/>
          <w:szCs w:val="20"/>
        </w:rPr>
        <w:t xml:space="preserve">To the extent Consultant Materials are incorporated in the Work Product, Consultant grants Client a perpetual, worldwide, non-exclusive, royalty-free license to use, reproduce, and internally modify those Consultant Materials solely as embedded in the Work Product and solely for Client's internal business purposes. Client may share Work Product with its Affiliates and its and their professional advisors under confidentiality obligations, and with third parties only if expressly permitted by the applicable SOW.</w:t>
      </w:r>
    </w:p>
    <w:p>
      <w:pPr>
        <w:pStyle w:val="Heading2"/>
        <w:spacing w:before="200" w:after="80"/>
      </w:pPr>
      <w:r>
        <w:rPr>
          <w:rFonts w:ascii="Times New Roman" w:cs="Times New Roman" w:eastAsia="Times New Roman" w:hAnsi="Times New Roman"/>
          <w:b/>
          <w:bCs/>
          <w:color w:val="1B2A5E"/>
          <w:sz w:val="22"/>
          <w:szCs w:val="22"/>
        </w:rPr>
        <w:t xml:space="preserve">6.4  Portfolio; Residuals</w:t>
      </w:r>
    </w:p>
    <w:p>
      <w:pPr>
        <w:spacing w:before="60" w:after="100"/>
        <w:jc w:val="both"/>
      </w:pPr>
      <w:r>
        <w:rPr>
          <w:rFonts w:ascii="Times New Roman" w:cs="Times New Roman" w:eastAsia="Times New Roman" w:hAnsi="Times New Roman"/>
          <w:color w:val="1A1A2A"/>
          <w:sz w:val="20"/>
          <w:szCs w:val="20"/>
        </w:rPr>
        <w:t xml:space="preserve">Consultant may use general knowledge, skills, and experience retained in unaided memory ("Residuals"), provided Consultant does not disclose Client Confidential Information. With Client's prior written consent (email acceptable), Consultant may reference Client's name and a non-confidential description of the engagement for marketing purposes.</w:t>
      </w:r>
    </w:p>
    <w:p>
      <w:pPr>
        <w:pStyle w:val="Heading2"/>
        <w:spacing w:before="200" w:after="80"/>
      </w:pPr>
      <w:r>
        <w:rPr>
          <w:rFonts w:ascii="Times New Roman" w:cs="Times New Roman" w:eastAsia="Times New Roman" w:hAnsi="Times New Roman"/>
          <w:b/>
          <w:bCs/>
          <w:color w:val="1B2A5E"/>
          <w:sz w:val="22"/>
          <w:szCs w:val="22"/>
        </w:rPr>
        <w:t xml:space="preserve">6.5  No Legal/Engineering Sign-Off Unless Stated</w:t>
      </w:r>
    </w:p>
    <w:p>
      <w:pPr>
        <w:spacing w:before="60" w:after="100"/>
        <w:jc w:val="both"/>
      </w:pPr>
      <w:r>
        <w:rPr>
          <w:rFonts w:ascii="Times New Roman" w:cs="Times New Roman" w:eastAsia="Times New Roman" w:hAnsi="Times New Roman"/>
          <w:color w:val="1A1A2A"/>
          <w:sz w:val="20"/>
          <w:szCs w:val="20"/>
        </w:rPr>
        <w:t xml:space="preserve">Unless expressly stated in an SOW, Consultant is not acting as Client's attorney, investment banker, broker, or as the engineer of record, nor is Consultant providing legal, tax, accounting, reserve certification, or professional engineering services requiring a licensed professional.</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7.  Records; Audit (Narrow)</w:t>
      </w:r>
    </w:p>
    <w:p>
      <w:pPr>
        <w:pStyle w:val="Heading2"/>
        <w:spacing w:before="200" w:after="80"/>
      </w:pPr>
      <w:r>
        <w:rPr>
          <w:rFonts w:ascii="Times New Roman" w:cs="Times New Roman" w:eastAsia="Times New Roman" w:hAnsi="Times New Roman"/>
          <w:b/>
          <w:bCs/>
          <w:color w:val="1B2A5E"/>
          <w:sz w:val="22"/>
          <w:szCs w:val="22"/>
        </w:rPr>
        <w:t xml:space="preserve">7.1  Records</w:t>
      </w:r>
    </w:p>
    <w:p>
      <w:pPr>
        <w:spacing w:before="60" w:after="100"/>
        <w:jc w:val="both"/>
      </w:pPr>
      <w:r>
        <w:rPr>
          <w:rFonts w:ascii="Times New Roman" w:cs="Times New Roman" w:eastAsia="Times New Roman" w:hAnsi="Times New Roman"/>
          <w:color w:val="1A1A2A"/>
          <w:sz w:val="20"/>
          <w:szCs w:val="20"/>
        </w:rPr>
        <w:t xml:space="preserve">Consultant will maintain records reasonably sufficient to support invoices for time-and-materials Services for </w:t>
      </w:r>
      <w:r>
        <w:rPr>
          <w:rFonts w:ascii="Times New Roman" w:cs="Times New Roman" w:eastAsia="Times New Roman" w:hAnsi="Times New Roman"/>
          <w:i/>
          <w:iCs/>
          <w:color w:val="5A6070"/>
          <w:sz w:val="20"/>
          <w:szCs w:val="20"/>
          <w:highlight w:val="yellow"/>
        </w:rPr>
        <w:t xml:space="preserve">[2]</w:t>
      </w:r>
      <w:r>
        <w:rPr>
          <w:rFonts w:ascii="Times New Roman" w:cs="Times New Roman" w:eastAsia="Times New Roman" w:hAnsi="Times New Roman"/>
          <w:color w:val="1A1A2A"/>
          <w:sz w:val="20"/>
          <w:szCs w:val="20"/>
        </w:rPr>
        <w:t xml:space="preserve"> years after the applicable invoice date.</w:t>
      </w:r>
    </w:p>
    <w:p>
      <w:pPr>
        <w:pStyle w:val="Heading2"/>
        <w:spacing w:before="200" w:after="80"/>
      </w:pPr>
      <w:r>
        <w:rPr>
          <w:rFonts w:ascii="Times New Roman" w:cs="Times New Roman" w:eastAsia="Times New Roman" w:hAnsi="Times New Roman"/>
          <w:b/>
          <w:bCs/>
          <w:color w:val="1B2A5E"/>
          <w:sz w:val="22"/>
          <w:szCs w:val="22"/>
        </w:rPr>
        <w:t xml:space="preserve">7.2  Audit</w:t>
      </w:r>
    </w:p>
    <w:p>
      <w:pPr>
        <w:spacing w:before="60" w:after="100"/>
        <w:jc w:val="both"/>
      </w:pPr>
      <w:r>
        <w:rPr>
          <w:rFonts w:ascii="Times New Roman" w:cs="Times New Roman" w:eastAsia="Times New Roman" w:hAnsi="Times New Roman"/>
          <w:color w:val="1A1A2A"/>
          <w:sz w:val="20"/>
          <w:szCs w:val="20"/>
        </w:rPr>
        <w:t xml:space="preserve">No more than once annually and with at least </w:t>
      </w:r>
      <w:r>
        <w:rPr>
          <w:rFonts w:ascii="Times New Roman" w:cs="Times New Roman" w:eastAsia="Times New Roman" w:hAnsi="Times New Roman"/>
          <w:i/>
          <w:iCs/>
          <w:color w:val="5A6070"/>
          <w:sz w:val="20"/>
          <w:szCs w:val="20"/>
          <w:highlight w:val="yellow"/>
        </w:rPr>
        <w:t xml:space="preserve">[10]</w:t>
      </w:r>
      <w:r>
        <w:rPr>
          <w:rFonts w:ascii="Times New Roman" w:cs="Times New Roman" w:eastAsia="Times New Roman" w:hAnsi="Times New Roman"/>
          <w:color w:val="1A1A2A"/>
          <w:sz w:val="20"/>
          <w:szCs w:val="20"/>
        </w:rPr>
        <w:t xml:space="preserve"> business days' prior written notice, Client may audit such records related to disputed invoices, during normal business hours, through an independent auditor reasonably acceptable to Consultant, subject to confidentiality. Client bears audit costs unless the audit shows an overcharge of more than </w:t>
      </w:r>
      <w:r>
        <w:rPr>
          <w:rFonts w:ascii="Times New Roman" w:cs="Times New Roman" w:eastAsia="Times New Roman" w:hAnsi="Times New Roman"/>
          <w:i/>
          <w:iCs/>
          <w:color w:val="5A6070"/>
          <w:sz w:val="20"/>
          <w:szCs w:val="20"/>
          <w:highlight w:val="yellow"/>
        </w:rPr>
        <w:t xml:space="preserve">[5%]</w:t>
      </w:r>
      <w:r>
        <w:rPr>
          <w:rFonts w:ascii="Times New Roman" w:cs="Times New Roman" w:eastAsia="Times New Roman" w:hAnsi="Times New Roman"/>
          <w:color w:val="1A1A2A"/>
          <w:sz w:val="20"/>
          <w:szCs w:val="20"/>
        </w:rPr>
        <w:t xml:space="preserve"> for the period audited, in which case Consultant will reimburse reasonable audit costs and promptly refund the overcharge.</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8.  Confidentiality</w:t>
      </w:r>
    </w:p>
    <w:p>
      <w:pPr>
        <w:pStyle w:val="Heading2"/>
        <w:spacing w:before="200" w:after="80"/>
      </w:pPr>
      <w:r>
        <w:rPr>
          <w:rFonts w:ascii="Times New Roman" w:cs="Times New Roman" w:eastAsia="Times New Roman" w:hAnsi="Times New Roman"/>
          <w:b/>
          <w:bCs/>
          <w:color w:val="1B2A5E"/>
          <w:sz w:val="22"/>
          <w:szCs w:val="22"/>
        </w:rPr>
        <w:t xml:space="preserve">8.1  Confidential Information</w:t>
      </w:r>
    </w:p>
    <w:p>
      <w:pPr>
        <w:spacing w:before="60" w:after="100"/>
        <w:jc w:val="both"/>
      </w:pPr>
      <w:r>
        <w:rPr>
          <w:rFonts w:ascii="Times New Roman" w:cs="Times New Roman" w:eastAsia="Times New Roman" w:hAnsi="Times New Roman"/>
          <w:color w:val="1A1A2A"/>
          <w:sz w:val="20"/>
          <w:szCs w:val="20"/>
        </w:rPr>
        <w:t xml:space="preserve">"</w:t>
      </w:r>
      <w:r>
        <w:rPr>
          <w:rFonts w:ascii="Times New Roman" w:cs="Times New Roman" w:eastAsia="Times New Roman" w:hAnsi="Times New Roman"/>
          <w:b/>
          <w:bCs/>
          <w:color w:val="1A1A2A"/>
          <w:sz w:val="20"/>
          <w:szCs w:val="20"/>
        </w:rPr>
        <w:t xml:space="preserve">Confidential Information</w:t>
      </w:r>
      <w:r>
        <w:rPr>
          <w:rFonts w:ascii="Times New Roman" w:cs="Times New Roman" w:eastAsia="Times New Roman" w:hAnsi="Times New Roman"/>
          <w:color w:val="1A1A2A"/>
          <w:sz w:val="20"/>
          <w:szCs w:val="20"/>
        </w:rPr>
        <w:t xml:space="preserve">" means non-public information disclosed by a Party ("</w:t>
      </w:r>
      <w:r>
        <w:rPr>
          <w:rFonts w:ascii="Times New Roman" w:cs="Times New Roman" w:eastAsia="Times New Roman" w:hAnsi="Times New Roman"/>
          <w:b/>
          <w:bCs/>
          <w:color w:val="1A1A2A"/>
          <w:sz w:val="20"/>
          <w:szCs w:val="20"/>
        </w:rPr>
        <w:t xml:space="preserve">Disclosing Party</w:t>
      </w:r>
      <w:r>
        <w:rPr>
          <w:rFonts w:ascii="Times New Roman" w:cs="Times New Roman" w:eastAsia="Times New Roman" w:hAnsi="Times New Roman"/>
          <w:color w:val="1A1A2A"/>
          <w:sz w:val="20"/>
          <w:szCs w:val="20"/>
        </w:rPr>
        <w:t xml:space="preserve">") to the other Party ("</w:t>
      </w:r>
      <w:r>
        <w:rPr>
          <w:rFonts w:ascii="Times New Roman" w:cs="Times New Roman" w:eastAsia="Times New Roman" w:hAnsi="Times New Roman"/>
          <w:b/>
          <w:bCs/>
          <w:color w:val="1A1A2A"/>
          <w:sz w:val="20"/>
          <w:szCs w:val="20"/>
        </w:rPr>
        <w:t xml:space="preserve">Receiving Party</w:t>
      </w:r>
      <w:r>
        <w:rPr>
          <w:rFonts w:ascii="Times New Roman" w:cs="Times New Roman" w:eastAsia="Times New Roman" w:hAnsi="Times New Roman"/>
          <w:color w:val="1A1A2A"/>
          <w:sz w:val="20"/>
          <w:szCs w:val="20"/>
        </w:rPr>
        <w:t xml:space="preserve">") that is designated confidential or reasonably should be understood to be confidential, including technical, commercial, financial, operational, geologic/geophysical, reservoir, production, pricing, deal, vendor, and security information.</w:t>
      </w:r>
    </w:p>
    <w:p>
      <w:pPr>
        <w:pStyle w:val="Heading2"/>
        <w:spacing w:before="200" w:after="80"/>
      </w:pPr>
      <w:r>
        <w:rPr>
          <w:rFonts w:ascii="Times New Roman" w:cs="Times New Roman" w:eastAsia="Times New Roman" w:hAnsi="Times New Roman"/>
          <w:b/>
          <w:bCs/>
          <w:color w:val="1B2A5E"/>
          <w:sz w:val="22"/>
          <w:szCs w:val="22"/>
        </w:rPr>
        <w:t xml:space="preserve">8.2  Exclusions</w:t>
      </w:r>
    </w:p>
    <w:p>
      <w:pPr>
        <w:spacing w:before="60" w:after="100"/>
        <w:jc w:val="both"/>
      </w:pPr>
      <w:r>
        <w:rPr>
          <w:rFonts w:ascii="Times New Roman" w:cs="Times New Roman" w:eastAsia="Times New Roman" w:hAnsi="Times New Roman"/>
          <w:color w:val="1A1A2A"/>
          <w:sz w:val="20"/>
          <w:szCs w:val="20"/>
        </w:rPr>
        <w:t xml:space="preserve">Confidential Information does not include information that the Receiving Party can demonstrate (a) is or becomes public through no breach; (b) was known without restriction before disclosure; (c) is received from a third party without breach; or (d) is independently developed without use of the Disclosing Party's Confidential Information.</w:t>
      </w:r>
    </w:p>
    <w:p>
      <w:pPr>
        <w:pStyle w:val="Heading2"/>
        <w:spacing w:before="200" w:after="80"/>
      </w:pPr>
      <w:r>
        <w:rPr>
          <w:rFonts w:ascii="Times New Roman" w:cs="Times New Roman" w:eastAsia="Times New Roman" w:hAnsi="Times New Roman"/>
          <w:b/>
          <w:bCs/>
          <w:color w:val="1B2A5E"/>
          <w:sz w:val="22"/>
          <w:szCs w:val="22"/>
        </w:rPr>
        <w:t xml:space="preserve">8.3  Protection; Use Limits</w:t>
      </w:r>
    </w:p>
    <w:p>
      <w:pPr>
        <w:spacing w:before="60" w:after="100"/>
        <w:jc w:val="both"/>
      </w:pPr>
      <w:r>
        <w:rPr>
          <w:rFonts w:ascii="Times New Roman" w:cs="Times New Roman" w:eastAsia="Times New Roman" w:hAnsi="Times New Roman"/>
          <w:color w:val="1A1A2A"/>
          <w:sz w:val="20"/>
          <w:szCs w:val="20"/>
        </w:rPr>
        <w:t xml:space="preserve">The Receiving Party will (a) use Confidential Information only to perform or receive Services under this Agreement, (b) protect it using at least reasonable care, and (c) disclose it only to employees, contractors, Affiliates, and advisors with a need to know who are bound by confidentiality obligations at least as protective as this Agreement.</w:t>
      </w:r>
    </w:p>
    <w:p>
      <w:pPr>
        <w:pStyle w:val="Heading2"/>
        <w:spacing w:before="200" w:after="80"/>
      </w:pPr>
      <w:r>
        <w:rPr>
          <w:rFonts w:ascii="Times New Roman" w:cs="Times New Roman" w:eastAsia="Times New Roman" w:hAnsi="Times New Roman"/>
          <w:b/>
          <w:bCs/>
          <w:color w:val="1B2A5E"/>
          <w:sz w:val="22"/>
          <w:szCs w:val="22"/>
        </w:rPr>
        <w:t xml:space="preserve">8.4  Compelled Disclosure</w:t>
      </w:r>
    </w:p>
    <w:p>
      <w:pPr>
        <w:spacing w:before="60" w:after="100"/>
        <w:jc w:val="both"/>
      </w:pPr>
      <w:r>
        <w:rPr>
          <w:rFonts w:ascii="Times New Roman" w:cs="Times New Roman" w:eastAsia="Times New Roman" w:hAnsi="Times New Roman"/>
          <w:color w:val="1A1A2A"/>
          <w:sz w:val="20"/>
          <w:szCs w:val="20"/>
        </w:rPr>
        <w:t xml:space="preserve">If compelled by law, the Receiving Party will (to the extent legally permitted) provide prompt notice and cooperate in seeking protective treatment, and will disclose only what is required.</w:t>
      </w:r>
    </w:p>
    <w:p>
      <w:pPr>
        <w:pStyle w:val="Heading2"/>
        <w:spacing w:before="200" w:after="80"/>
      </w:pPr>
      <w:r>
        <w:rPr>
          <w:rFonts w:ascii="Times New Roman" w:cs="Times New Roman" w:eastAsia="Times New Roman" w:hAnsi="Times New Roman"/>
          <w:b/>
          <w:bCs/>
          <w:color w:val="1B2A5E"/>
          <w:sz w:val="22"/>
          <w:szCs w:val="22"/>
        </w:rPr>
        <w:t xml:space="preserve">8.5  No Publicity</w:t>
      </w:r>
    </w:p>
    <w:p>
      <w:pPr>
        <w:spacing w:before="60" w:after="100"/>
        <w:jc w:val="both"/>
      </w:pPr>
      <w:r>
        <w:rPr>
          <w:rFonts w:ascii="Times New Roman" w:cs="Times New Roman" w:eastAsia="Times New Roman" w:hAnsi="Times New Roman"/>
          <w:color w:val="1A1A2A"/>
          <w:sz w:val="20"/>
          <w:szCs w:val="20"/>
        </w:rPr>
        <w:t xml:space="preserve">Neither Party may issue a press release about this Agreement without the other Party's prior written consent.</w:t>
      </w:r>
    </w:p>
    <w:p>
      <w:pPr>
        <w:pStyle w:val="Heading2"/>
        <w:spacing w:before="200" w:after="80"/>
      </w:pPr>
      <w:r>
        <w:rPr>
          <w:rFonts w:ascii="Times New Roman" w:cs="Times New Roman" w:eastAsia="Times New Roman" w:hAnsi="Times New Roman"/>
          <w:b/>
          <w:bCs/>
          <w:color w:val="1B2A5E"/>
          <w:sz w:val="22"/>
          <w:szCs w:val="22"/>
        </w:rPr>
        <w:t xml:space="preserve">8.6  Injunctive Relief</w:t>
      </w:r>
    </w:p>
    <w:p>
      <w:pPr>
        <w:spacing w:before="60" w:after="100"/>
        <w:jc w:val="both"/>
      </w:pPr>
      <w:r>
        <w:rPr>
          <w:rFonts w:ascii="Times New Roman" w:cs="Times New Roman" w:eastAsia="Times New Roman" w:hAnsi="Times New Roman"/>
          <w:color w:val="1A1A2A"/>
          <w:sz w:val="20"/>
          <w:szCs w:val="20"/>
        </w:rPr>
        <w:t xml:space="preserve">Unauthorized use or disclosure may cause irreparable harm. The Disclosing Party may seek injunctive relief in addition to other remedies.</w:t>
      </w:r>
    </w:p>
    <w:p>
      <w:pPr>
        <w:pStyle w:val="Heading2"/>
        <w:spacing w:before="200" w:after="80"/>
      </w:pPr>
      <w:r>
        <w:rPr>
          <w:rFonts w:ascii="Times New Roman" w:cs="Times New Roman" w:eastAsia="Times New Roman" w:hAnsi="Times New Roman"/>
          <w:b/>
          <w:bCs/>
          <w:color w:val="1B2A5E"/>
          <w:sz w:val="22"/>
          <w:szCs w:val="22"/>
        </w:rPr>
        <w:t xml:space="preserve">8.7  Permitted Retention</w:t>
      </w:r>
    </w:p>
    <w:p>
      <w:pPr>
        <w:spacing w:before="60" w:after="100"/>
        <w:jc w:val="both"/>
      </w:pPr>
      <w:r>
        <w:rPr>
          <w:rFonts w:ascii="Times New Roman" w:cs="Times New Roman" w:eastAsia="Times New Roman" w:hAnsi="Times New Roman"/>
          <w:color w:val="1A1A2A"/>
          <w:sz w:val="20"/>
          <w:szCs w:val="20"/>
        </w:rPr>
        <w:t xml:space="preserve">The Receiving Party may retain Confidential Information as required by law or bona fide internal compliance policies, provided it continues to protect retained Confidential Information.</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9.  HSE; Site Access; Compliance with Rules</w:t>
      </w:r>
    </w:p>
    <w:p>
      <w:pPr>
        <w:pStyle w:val="Heading2"/>
        <w:spacing w:before="200" w:after="80"/>
      </w:pPr>
      <w:r>
        <w:rPr>
          <w:rFonts w:ascii="Times New Roman" w:cs="Times New Roman" w:eastAsia="Times New Roman" w:hAnsi="Times New Roman"/>
          <w:b/>
          <w:bCs/>
          <w:color w:val="1B2A5E"/>
          <w:sz w:val="22"/>
          <w:szCs w:val="22"/>
        </w:rPr>
        <w:t xml:space="preserve">9.1  Site Rules</w:t>
      </w:r>
    </w:p>
    <w:p>
      <w:pPr>
        <w:spacing w:before="60" w:after="100"/>
        <w:jc w:val="both"/>
      </w:pPr>
      <w:r>
        <w:rPr>
          <w:rFonts w:ascii="Times New Roman" w:cs="Times New Roman" w:eastAsia="Times New Roman" w:hAnsi="Times New Roman"/>
          <w:color w:val="1A1A2A"/>
          <w:sz w:val="20"/>
          <w:szCs w:val="20"/>
        </w:rPr>
        <w:t xml:space="preserve">If Services are performed at a Client or third-party site, Client will provide Consultant with applicable health, safety, environmental, and security policies reasonably in advance. Consultant will comply with those policies while onsite, provided they are not inconsistent with applicable law.</w:t>
      </w:r>
    </w:p>
    <w:p>
      <w:pPr>
        <w:pStyle w:val="Heading2"/>
        <w:spacing w:before="200" w:after="80"/>
      </w:pPr>
      <w:r>
        <w:rPr>
          <w:rFonts w:ascii="Times New Roman" w:cs="Times New Roman" w:eastAsia="Times New Roman" w:hAnsi="Times New Roman"/>
          <w:b/>
          <w:bCs/>
          <w:color w:val="1B2A5E"/>
          <w:sz w:val="22"/>
          <w:szCs w:val="22"/>
        </w:rPr>
        <w:t xml:space="preserve">9.2  Stop Work for Safety</w:t>
      </w:r>
    </w:p>
    <w:p>
      <w:pPr>
        <w:spacing w:before="60" w:after="100"/>
        <w:jc w:val="both"/>
      </w:pPr>
      <w:r>
        <w:rPr>
          <w:rFonts w:ascii="Times New Roman" w:cs="Times New Roman" w:eastAsia="Times New Roman" w:hAnsi="Times New Roman"/>
          <w:color w:val="1A1A2A"/>
          <w:sz w:val="20"/>
          <w:szCs w:val="20"/>
        </w:rPr>
        <w:t xml:space="preserve">Consultant may stop work if Consultant reasonably believes conditions are unsafe or noncompliant, and will promptly notify Client. The Parties will coordinate in good faith to resume work when safe.</w:t>
      </w:r>
    </w:p>
    <w:p>
      <w:pPr>
        <w:pStyle w:val="Heading2"/>
        <w:spacing w:before="200" w:after="80"/>
      </w:pPr>
      <w:r>
        <w:rPr>
          <w:rFonts w:ascii="Times New Roman" w:cs="Times New Roman" w:eastAsia="Times New Roman" w:hAnsi="Times New Roman"/>
          <w:b/>
          <w:bCs/>
          <w:color w:val="1B2A5E"/>
          <w:sz w:val="22"/>
          <w:szCs w:val="22"/>
        </w:rPr>
        <w:t xml:space="preserve">9.3  Client-Controlled Operations</w:t>
      </w:r>
    </w:p>
    <w:p>
      <w:pPr>
        <w:spacing w:before="60" w:after="100"/>
        <w:jc w:val="both"/>
      </w:pPr>
      <w:r>
        <w:rPr>
          <w:rFonts w:ascii="Times New Roman" w:cs="Times New Roman" w:eastAsia="Times New Roman" w:hAnsi="Times New Roman"/>
          <w:color w:val="1A1A2A"/>
          <w:sz w:val="20"/>
          <w:szCs w:val="20"/>
        </w:rPr>
        <w:t xml:space="preserve">Client is solely responsible for control of any drilling, completion, production, construction, or field operations and for the means and methods of such operations. Consultant's Services are advisory and do not include operational control unless an SOW expressly states otherwise.</w:t>
      </w:r>
    </w:p>
    <w:p>
      <w:pPr>
        <w:pStyle w:val="Heading2"/>
        <w:spacing w:before="200" w:after="80"/>
      </w:pPr>
      <w:r>
        <w:rPr>
          <w:rFonts w:ascii="Times New Roman" w:cs="Times New Roman" w:eastAsia="Times New Roman" w:hAnsi="Times New Roman"/>
          <w:b/>
          <w:bCs/>
          <w:color w:val="1B2A5E"/>
          <w:sz w:val="22"/>
          <w:szCs w:val="22"/>
        </w:rPr>
        <w:t xml:space="preserve">9.4  Access; Permits</w:t>
      </w:r>
    </w:p>
    <w:p>
      <w:pPr>
        <w:spacing w:before="60" w:after="100"/>
        <w:jc w:val="both"/>
      </w:pPr>
      <w:r>
        <w:rPr>
          <w:rFonts w:ascii="Times New Roman" w:cs="Times New Roman" w:eastAsia="Times New Roman" w:hAnsi="Times New Roman"/>
          <w:color w:val="1A1A2A"/>
          <w:sz w:val="20"/>
          <w:szCs w:val="20"/>
        </w:rPr>
        <w:t xml:space="preserve">Client is responsible for obtaining site access approvals and permits necessary for Consultant to perform onsite Services, unless an SOW states otherwise.</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10.  Warranties; Disclaimers; Reliance</w:t>
      </w:r>
    </w:p>
    <w:p>
      <w:pPr>
        <w:pStyle w:val="Heading2"/>
        <w:spacing w:before="200" w:after="80"/>
      </w:pPr>
      <w:r>
        <w:rPr>
          <w:rFonts w:ascii="Times New Roman" w:cs="Times New Roman" w:eastAsia="Times New Roman" w:hAnsi="Times New Roman"/>
          <w:b/>
          <w:bCs/>
          <w:color w:val="1B2A5E"/>
          <w:sz w:val="22"/>
          <w:szCs w:val="22"/>
        </w:rPr>
        <w:t xml:space="preserve">10.1  Services Warranty</w:t>
      </w:r>
    </w:p>
    <w:p>
      <w:pPr>
        <w:spacing w:before="60" w:after="100"/>
        <w:jc w:val="both"/>
      </w:pPr>
      <w:r>
        <w:rPr>
          <w:rFonts w:ascii="Times New Roman" w:cs="Times New Roman" w:eastAsia="Times New Roman" w:hAnsi="Times New Roman"/>
          <w:color w:val="1A1A2A"/>
          <w:sz w:val="20"/>
          <w:szCs w:val="20"/>
        </w:rPr>
        <w:t xml:space="preserve">Consultant warrants that it will perform Services in accordance with Section 3.1.</w:t>
      </w:r>
    </w:p>
    <w:p>
      <w:pPr>
        <w:pStyle w:val="Heading2"/>
        <w:spacing w:before="200" w:after="80"/>
      </w:pPr>
      <w:r>
        <w:rPr>
          <w:rFonts w:ascii="Times New Roman" w:cs="Times New Roman" w:eastAsia="Times New Roman" w:hAnsi="Times New Roman"/>
          <w:b/>
          <w:bCs/>
          <w:color w:val="1B2A5E"/>
          <w:sz w:val="22"/>
          <w:szCs w:val="22"/>
        </w:rPr>
        <w:t xml:space="preserve">10.2  Deliverable Warranty (Limited)</w:t>
      </w:r>
    </w:p>
    <w:p>
      <w:pPr>
        <w:spacing w:before="60" w:after="100"/>
        <w:jc w:val="both"/>
      </w:pPr>
      <w:r>
        <w:rPr>
          <w:rFonts w:ascii="Times New Roman" w:cs="Times New Roman" w:eastAsia="Times New Roman" w:hAnsi="Times New Roman"/>
          <w:color w:val="1A1A2A"/>
          <w:sz w:val="20"/>
          <w:szCs w:val="20"/>
        </w:rPr>
        <w:t xml:space="preserve">If an SOW includes Work Product, Consultant warrants for </w:t>
      </w:r>
      <w:r>
        <w:rPr>
          <w:rFonts w:ascii="Times New Roman" w:cs="Times New Roman" w:eastAsia="Times New Roman" w:hAnsi="Times New Roman"/>
          <w:i/>
          <w:iCs/>
          <w:color w:val="5A6070"/>
          <w:sz w:val="20"/>
          <w:szCs w:val="20"/>
          <w:highlight w:val="yellow"/>
        </w:rPr>
        <w:t xml:space="preserve">[30]</w:t>
      </w:r>
      <w:r>
        <w:rPr>
          <w:rFonts w:ascii="Times New Roman" w:cs="Times New Roman" w:eastAsia="Times New Roman" w:hAnsi="Times New Roman"/>
          <w:color w:val="1A1A2A"/>
          <w:sz w:val="20"/>
          <w:szCs w:val="20"/>
        </w:rPr>
        <w:t xml:space="preserve"> days after delivery that the Work Product will materially conform to the acceptance criteria (if any) stated in the SOW. Client must notify Consultant of nonconformance in writing during that period.</w:t>
      </w:r>
    </w:p>
    <w:p>
      <w:pPr>
        <w:pStyle w:val="Heading2"/>
        <w:spacing w:before="200" w:after="80"/>
      </w:pPr>
      <w:r>
        <w:rPr>
          <w:rFonts w:ascii="Times New Roman" w:cs="Times New Roman" w:eastAsia="Times New Roman" w:hAnsi="Times New Roman"/>
          <w:b/>
          <w:bCs/>
          <w:color w:val="1B2A5E"/>
          <w:sz w:val="22"/>
          <w:szCs w:val="22"/>
        </w:rPr>
        <w:t xml:space="preserve">10.3  Remedy</w:t>
      </w:r>
    </w:p>
    <w:p>
      <w:pPr>
        <w:spacing w:before="60" w:after="100"/>
        <w:jc w:val="both"/>
      </w:pPr>
      <w:r>
        <w:rPr>
          <w:rFonts w:ascii="Times New Roman" w:cs="Times New Roman" w:eastAsia="Times New Roman" w:hAnsi="Times New Roman"/>
          <w:color w:val="1A1A2A"/>
          <w:sz w:val="20"/>
          <w:szCs w:val="20"/>
        </w:rPr>
        <w:t xml:space="preserve">Client's exclusive remedy for breach of Sections 10.1 or 10.2 is that Consultant will, at its option, (a) re-perform the nonconforming Services or correct the nonconforming Work Product, or (b) refund the fees paid for the nonconforming portion of Services.</w:t>
      </w:r>
    </w:p>
    <w:p>
      <w:pPr>
        <w:pStyle w:val="Heading2"/>
        <w:spacing w:before="200" w:after="80"/>
      </w:pPr>
      <w:r>
        <w:rPr>
          <w:rFonts w:ascii="Times New Roman" w:cs="Times New Roman" w:eastAsia="Times New Roman" w:hAnsi="Times New Roman"/>
          <w:b/>
          <w:bCs/>
          <w:color w:val="1B2A5E"/>
          <w:sz w:val="22"/>
          <w:szCs w:val="22"/>
        </w:rPr>
        <w:t xml:space="preserve">10.4  Professional Judgment; No Guarantee</w:t>
      </w:r>
    </w:p>
    <w:p>
      <w:pPr>
        <w:spacing w:before="60" w:after="100"/>
        <w:jc w:val="both"/>
      </w:pPr>
      <w:r>
        <w:rPr>
          <w:rFonts w:ascii="Times New Roman" w:cs="Times New Roman" w:eastAsia="Times New Roman" w:hAnsi="Times New Roman"/>
          <w:color w:val="1A1A2A"/>
          <w:sz w:val="20"/>
          <w:szCs w:val="20"/>
        </w:rPr>
        <w:t xml:space="preserve">Client acknowledges that the Services may involve professional judgment and analysis based on incomplete or evolving information. Consultant does not guarantee outcomes, including reserves, production, cost savings, drilling results, economic returns, regulatory outcomes, or transaction outcomes.</w:t>
      </w:r>
    </w:p>
    <w:p>
      <w:pPr>
        <w:pStyle w:val="Heading2"/>
        <w:spacing w:before="200" w:after="80"/>
      </w:pPr>
      <w:r>
        <w:rPr>
          <w:rFonts w:ascii="Times New Roman" w:cs="Times New Roman" w:eastAsia="Times New Roman" w:hAnsi="Times New Roman"/>
          <w:b/>
          <w:bCs/>
          <w:color w:val="1B2A5E"/>
          <w:sz w:val="22"/>
          <w:szCs w:val="22"/>
        </w:rPr>
        <w:t xml:space="preserve">10.5  Reliance on Client Materials</w:t>
      </w:r>
    </w:p>
    <w:p>
      <w:pPr>
        <w:spacing w:before="60" w:after="100"/>
        <w:jc w:val="both"/>
      </w:pPr>
      <w:r>
        <w:rPr>
          <w:rFonts w:ascii="Times New Roman" w:cs="Times New Roman" w:eastAsia="Times New Roman" w:hAnsi="Times New Roman"/>
          <w:color w:val="1A1A2A"/>
          <w:sz w:val="20"/>
          <w:szCs w:val="20"/>
        </w:rPr>
        <w:t xml:space="preserve">Consultant may rely on Client Materials and on information provided by Client's vendors and counterparties. Consultant is not responsible for errors or omissions to the extent caused by inaccurate, incomplete, or untimely information not provided by Consultant.</w:t>
      </w:r>
    </w:p>
    <w:p>
      <w:pPr>
        <w:pStyle w:val="Heading2"/>
        <w:spacing w:before="200" w:after="80"/>
      </w:pPr>
      <w:r>
        <w:rPr>
          <w:rFonts w:ascii="Times New Roman" w:cs="Times New Roman" w:eastAsia="Times New Roman" w:hAnsi="Times New Roman"/>
          <w:b/>
          <w:bCs/>
          <w:color w:val="1B2A5E"/>
          <w:sz w:val="22"/>
          <w:szCs w:val="22"/>
        </w:rPr>
        <w:t xml:space="preserve">10.6  Disclaimer</w:t>
      </w:r>
    </w:p>
    <w:p>
      <w:pPr>
        <w:spacing w:before="60" w:after="100"/>
        <w:jc w:val="both"/>
      </w:pPr>
      <w:r>
        <w:rPr>
          <w:rFonts w:ascii="Times New Roman" w:cs="Times New Roman" w:eastAsia="Times New Roman" w:hAnsi="Times New Roman"/>
          <w:b/>
          <w:bCs/>
          <w:color w:val="1A1A2A"/>
          <w:sz w:val="20"/>
          <w:szCs w:val="20"/>
        </w:rPr>
        <w:t xml:space="preserve">EXCEPT AS EXPRESSLY PROVIDED IN THIS AGREEMENT, EACH PARTY DISCLAIMS ALL WARRANTIES, WHETHER EXPRESS, IMPLIED, OR STATUTORY, INCLUDING IMPLIED WARRANTIES OF MERCHANTABILITY, FITNESS FOR A PARTICULAR PURPOSE, AND NON-INFRINGEMENT.</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11.  Indemnification</w:t>
      </w:r>
    </w:p>
    <w:p>
      <w:pPr>
        <w:pStyle w:val="Heading2"/>
        <w:spacing w:before="200" w:after="80"/>
      </w:pPr>
      <w:r>
        <w:rPr>
          <w:rFonts w:ascii="Times New Roman" w:cs="Times New Roman" w:eastAsia="Times New Roman" w:hAnsi="Times New Roman"/>
          <w:b/>
          <w:bCs/>
          <w:color w:val="1B2A5E"/>
          <w:sz w:val="22"/>
          <w:szCs w:val="22"/>
        </w:rPr>
        <w:t xml:space="preserve">11.1  By Consultant</w:t>
      </w:r>
    </w:p>
    <w:p>
      <w:pPr>
        <w:spacing w:before="60" w:after="100"/>
        <w:jc w:val="both"/>
      </w:pPr>
      <w:r>
        <w:rPr>
          <w:rFonts w:ascii="Times New Roman" w:cs="Times New Roman" w:eastAsia="Times New Roman" w:hAnsi="Times New Roman"/>
          <w:color w:val="1A1A2A"/>
          <w:sz w:val="20"/>
          <w:szCs w:val="20"/>
        </w:rPr>
        <w:t xml:space="preserve">Consultant will defend, indemnify, and hold harmless Client and its Affiliates and their respective directors, officers, employees, and agents from and against third-party claims to the extent arising from (a) bodily injury (including death) or damage to tangible property caused by Consultant's negligence or willful misconduct in performing Services, or (b) Consultant's material breach of Section 8 (Confidentiality).</w:t>
      </w:r>
    </w:p>
    <w:p>
      <w:pPr>
        <w:pStyle w:val="Heading2"/>
        <w:spacing w:before="200" w:after="80"/>
      </w:pPr>
      <w:r>
        <w:rPr>
          <w:rFonts w:ascii="Times New Roman" w:cs="Times New Roman" w:eastAsia="Times New Roman" w:hAnsi="Times New Roman"/>
          <w:b/>
          <w:bCs/>
          <w:color w:val="1B2A5E"/>
          <w:sz w:val="22"/>
          <w:szCs w:val="22"/>
        </w:rPr>
        <w:t xml:space="preserve">11.2  By Client</w:t>
      </w:r>
    </w:p>
    <w:p>
      <w:pPr>
        <w:spacing w:before="60" w:after="100"/>
        <w:jc w:val="both"/>
      </w:pPr>
      <w:r>
        <w:rPr>
          <w:rFonts w:ascii="Times New Roman" w:cs="Times New Roman" w:eastAsia="Times New Roman" w:hAnsi="Times New Roman"/>
          <w:color w:val="1A1A2A"/>
          <w:sz w:val="20"/>
          <w:szCs w:val="20"/>
        </w:rPr>
        <w:t xml:space="preserve">Client will defend, indemnify, and hold harmless Consultant and its Affiliates and their respective directors, officers, employees, and agents from and against third-party claims to the extent arising from (a) bodily injury (including death) or damage to tangible property caused by Client's negligence or willful misconduct, (b) Client Materials (including allegations that Client Materials infringe third-party rights), or (c) Client's use of the Work Product outside the scope of this Agreement.</w:t>
      </w:r>
    </w:p>
    <w:p>
      <w:pPr>
        <w:pStyle w:val="Heading2"/>
        <w:spacing w:before="200" w:after="80"/>
      </w:pPr>
      <w:r>
        <w:rPr>
          <w:rFonts w:ascii="Times New Roman" w:cs="Times New Roman" w:eastAsia="Times New Roman" w:hAnsi="Times New Roman"/>
          <w:b/>
          <w:bCs/>
          <w:color w:val="1B2A5E"/>
          <w:sz w:val="22"/>
          <w:szCs w:val="22"/>
        </w:rPr>
        <w:t xml:space="preserve">11.3  Indemnification — Interpretive Opinions and Consulting Advice</w:t>
      </w:r>
    </w:p>
    <w:p>
      <w:pPr>
        <w:spacing w:before="60" w:after="100"/>
        <w:jc w:val="both"/>
      </w:pPr>
      <w:r>
        <w:rPr>
          <w:rFonts w:ascii="Times New Roman" w:cs="Times New Roman" w:eastAsia="Times New Roman" w:hAnsi="Times New Roman"/>
          <w:color w:val="1A1A2A"/>
          <w:sz w:val="20"/>
          <w:szCs w:val="20"/>
        </w:rPr>
        <w:t xml:space="preserve">Client will defend, indemnify, and hold harmless Consultant and its officers, directors, employees, agents, and representatives from and against any and all claims, damages, losses, liabilities, costs, and expenses (including reasonable attorneys' fees) arising out of or related to Client's (or any third party's) reliance on any interpretive opinion, recommendation, analysis, forecast, estimate, or advisory view provided by Consultant in performing the Services (collectively, "</w:t>
      </w:r>
      <w:r>
        <w:rPr>
          <w:rFonts w:ascii="Times New Roman" w:cs="Times New Roman" w:eastAsia="Times New Roman" w:hAnsi="Times New Roman"/>
          <w:b/>
          <w:bCs/>
          <w:color w:val="1A1A2A"/>
          <w:sz w:val="20"/>
          <w:szCs w:val="20"/>
        </w:rPr>
        <w:t xml:space="preserve">Opinions</w:t>
      </w:r>
      <w:r>
        <w:rPr>
          <w:rFonts w:ascii="Times New Roman" w:cs="Times New Roman" w:eastAsia="Times New Roman" w:hAnsi="Times New Roman"/>
          <w:color w:val="1A1A2A"/>
          <w:sz w:val="20"/>
          <w:szCs w:val="20"/>
        </w:rPr>
        <w:t xml:space="preserve">"). For clarity, Consultant's Opinions reflect professional judgment based on information reasonably available to Consultant at the time provided and do not constitute legal, financial, regulatory, accounting, tax, reserve certification, or professional engineering advice unless expressly stated in an SOW and Consultant is separately licensed (if required) to provide such advice. Client acknowledges that actual outcomes may differ from Consultant's Opinions and that, except as expressly stated in this Agreement, Consultant makes no warranty as to the accuracy, completeness, or fitness for a particular purpose of any Opinion. This Section 11.3 will not apply to the extent a claim results from Consultant's gross negligence or willful misconduct, or from Consultant's breach of Section 8 (Confidentiality).</w:t>
      </w:r>
    </w:p>
    <w:p>
      <w:pPr>
        <w:pStyle w:val="Heading2"/>
        <w:spacing w:before="200" w:after="80"/>
      </w:pPr>
      <w:r>
        <w:rPr>
          <w:rFonts w:ascii="Times New Roman" w:cs="Times New Roman" w:eastAsia="Times New Roman" w:hAnsi="Times New Roman"/>
          <w:b/>
          <w:bCs/>
          <w:color w:val="1B2A5E"/>
          <w:sz w:val="22"/>
          <w:szCs w:val="22"/>
        </w:rPr>
        <w:t xml:space="preserve">11.4  Indemnification Procedure</w:t>
      </w:r>
    </w:p>
    <w:p>
      <w:pPr>
        <w:spacing w:before="60" w:after="100"/>
        <w:jc w:val="both"/>
      </w:pPr>
      <w:r>
        <w:rPr>
          <w:rFonts w:ascii="Times New Roman" w:cs="Times New Roman" w:eastAsia="Times New Roman" w:hAnsi="Times New Roman"/>
          <w:color w:val="1A1A2A"/>
          <w:sz w:val="20"/>
          <w:szCs w:val="20"/>
        </w:rPr>
        <w:t xml:space="preserve">The indemnified Party will (a) promptly notify the indemnifying Party, (b) provide reasonable cooperation at the indemnifying Party's expense, and (c) allow the indemnifying Party to control defense and settlement, except the indemnifying Party may not settle in a way that admits fault or imposes non-monetary obligations on the indemnified Party without prior written consent.</w:t>
      </w:r>
    </w:p>
    <w:p>
      <w:pPr>
        <w:pStyle w:val="Heading2"/>
        <w:spacing w:before="200" w:after="80"/>
      </w:pPr>
      <w:r>
        <w:rPr>
          <w:rFonts w:ascii="Times New Roman" w:cs="Times New Roman" w:eastAsia="Times New Roman" w:hAnsi="Times New Roman"/>
          <w:b/>
          <w:bCs/>
          <w:color w:val="1B2A5E"/>
          <w:sz w:val="22"/>
          <w:szCs w:val="22"/>
        </w:rPr>
        <w:t xml:space="preserve">11.5  Exclusions</w:t>
      </w:r>
    </w:p>
    <w:p>
      <w:pPr>
        <w:spacing w:before="60" w:after="100"/>
        <w:jc w:val="both"/>
      </w:pPr>
      <w:r>
        <w:rPr>
          <w:rFonts w:ascii="Times New Roman" w:cs="Times New Roman" w:eastAsia="Times New Roman" w:hAnsi="Times New Roman"/>
          <w:color w:val="1A1A2A"/>
          <w:sz w:val="20"/>
          <w:szCs w:val="20"/>
        </w:rPr>
        <w:t xml:space="preserve">Indemnity obligations are limited to the extent a claim is caused by the indemnified Party's negligence or willful misconduct.</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12.  Limitation of Liability</w:t>
      </w:r>
    </w:p>
    <w:p>
      <w:pPr>
        <w:pStyle w:val="Heading2"/>
        <w:spacing w:before="200" w:after="80"/>
      </w:pPr>
      <w:r>
        <w:rPr>
          <w:rFonts w:ascii="Times New Roman" w:cs="Times New Roman" w:eastAsia="Times New Roman" w:hAnsi="Times New Roman"/>
          <w:b/>
          <w:bCs/>
          <w:color w:val="1B2A5E"/>
          <w:sz w:val="22"/>
          <w:szCs w:val="22"/>
        </w:rPr>
        <w:t xml:space="preserve">12.1  Exclusion of Certain Damages</w:t>
      </w:r>
    </w:p>
    <w:p>
      <w:pPr>
        <w:spacing w:before="60" w:after="100"/>
        <w:jc w:val="both"/>
      </w:pPr>
      <w:r>
        <w:rPr>
          <w:rFonts w:ascii="Times New Roman" w:cs="Times New Roman" w:eastAsia="Times New Roman" w:hAnsi="Times New Roman"/>
          <w:b/>
          <w:bCs/>
          <w:color w:val="1A1A2A"/>
          <w:sz w:val="20"/>
          <w:szCs w:val="20"/>
        </w:rPr>
        <w:t xml:space="preserve">TO THE MAXIMUM EXTENT PERMITTED BY LAW, NEITHER PARTY WILL BE LIABLE FOR ANY INDIRECT, INCIDENTAL, SPECIAL, CONSEQUENTIAL, OR PUNITIVE DAMAGES, OR FOR LOST PROFITS, LOST REVENUE, LOSS OF BUSINESS, OR BUSINESS INTERRUPTION, ARISING OUT OF OR RELATED TO THIS AGREEMENT, EVEN IF ADVISED OF THE POSSIBILITY.</w:t>
      </w:r>
    </w:p>
    <w:p>
      <w:pPr>
        <w:pStyle w:val="Heading2"/>
        <w:spacing w:before="200" w:after="80"/>
      </w:pPr>
      <w:r>
        <w:rPr>
          <w:rFonts w:ascii="Times New Roman" w:cs="Times New Roman" w:eastAsia="Times New Roman" w:hAnsi="Times New Roman"/>
          <w:b/>
          <w:bCs/>
          <w:color w:val="1B2A5E"/>
          <w:sz w:val="22"/>
          <w:szCs w:val="22"/>
        </w:rPr>
        <w:t xml:space="preserve">12.2  Liability Cap</w:t>
      </w:r>
    </w:p>
    <w:p>
      <w:pPr>
        <w:spacing w:before="60" w:after="100"/>
        <w:jc w:val="both"/>
      </w:pPr>
      <w:r>
        <w:rPr>
          <w:rFonts w:ascii="Times New Roman" w:cs="Times New Roman" w:eastAsia="Times New Roman" w:hAnsi="Times New Roman"/>
          <w:b/>
          <w:bCs/>
          <w:color w:val="1A1A2A"/>
          <w:sz w:val="20"/>
          <w:szCs w:val="20"/>
        </w:rPr>
        <w:t xml:space="preserve">TO THE MAXIMUM EXTENT PERMITTED BY LAW, EACH PARTY'S TOTAL LIABILITY ARISING OUT OF OR RELATED TO THIS AGREEMENT WILL NOT EXCEED THE FEES PAID OR PAYABLE BY CLIENT TO CONSULTANT UNDER THE SOW GIVING RISE TO THE CLAIM DURING THE </w:t>
      </w:r>
      <w:r>
        <w:rPr>
          <w:rFonts w:ascii="Times New Roman" w:cs="Times New Roman" w:eastAsia="Times New Roman" w:hAnsi="Times New Roman"/>
          <w:i/>
          <w:iCs/>
          <w:color w:val="5A6070"/>
          <w:sz w:val="20"/>
          <w:szCs w:val="20"/>
          <w:highlight w:val="yellow"/>
        </w:rPr>
        <w:t xml:space="preserve">[12]</w:t>
      </w:r>
      <w:r>
        <w:rPr>
          <w:rFonts w:ascii="Times New Roman" w:cs="Times New Roman" w:eastAsia="Times New Roman" w:hAnsi="Times New Roman"/>
          <w:b/>
          <w:bCs/>
          <w:color w:val="1A1A2A"/>
          <w:sz w:val="20"/>
          <w:szCs w:val="20"/>
        </w:rPr>
        <w:t xml:space="preserve"> MONTHS BEFORE THE EVENT GIVING RISE TO THE CLAIM.</w:t>
      </w:r>
    </w:p>
    <w:p>
      <w:pPr>
        <w:pStyle w:val="Heading2"/>
        <w:spacing w:before="200" w:after="80"/>
      </w:pPr>
      <w:r>
        <w:rPr>
          <w:rFonts w:ascii="Times New Roman" w:cs="Times New Roman" w:eastAsia="Times New Roman" w:hAnsi="Times New Roman"/>
          <w:b/>
          <w:bCs/>
          <w:color w:val="1B2A5E"/>
          <w:sz w:val="22"/>
          <w:szCs w:val="22"/>
        </w:rPr>
        <w:t xml:space="preserve">12.3  Carve-Outs</w:t>
      </w:r>
    </w:p>
    <w:p>
      <w:pPr>
        <w:spacing w:before="60" w:after="100"/>
        <w:jc w:val="both"/>
      </w:pPr>
      <w:r>
        <w:rPr>
          <w:rFonts w:ascii="Times New Roman" w:cs="Times New Roman" w:eastAsia="Times New Roman" w:hAnsi="Times New Roman"/>
          <w:color w:val="1A1A2A"/>
          <w:sz w:val="20"/>
          <w:szCs w:val="20"/>
        </w:rPr>
        <w:t xml:space="preserve">Sections 12.1 and 12.2 do not limit liability for (a) a Party's fraud or willful misconduct, (b) death or bodily injury caused by a Party's negligence, or (c) Client's payment obligations.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13.  Insurance</w:t>
      </w:r>
    </w:p>
    <w:p>
      <w:pPr>
        <w:pStyle w:val="Heading2"/>
        <w:spacing w:before="200" w:after="80"/>
      </w:pPr>
      <w:r>
        <w:rPr>
          <w:rFonts w:ascii="Times New Roman" w:cs="Times New Roman" w:eastAsia="Times New Roman" w:hAnsi="Times New Roman"/>
          <w:b/>
          <w:bCs/>
          <w:color w:val="1B2A5E"/>
          <w:sz w:val="22"/>
          <w:szCs w:val="22"/>
        </w:rPr>
        <w:t xml:space="preserve">13.1  Consultant Insurance</w:t>
      </w:r>
    </w:p>
    <w:p>
      <w:pPr>
        <w:spacing w:before="60" w:after="100"/>
        <w:jc w:val="both"/>
      </w:pPr>
      <w:r>
        <w:rPr>
          <w:rFonts w:ascii="Times New Roman" w:cs="Times New Roman" w:eastAsia="Times New Roman" w:hAnsi="Times New Roman"/>
          <w:color w:val="1A1A2A"/>
          <w:sz w:val="20"/>
          <w:szCs w:val="20"/>
        </w:rPr>
        <w:t xml:space="preserve">Consultant will maintain during performance of Services: (a) workers' compensation as required by law; (b) commercial general liability with limits not less than </w:t>
      </w:r>
      <w:r>
        <w:rPr>
          <w:rFonts w:ascii="Times New Roman" w:cs="Times New Roman" w:eastAsia="Times New Roman" w:hAnsi="Times New Roman"/>
          <w:i/>
          <w:iCs/>
          <w:color w:val="5A6070"/>
          <w:sz w:val="20"/>
          <w:szCs w:val="20"/>
          <w:highlight w:val="yellow"/>
        </w:rPr>
        <w:t xml:space="preserve">[$1,000,000 per occurrence / $2,000,000 aggregate]</w:t>
      </w:r>
      <w:r>
        <w:rPr>
          <w:rFonts w:ascii="Times New Roman" w:cs="Times New Roman" w:eastAsia="Times New Roman" w:hAnsi="Times New Roman"/>
          <w:color w:val="1A1A2A"/>
          <w:sz w:val="20"/>
          <w:szCs w:val="20"/>
        </w:rPr>
        <w:t xml:space="preserve">; and (c) automobile liability (owned/non-owned) if vehicles are used in providing onsite Services with limits not less than </w:t>
      </w:r>
      <w:r>
        <w:rPr>
          <w:rFonts w:ascii="Times New Roman" w:cs="Times New Roman" w:eastAsia="Times New Roman" w:hAnsi="Times New Roman"/>
          <w:i/>
          <w:iCs/>
          <w:color w:val="5A6070"/>
          <w:sz w:val="20"/>
          <w:szCs w:val="20"/>
          <w:highlight w:val="yellow"/>
        </w:rPr>
        <w:t xml:space="preserve">[$1,000,000 combined single limit]</w:t>
      </w:r>
      <w:r>
        <w:rPr>
          <w:rFonts w:ascii="Times New Roman" w:cs="Times New Roman" w:eastAsia="Times New Roman" w:hAnsi="Times New Roman"/>
          <w:color w:val="1A1A2A"/>
          <w:sz w:val="20"/>
          <w:szCs w:val="20"/>
        </w:rPr>
        <w:t xml:space="preserve">.</w:t>
      </w:r>
    </w:p>
    <w:p>
      <w:pPr>
        <w:pStyle w:val="Heading2"/>
        <w:spacing w:before="200" w:after="80"/>
      </w:pPr>
      <w:r>
        <w:rPr>
          <w:rFonts w:ascii="Times New Roman" w:cs="Times New Roman" w:eastAsia="Times New Roman" w:hAnsi="Times New Roman"/>
          <w:b/>
          <w:bCs/>
          <w:color w:val="1B2A5E"/>
          <w:sz w:val="22"/>
          <w:szCs w:val="22"/>
        </w:rPr>
        <w:t xml:space="preserve">13.2  Client Insurance</w:t>
      </w:r>
    </w:p>
    <w:p>
      <w:pPr>
        <w:spacing w:before="60" w:after="100"/>
        <w:jc w:val="both"/>
      </w:pPr>
      <w:r>
        <w:rPr>
          <w:rFonts w:ascii="Times New Roman" w:cs="Times New Roman" w:eastAsia="Times New Roman" w:hAnsi="Times New Roman"/>
          <w:color w:val="1A1A2A"/>
          <w:sz w:val="20"/>
          <w:szCs w:val="20"/>
        </w:rPr>
        <w:t xml:space="preserve">Client will maintain commercially reasonable insurance for its operations, including coverage customarily carried for oil &amp; gas field operations if Services are performed at field locations.</w:t>
      </w:r>
    </w:p>
    <w:p>
      <w:pPr>
        <w:pStyle w:val="Heading2"/>
        <w:spacing w:before="200" w:after="80"/>
      </w:pPr>
      <w:r>
        <w:rPr>
          <w:rFonts w:ascii="Times New Roman" w:cs="Times New Roman" w:eastAsia="Times New Roman" w:hAnsi="Times New Roman"/>
          <w:b/>
          <w:bCs/>
          <w:color w:val="1B2A5E"/>
          <w:sz w:val="22"/>
          <w:szCs w:val="22"/>
        </w:rPr>
        <w:t xml:space="preserve">13.3  Certificates</w:t>
      </w:r>
    </w:p>
    <w:p>
      <w:pPr>
        <w:spacing w:before="60" w:after="100"/>
        <w:jc w:val="both"/>
      </w:pPr>
      <w:r>
        <w:rPr>
          <w:rFonts w:ascii="Times New Roman" w:cs="Times New Roman" w:eastAsia="Times New Roman" w:hAnsi="Times New Roman"/>
          <w:color w:val="1A1A2A"/>
          <w:sz w:val="20"/>
          <w:szCs w:val="20"/>
        </w:rPr>
        <w:t xml:space="preserve">Upon request, a Party will provide certificates of insurance.</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14.  Disputes; Governing Law; Venue</w:t>
      </w:r>
    </w:p>
    <w:p>
      <w:pPr>
        <w:pStyle w:val="Heading2"/>
        <w:spacing w:before="200" w:after="80"/>
      </w:pPr>
      <w:r>
        <w:rPr>
          <w:rFonts w:ascii="Times New Roman" w:cs="Times New Roman" w:eastAsia="Times New Roman" w:hAnsi="Times New Roman"/>
          <w:b/>
          <w:bCs/>
          <w:color w:val="1B2A5E"/>
          <w:sz w:val="22"/>
          <w:szCs w:val="22"/>
        </w:rPr>
        <w:t xml:space="preserve">14.1  Escalation</w:t>
      </w:r>
    </w:p>
    <w:p>
      <w:pPr>
        <w:spacing w:before="60" w:after="100"/>
        <w:jc w:val="both"/>
      </w:pPr>
      <w:r>
        <w:rPr>
          <w:rFonts w:ascii="Times New Roman" w:cs="Times New Roman" w:eastAsia="Times New Roman" w:hAnsi="Times New Roman"/>
          <w:color w:val="1A1A2A"/>
          <w:sz w:val="20"/>
          <w:szCs w:val="20"/>
        </w:rPr>
        <w:t xml:space="preserve">The Parties will attempt in good faith to resolve disputes through escalation to senior management before filing suit.</w:t>
      </w:r>
    </w:p>
    <w:p>
      <w:pPr>
        <w:pStyle w:val="Heading2"/>
        <w:spacing w:before="200" w:after="80"/>
      </w:pPr>
      <w:r>
        <w:rPr>
          <w:rFonts w:ascii="Times New Roman" w:cs="Times New Roman" w:eastAsia="Times New Roman" w:hAnsi="Times New Roman"/>
          <w:b/>
          <w:bCs/>
          <w:color w:val="1B2A5E"/>
          <w:sz w:val="22"/>
          <w:szCs w:val="22"/>
        </w:rPr>
        <w:t xml:space="preserve">14.2  Governing Law</w:t>
      </w:r>
    </w:p>
    <w:p>
      <w:pPr>
        <w:spacing w:before="60" w:after="100"/>
        <w:jc w:val="both"/>
      </w:pPr>
      <w:r>
        <w:rPr>
          <w:rFonts w:ascii="Times New Roman" w:cs="Times New Roman" w:eastAsia="Times New Roman" w:hAnsi="Times New Roman"/>
          <w:color w:val="1A1A2A"/>
          <w:sz w:val="20"/>
          <w:szCs w:val="20"/>
        </w:rPr>
        <w:t xml:space="preserve">This Agreement is governed by the laws of </w:t>
      </w:r>
      <w:r>
        <w:rPr>
          <w:rFonts w:ascii="Times New Roman" w:cs="Times New Roman" w:eastAsia="Times New Roman" w:hAnsi="Times New Roman"/>
          <w:i/>
          <w:iCs/>
          <w:color w:val="5A6070"/>
          <w:sz w:val="20"/>
          <w:szCs w:val="20"/>
          <w:highlight w:val="yellow"/>
        </w:rPr>
        <w:t xml:space="preserve">[STATE]</w:t>
      </w:r>
      <w:r>
        <w:rPr>
          <w:rFonts w:ascii="Times New Roman" w:cs="Times New Roman" w:eastAsia="Times New Roman" w:hAnsi="Times New Roman"/>
          <w:color w:val="1A1A2A"/>
          <w:sz w:val="20"/>
          <w:szCs w:val="20"/>
        </w:rPr>
        <w:t xml:space="preserve">, without regard to conflict of laws principles.</w:t>
      </w:r>
    </w:p>
    <w:p>
      <w:pPr>
        <w:pStyle w:val="Heading2"/>
        <w:spacing w:before="200" w:after="80"/>
      </w:pPr>
      <w:r>
        <w:rPr>
          <w:rFonts w:ascii="Times New Roman" w:cs="Times New Roman" w:eastAsia="Times New Roman" w:hAnsi="Times New Roman"/>
          <w:b/>
          <w:bCs/>
          <w:color w:val="1B2A5E"/>
          <w:sz w:val="22"/>
          <w:szCs w:val="22"/>
        </w:rPr>
        <w:t xml:space="preserve">14.3  Venue</w:t>
      </w:r>
    </w:p>
    <w:p>
      <w:pPr>
        <w:spacing w:before="60" w:after="100"/>
        <w:jc w:val="both"/>
      </w:pPr>
      <w:r>
        <w:rPr>
          <w:rFonts w:ascii="Times New Roman" w:cs="Times New Roman" w:eastAsia="Times New Roman" w:hAnsi="Times New Roman"/>
          <w:color w:val="1A1A2A"/>
          <w:sz w:val="20"/>
          <w:szCs w:val="20"/>
        </w:rPr>
        <w:t xml:space="preserve">Subject to Section 14.1, the state and federal courts located in </w:t>
      </w:r>
      <w:r>
        <w:rPr>
          <w:rFonts w:ascii="Times New Roman" w:cs="Times New Roman" w:eastAsia="Times New Roman" w:hAnsi="Times New Roman"/>
          <w:i/>
          <w:iCs/>
          <w:color w:val="5A6070"/>
          <w:sz w:val="20"/>
          <w:szCs w:val="20"/>
          <w:highlight w:val="yellow"/>
        </w:rPr>
        <w:t xml:space="preserve">[CITY, STATE]</w:t>
      </w:r>
      <w:r>
        <w:rPr>
          <w:rFonts w:ascii="Times New Roman" w:cs="Times New Roman" w:eastAsia="Times New Roman" w:hAnsi="Times New Roman"/>
          <w:color w:val="1A1A2A"/>
          <w:sz w:val="20"/>
          <w:szCs w:val="20"/>
        </w:rPr>
        <w:t xml:space="preserve"> will have exclusive jurisdiction, and each Party consents to venue and personal jurisdiction there.</w:t>
      </w:r>
    </w:p>
    <w:p>
      <w:pPr>
        <w:pStyle w:val="Heading2"/>
        <w:spacing w:before="200" w:after="80"/>
      </w:pPr>
      <w:r>
        <w:rPr>
          <w:rFonts w:ascii="Times New Roman" w:cs="Times New Roman" w:eastAsia="Times New Roman" w:hAnsi="Times New Roman"/>
          <w:b/>
          <w:bCs/>
          <w:color w:val="1B2A5E"/>
          <w:sz w:val="22"/>
          <w:szCs w:val="22"/>
        </w:rPr>
        <w:t xml:space="preserve">14.4  Injunctive Relief</w:t>
      </w:r>
    </w:p>
    <w:p>
      <w:pPr>
        <w:spacing w:before="60" w:after="100"/>
        <w:jc w:val="both"/>
      </w:pPr>
      <w:r>
        <w:rPr>
          <w:rFonts w:ascii="Times New Roman" w:cs="Times New Roman" w:eastAsia="Times New Roman" w:hAnsi="Times New Roman"/>
          <w:color w:val="1A1A2A"/>
          <w:sz w:val="20"/>
          <w:szCs w:val="20"/>
        </w:rPr>
        <w:t xml:space="preserve">A Party may seek injunctive relief for actual or threatened misuse of Confidential Information.</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15.  General</w:t>
      </w:r>
    </w:p>
    <w:p>
      <w:pPr>
        <w:pStyle w:val="Heading2"/>
        <w:spacing w:before="200" w:after="80"/>
      </w:pPr>
      <w:r>
        <w:rPr>
          <w:rFonts w:ascii="Times New Roman" w:cs="Times New Roman" w:eastAsia="Times New Roman" w:hAnsi="Times New Roman"/>
          <w:b/>
          <w:bCs/>
          <w:color w:val="1B2A5E"/>
          <w:sz w:val="22"/>
          <w:szCs w:val="22"/>
        </w:rPr>
        <w:t xml:space="preserve">15.1  Independent Contractors</w:t>
      </w:r>
    </w:p>
    <w:p>
      <w:pPr>
        <w:spacing w:before="60" w:after="100"/>
        <w:jc w:val="both"/>
      </w:pPr>
      <w:r>
        <w:rPr>
          <w:rFonts w:ascii="Times New Roman" w:cs="Times New Roman" w:eastAsia="Times New Roman" w:hAnsi="Times New Roman"/>
          <w:color w:val="1A1A2A"/>
          <w:sz w:val="20"/>
          <w:szCs w:val="20"/>
        </w:rPr>
        <w:t xml:space="preserve">The Parties are independent contractors. Nothing in this Agreement creates a partnership, joint venture, fiduciary relationship, agency relationship, or employment relationship.</w:t>
      </w:r>
    </w:p>
    <w:p>
      <w:pPr>
        <w:pStyle w:val="Heading2"/>
        <w:spacing w:before="200" w:after="80"/>
      </w:pPr>
      <w:r>
        <w:rPr>
          <w:rFonts w:ascii="Times New Roman" w:cs="Times New Roman" w:eastAsia="Times New Roman" w:hAnsi="Times New Roman"/>
          <w:b/>
          <w:bCs/>
          <w:color w:val="1B2A5E"/>
          <w:sz w:val="22"/>
          <w:szCs w:val="22"/>
        </w:rPr>
        <w:t xml:space="preserve">15.2  Assignment</w:t>
      </w:r>
    </w:p>
    <w:p>
      <w:pPr>
        <w:spacing w:before="60" w:after="100"/>
        <w:jc w:val="both"/>
      </w:pPr>
      <w:r>
        <w:rPr>
          <w:rFonts w:ascii="Times New Roman" w:cs="Times New Roman" w:eastAsia="Times New Roman" w:hAnsi="Times New Roman"/>
          <w:color w:val="1A1A2A"/>
          <w:sz w:val="20"/>
          <w:szCs w:val="20"/>
        </w:rPr>
        <w:t xml:space="preserve">Neither Party may assign this Agreement without the other Party's prior written consent, except to an Affiliate or in connection with a merger, reorganization, or sale of substantially all assets, provided the assignee agrees in writing to be bound by this Agreement. Any prohibited assignment is void.</w:t>
      </w:r>
    </w:p>
    <w:p>
      <w:pPr>
        <w:pStyle w:val="Heading2"/>
        <w:spacing w:before="200" w:after="80"/>
      </w:pPr>
      <w:r>
        <w:rPr>
          <w:rFonts w:ascii="Times New Roman" w:cs="Times New Roman" w:eastAsia="Times New Roman" w:hAnsi="Times New Roman"/>
          <w:b/>
          <w:bCs/>
          <w:color w:val="1B2A5E"/>
          <w:sz w:val="22"/>
          <w:szCs w:val="22"/>
        </w:rPr>
        <w:t xml:space="preserve">15.3  Notices</w:t>
      </w:r>
    </w:p>
    <w:p>
      <w:pPr>
        <w:spacing w:before="60" w:after="100"/>
        <w:jc w:val="both"/>
      </w:pPr>
      <w:r>
        <w:rPr>
          <w:rFonts w:ascii="Times New Roman" w:cs="Times New Roman" w:eastAsia="Times New Roman" w:hAnsi="Times New Roman"/>
          <w:color w:val="1A1A2A"/>
          <w:sz w:val="20"/>
          <w:szCs w:val="20"/>
        </w:rPr>
        <w:t xml:space="preserve">Notices must be in writing and delivered by personal delivery, certified mail (return receipt requested), or nationally recognized courier to the addresses above (or an updated address by notice). Notices are effective upon receipt (or refusal). Email notice is effective only if expressly permitted in the applicable SOW: </w:t>
      </w:r>
      <w:r>
        <w:rPr>
          <w:rFonts w:ascii="Times New Roman" w:cs="Times New Roman" w:eastAsia="Times New Roman" w:hAnsi="Times New Roman"/>
          <w:i/>
          <w:iCs/>
          <w:color w:val="5A6070"/>
          <w:sz w:val="20"/>
          <w:szCs w:val="20"/>
          <w:highlight w:val="yellow"/>
        </w:rPr>
        <w:t xml:space="preserve">[NOTICE EMAIL(S)]</w:t>
      </w:r>
      <w:r>
        <w:rPr>
          <w:rFonts w:ascii="Times New Roman" w:cs="Times New Roman" w:eastAsia="Times New Roman" w:hAnsi="Times New Roman"/>
          <w:color w:val="1A1A2A"/>
          <w:sz w:val="20"/>
          <w:szCs w:val="20"/>
        </w:rPr>
        <w:t xml:space="preserve">.</w:t>
      </w:r>
    </w:p>
    <w:p>
      <w:pPr>
        <w:pStyle w:val="Heading2"/>
        <w:spacing w:before="200" w:after="80"/>
      </w:pPr>
      <w:r>
        <w:rPr>
          <w:rFonts w:ascii="Times New Roman" w:cs="Times New Roman" w:eastAsia="Times New Roman" w:hAnsi="Times New Roman"/>
          <w:b/>
          <w:bCs/>
          <w:color w:val="1B2A5E"/>
          <w:sz w:val="22"/>
          <w:szCs w:val="22"/>
        </w:rPr>
        <w:t xml:space="preserve">15.4  Force Majeure</w:t>
      </w:r>
    </w:p>
    <w:p>
      <w:pPr>
        <w:spacing w:before="60" w:after="100"/>
        <w:jc w:val="both"/>
      </w:pPr>
      <w:r>
        <w:rPr>
          <w:rFonts w:ascii="Times New Roman" w:cs="Times New Roman" w:eastAsia="Times New Roman" w:hAnsi="Times New Roman"/>
          <w:color w:val="1A1A2A"/>
          <w:sz w:val="20"/>
          <w:szCs w:val="20"/>
        </w:rPr>
        <w:t xml:space="preserve">Neither Party is liable for delay or failure to perform due to causes beyond its reasonable control, excluding payment obligations. The affected Party will promptly notify the other and use commercially reasonable efforts to resume performance.</w:t>
      </w:r>
    </w:p>
    <w:p>
      <w:pPr>
        <w:pStyle w:val="Heading2"/>
        <w:spacing w:before="200" w:after="80"/>
      </w:pPr>
      <w:r>
        <w:rPr>
          <w:rFonts w:ascii="Times New Roman" w:cs="Times New Roman" w:eastAsia="Times New Roman" w:hAnsi="Times New Roman"/>
          <w:b/>
          <w:bCs/>
          <w:color w:val="1B2A5E"/>
          <w:sz w:val="22"/>
          <w:szCs w:val="22"/>
        </w:rPr>
        <w:t xml:space="preserve">15.5  Entire Agreement; Amendments</w:t>
      </w:r>
    </w:p>
    <w:p>
      <w:pPr>
        <w:spacing w:before="60" w:after="100"/>
        <w:jc w:val="both"/>
      </w:pPr>
      <w:r>
        <w:rPr>
          <w:rFonts w:ascii="Times New Roman" w:cs="Times New Roman" w:eastAsia="Times New Roman" w:hAnsi="Times New Roman"/>
          <w:color w:val="1A1A2A"/>
          <w:sz w:val="20"/>
          <w:szCs w:val="20"/>
        </w:rPr>
        <w:t xml:space="preserve">This Agreement and its SOWs are the entire agreement regarding the Services and supersede prior discussions. Amendments must be in writing and signed by both Parties.</w:t>
      </w:r>
    </w:p>
    <w:p>
      <w:pPr>
        <w:pStyle w:val="Heading2"/>
        <w:spacing w:before="200" w:after="80"/>
      </w:pPr>
      <w:r>
        <w:rPr>
          <w:rFonts w:ascii="Times New Roman" w:cs="Times New Roman" w:eastAsia="Times New Roman" w:hAnsi="Times New Roman"/>
          <w:b/>
          <w:bCs/>
          <w:color w:val="1B2A5E"/>
          <w:sz w:val="22"/>
          <w:szCs w:val="22"/>
        </w:rPr>
        <w:t xml:space="preserve">15.6  Severability; Waiver</w:t>
      </w:r>
    </w:p>
    <w:p>
      <w:pPr>
        <w:spacing w:before="60" w:after="100"/>
        <w:jc w:val="both"/>
      </w:pPr>
      <w:r>
        <w:rPr>
          <w:rFonts w:ascii="Times New Roman" w:cs="Times New Roman" w:eastAsia="Times New Roman" w:hAnsi="Times New Roman"/>
          <w:color w:val="1A1A2A"/>
          <w:sz w:val="20"/>
          <w:szCs w:val="20"/>
        </w:rPr>
        <w:t xml:space="preserve">If a provision is unenforceable, it will be modified to the minimum extent necessary, and the remainder will remain effective. Waivers must be in writing and apply only to the specific instance.</w:t>
      </w:r>
    </w:p>
    <w:p>
      <w:pPr>
        <w:pStyle w:val="Heading2"/>
        <w:spacing w:before="200" w:after="80"/>
      </w:pPr>
      <w:r>
        <w:rPr>
          <w:rFonts w:ascii="Times New Roman" w:cs="Times New Roman" w:eastAsia="Times New Roman" w:hAnsi="Times New Roman"/>
          <w:b/>
          <w:bCs/>
          <w:color w:val="1B2A5E"/>
          <w:sz w:val="22"/>
          <w:szCs w:val="22"/>
        </w:rPr>
        <w:t xml:space="preserve">15.7  Counterparts; Electronic Signatures</w:t>
      </w:r>
    </w:p>
    <w:p>
      <w:pPr>
        <w:spacing w:before="60" w:after="100"/>
        <w:jc w:val="both"/>
      </w:pPr>
      <w:r>
        <w:rPr>
          <w:rFonts w:ascii="Times New Roman" w:cs="Times New Roman" w:eastAsia="Times New Roman" w:hAnsi="Times New Roman"/>
          <w:color w:val="1A1A2A"/>
          <w:sz w:val="20"/>
          <w:szCs w:val="20"/>
        </w:rPr>
        <w:t xml:space="preserve">This Agreement may be executed in counterparts and by electronic signatures, each of which is deemed an original.</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16.  Non-Solicitation (Project Team)</w:t>
      </w:r>
    </w:p>
    <w:p>
      <w:pPr>
        <w:pStyle w:val="Heading2"/>
        <w:spacing w:before="200" w:after="80"/>
      </w:pPr>
      <w:r>
        <w:rPr>
          <w:rFonts w:ascii="Times New Roman" w:cs="Times New Roman" w:eastAsia="Times New Roman" w:hAnsi="Times New Roman"/>
          <w:b/>
          <w:bCs/>
          <w:color w:val="1B2A5E"/>
          <w:sz w:val="22"/>
          <w:szCs w:val="22"/>
        </w:rPr>
        <w:t xml:space="preserve">16.1  Definition</w:t>
      </w:r>
    </w:p>
    <w:p>
      <w:pPr>
        <w:spacing w:before="60" w:after="100"/>
        <w:jc w:val="both"/>
      </w:pPr>
      <w:r>
        <w:rPr>
          <w:rFonts w:ascii="Times New Roman" w:cs="Times New Roman" w:eastAsia="Times New Roman" w:hAnsi="Times New Roman"/>
          <w:color w:val="1A1A2A"/>
          <w:sz w:val="20"/>
          <w:szCs w:val="20"/>
        </w:rPr>
        <w:t xml:space="preserve">"</w:t>
      </w:r>
      <w:r>
        <w:rPr>
          <w:rFonts w:ascii="Times New Roman" w:cs="Times New Roman" w:eastAsia="Times New Roman" w:hAnsi="Times New Roman"/>
          <w:b/>
          <w:bCs/>
          <w:color w:val="1A1A2A"/>
          <w:sz w:val="20"/>
          <w:szCs w:val="20"/>
        </w:rPr>
        <w:t xml:space="preserve">Project Team Member</w:t>
      </w:r>
      <w:r>
        <w:rPr>
          <w:rFonts w:ascii="Times New Roman" w:cs="Times New Roman" w:eastAsia="Times New Roman" w:hAnsi="Times New Roman"/>
          <w:color w:val="1A1A2A"/>
          <w:sz w:val="20"/>
          <w:szCs w:val="20"/>
        </w:rPr>
        <w:t xml:space="preserve">" means an employee or individual contractor of a Party (or its Affiliate) who (a) is identified as key personnel in an SOW, or (b) materially performs Services or materially interacts with the other Party in connection with an SOW.</w:t>
      </w:r>
    </w:p>
    <w:p>
      <w:pPr>
        <w:pStyle w:val="Heading2"/>
        <w:spacing w:before="200" w:after="80"/>
      </w:pPr>
      <w:r>
        <w:rPr>
          <w:rFonts w:ascii="Times New Roman" w:cs="Times New Roman" w:eastAsia="Times New Roman" w:hAnsi="Times New Roman"/>
          <w:b/>
          <w:bCs/>
          <w:color w:val="1B2A5E"/>
          <w:sz w:val="22"/>
          <w:szCs w:val="22"/>
        </w:rPr>
        <w:t xml:space="preserve">16.2  Non-Solicit</w:t>
      </w:r>
    </w:p>
    <w:p>
      <w:pPr>
        <w:spacing w:before="60" w:after="100"/>
        <w:jc w:val="both"/>
      </w:pPr>
      <w:r>
        <w:rPr>
          <w:rFonts w:ascii="Times New Roman" w:cs="Times New Roman" w:eastAsia="Times New Roman" w:hAnsi="Times New Roman"/>
          <w:color w:val="1A1A2A"/>
          <w:sz w:val="20"/>
          <w:szCs w:val="20"/>
        </w:rPr>
        <w:t xml:space="preserve">During the term of the applicable SOW and for </w:t>
      </w:r>
      <w:r>
        <w:rPr>
          <w:rFonts w:ascii="Times New Roman" w:cs="Times New Roman" w:eastAsia="Times New Roman" w:hAnsi="Times New Roman"/>
          <w:i/>
          <w:iCs/>
          <w:color w:val="5A6070"/>
          <w:sz w:val="20"/>
          <w:szCs w:val="20"/>
          <w:highlight w:val="yellow"/>
        </w:rPr>
        <w:t xml:space="preserve">[12]</w:t>
      </w:r>
      <w:r>
        <w:rPr>
          <w:rFonts w:ascii="Times New Roman" w:cs="Times New Roman" w:eastAsia="Times New Roman" w:hAnsi="Times New Roman"/>
          <w:color w:val="1A1A2A"/>
          <w:sz w:val="20"/>
          <w:szCs w:val="20"/>
        </w:rPr>
        <w:t xml:space="preserve"> months after its expiration or termination, neither Party will knowingly solicit for employment or engagement any Project Team Member of the other Party who performed Services under that SOW; provided, however, that this restriction will not apply to (a) general solicitations not specifically targeted at such Project Team Member (including public advertisements, job fairs, or use of search firms not directed to such Project Team Member), (b) individuals who respond to such general solicitations, or (c) individuals whose employment or engagement with the other Party has ended for at least </w:t>
      </w:r>
      <w:r>
        <w:rPr>
          <w:rFonts w:ascii="Times New Roman" w:cs="Times New Roman" w:eastAsia="Times New Roman" w:hAnsi="Times New Roman"/>
          <w:i/>
          <w:iCs/>
          <w:color w:val="5A6070"/>
          <w:sz w:val="20"/>
          <w:szCs w:val="20"/>
          <w:highlight w:val="yellow"/>
        </w:rPr>
        <w:t xml:space="preserve">[3]</w:t>
      </w:r>
      <w:r>
        <w:rPr>
          <w:rFonts w:ascii="Times New Roman" w:cs="Times New Roman" w:eastAsia="Times New Roman" w:hAnsi="Times New Roman"/>
          <w:color w:val="1A1A2A"/>
          <w:sz w:val="20"/>
          <w:szCs w:val="20"/>
        </w:rPr>
        <w:t xml:space="preserve"> months before the solicitation.</w:t>
      </w:r>
    </w:p>
    <w:p>
      <w:pPr>
        <w:pStyle w:val="Heading2"/>
        <w:spacing w:before="200" w:after="80"/>
      </w:pPr>
      <w:r>
        <w:rPr>
          <w:rFonts w:ascii="Times New Roman" w:cs="Times New Roman" w:eastAsia="Times New Roman" w:hAnsi="Times New Roman"/>
          <w:b/>
          <w:bCs/>
          <w:color w:val="1B2A5E"/>
          <w:sz w:val="22"/>
          <w:szCs w:val="22"/>
        </w:rPr>
        <w:t xml:space="preserve">16.3  No Restriction on Hiring Not Solicited</w:t>
      </w:r>
    </w:p>
    <w:p>
      <w:pPr>
        <w:spacing w:before="60" w:after="100"/>
        <w:jc w:val="both"/>
      </w:pPr>
      <w:r>
        <w:rPr>
          <w:rFonts w:ascii="Times New Roman" w:cs="Times New Roman" w:eastAsia="Times New Roman" w:hAnsi="Times New Roman"/>
          <w:color w:val="1A1A2A"/>
          <w:sz w:val="20"/>
          <w:szCs w:val="20"/>
        </w:rPr>
        <w:t xml:space="preserve">If a Project Team Member independently seeks employment or engagement (without prohibited solicitation), the receiving Party may hire or engage such individual.</w:t>
      </w:r>
    </w:p>
    <w:p>
      <w:pPr>
        <w:pStyle w:val="Heading2"/>
        <w:spacing w:before="200" w:after="80"/>
      </w:pPr>
      <w:r>
        <w:rPr>
          <w:rFonts w:ascii="Times New Roman" w:cs="Times New Roman" w:eastAsia="Times New Roman" w:hAnsi="Times New Roman"/>
          <w:b/>
          <w:bCs/>
          <w:color w:val="1B2A5E"/>
          <w:sz w:val="22"/>
          <w:szCs w:val="22"/>
        </w:rPr>
        <w:t xml:space="preserve">16.4  Remedy</w:t>
      </w:r>
    </w:p>
    <w:p>
      <w:pPr>
        <w:spacing w:before="60" w:after="100"/>
        <w:jc w:val="both"/>
      </w:pPr>
      <w:r>
        <w:rPr>
          <w:rFonts w:ascii="Times New Roman" w:cs="Times New Roman" w:eastAsia="Times New Roman" w:hAnsi="Times New Roman"/>
          <w:color w:val="1A1A2A"/>
          <w:sz w:val="20"/>
          <w:szCs w:val="20"/>
        </w:rPr>
        <w:t xml:space="preserve">If a Party breaches this Section 16, the non-breaching Party may seek injunctive relief and recover its reasonable costs to recruit a replacement, in addition to any other remedies available at law or in equity.</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Signatures</w:t>
      </w:r>
    </w:p>
    <w:p>
      <w:pPr>
        <w:spacing w:before="60" w:after="100"/>
        <w:jc w:val="both"/>
      </w:pPr>
      <w:r>
        <w:rPr>
          <w:rFonts w:ascii="Times New Roman" w:cs="Times New Roman" w:eastAsia="Times New Roman" w:hAnsi="Times New Roman"/>
          <w:color w:val="1A1A2A"/>
          <w:sz w:val="20"/>
          <w:szCs w:val="20"/>
        </w:rPr>
        <w:t xml:space="preserve">IN WITNESS WHEREOF, the Parties have executed this Agreement as of the Effective Date.</w:t>
      </w:r>
    </w:p>
    <w:p>
      <w:pPr>
        <w:spacing w:before="80" w:after="40"/>
      </w:pPr>
    </w:p>
    <w:p>
      <w:pPr>
        <w:spacing w:before="120" w:after="40"/>
      </w:pPr>
      <w:r>
        <w:rPr>
          <w:rFonts w:ascii="Times New Roman" w:cs="Times New Roman" w:eastAsia="Times New Roman" w:hAnsi="Times New Roman"/>
          <w:b/>
          <w:bCs/>
          <w:color w:val="1B2A5E"/>
          <w:sz w:val="20"/>
          <w:szCs w:val="20"/>
        </w:rPr>
        <w:t xml:space="preserve">CLIENT:  [CLIENT LEGAL NAME]</w:t>
      </w:r>
    </w:p>
    <w:p>
      <w:pPr>
        <w:pBdr>
          <w:bottom w:val="single" w:color="D0D7E3" w:sz="4" w:space="1"/>
        </w:pBdr>
        <w:spacing w:before="40" w:after="20"/>
      </w:pPr>
      <w:r>
        <w:rPr>
          <w:rFonts w:ascii="Times New Roman" w:cs="Times New Roman" w:eastAsia="Times New Roman" w:hAnsi="Times New Roman"/>
          <w:color w:val="1A1A2A"/>
          <w:sz w:val="20"/>
          <w:szCs w:val="20"/>
        </w:rPr>
        <w:t xml:space="preserve">By:</w:t>
      </w:r>
    </w:p>
    <w:p>
      <w:pPr>
        <w:pBdr>
          <w:bottom w:val="single" w:color="D0D7E3" w:sz="4" w:space="1"/>
        </w:pBdr>
        <w:spacing w:before="60" w:after="20"/>
      </w:pPr>
      <w:r>
        <w:rPr>
          <w:rFonts w:ascii="Times New Roman" w:cs="Times New Roman" w:eastAsia="Times New Roman" w:hAnsi="Times New Roman"/>
          <w:color w:val="1A1A2A"/>
          <w:sz w:val="20"/>
          <w:szCs w:val="20"/>
        </w:rPr>
        <w:t xml:space="preserve">Name:</w:t>
      </w:r>
    </w:p>
    <w:p>
      <w:pPr>
        <w:pBdr>
          <w:bottom w:val="single" w:color="D0D7E3" w:sz="4" w:space="1"/>
        </w:pBdr>
        <w:spacing w:before="60" w:after="20"/>
      </w:pPr>
      <w:r>
        <w:rPr>
          <w:rFonts w:ascii="Times New Roman" w:cs="Times New Roman" w:eastAsia="Times New Roman" w:hAnsi="Times New Roman"/>
          <w:color w:val="1A1A2A"/>
          <w:sz w:val="20"/>
          <w:szCs w:val="20"/>
        </w:rPr>
        <w:t xml:space="preserve">Title:</w:t>
      </w:r>
    </w:p>
    <w:p>
      <w:pPr>
        <w:pBdr>
          <w:bottom w:val="single" w:color="D0D7E3" w:sz="4" w:space="1"/>
        </w:pBdr>
        <w:spacing w:before="60" w:after="20"/>
      </w:pPr>
      <w:r>
        <w:rPr>
          <w:rFonts w:ascii="Times New Roman" w:cs="Times New Roman" w:eastAsia="Times New Roman" w:hAnsi="Times New Roman"/>
          <w:color w:val="1A1A2A"/>
          <w:sz w:val="20"/>
          <w:szCs w:val="20"/>
        </w:rPr>
        <w:t xml:space="preserve">Date:</w:t>
      </w:r>
    </w:p>
    <w:p>
      <w:pPr>
        <w:spacing w:before="160" w:after="40"/>
      </w:pPr>
    </w:p>
    <w:p>
      <w:pPr>
        <w:spacing w:before="120" w:after="40"/>
      </w:pPr>
      <w:r>
        <w:rPr>
          <w:rFonts w:ascii="Times New Roman" w:cs="Times New Roman" w:eastAsia="Times New Roman" w:hAnsi="Times New Roman"/>
          <w:b/>
          <w:bCs/>
          <w:color w:val="1B2A5E"/>
          <w:sz w:val="20"/>
          <w:szCs w:val="20"/>
        </w:rPr>
        <w:t xml:space="preserve">CONSULTANT:  Celerity Energy Advisors LLC</w:t>
      </w:r>
    </w:p>
    <w:p>
      <w:pPr>
        <w:pBdr>
          <w:bottom w:val="single" w:color="D0D7E3" w:sz="4" w:space="1"/>
        </w:pBdr>
        <w:spacing w:before="40" w:after="20"/>
      </w:pPr>
      <w:r>
        <w:rPr>
          <w:rFonts w:ascii="Times New Roman" w:cs="Times New Roman" w:eastAsia="Times New Roman" w:hAnsi="Times New Roman"/>
          <w:color w:val="1A1A2A"/>
          <w:sz w:val="20"/>
          <w:szCs w:val="20"/>
        </w:rPr>
        <w:t xml:space="preserve">By:</w:t>
      </w:r>
    </w:p>
    <w:p>
      <w:pPr>
        <w:pBdr>
          <w:bottom w:val="single" w:color="D0D7E3" w:sz="4" w:space="1"/>
        </w:pBdr>
        <w:spacing w:before="60" w:after="20"/>
      </w:pPr>
      <w:r>
        <w:rPr>
          <w:rFonts w:ascii="Times New Roman" w:cs="Times New Roman" w:eastAsia="Times New Roman" w:hAnsi="Times New Roman"/>
          <w:color w:val="1A1A2A"/>
          <w:sz w:val="20"/>
          <w:szCs w:val="20"/>
        </w:rPr>
        <w:t xml:space="preserve">Name:</w:t>
      </w:r>
    </w:p>
    <w:p>
      <w:pPr>
        <w:pBdr>
          <w:bottom w:val="single" w:color="D0D7E3" w:sz="4" w:space="1"/>
        </w:pBdr>
        <w:spacing w:before="60" w:after="20"/>
      </w:pPr>
      <w:r>
        <w:rPr>
          <w:rFonts w:ascii="Times New Roman" w:cs="Times New Roman" w:eastAsia="Times New Roman" w:hAnsi="Times New Roman"/>
          <w:color w:val="1A1A2A"/>
          <w:sz w:val="20"/>
          <w:szCs w:val="20"/>
        </w:rPr>
        <w:t xml:space="preserve">Title:</w:t>
      </w:r>
    </w:p>
    <w:p>
      <w:pPr>
        <w:pBdr>
          <w:bottom w:val="single" w:color="D0D7E3" w:sz="4" w:space="1"/>
        </w:pBdr>
        <w:spacing w:before="60" w:after="20"/>
      </w:pPr>
      <w:r>
        <w:rPr>
          <w:rFonts w:ascii="Times New Roman" w:cs="Times New Roman" w:eastAsia="Times New Roman" w:hAnsi="Times New Roman"/>
          <w:color w:val="1A1A2A"/>
          <w:sz w:val="20"/>
          <w:szCs w:val="20"/>
        </w:rPr>
        <w:t xml:space="preserve">Date:</w:t>
      </w:r>
    </w:p>
    <w:sectPr>
      <w:headerReference w:type="default" r:id="rId6"/>
      <w:footerReference w:type="default" r:id="rId7"/>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5E" w:sz="6" w:space="4"/>
      </w:pBdr>
      <w:tabs>
        <w:tab w:val="right" w:pos="9360"/>
      </w:tabs>
      <w:spacing w:before="80" w:after="0"/>
    </w:pPr>
    <w:r>
      <w:rPr>
        <w:rFonts w:ascii="Times New Roman" w:cs="Times New Roman" w:eastAsia="Times New Roman" w:hAnsi="Times New Roman"/>
        <w:color w:val="7B8FB0"/>
        <w:sz w:val="16"/>
        <w:szCs w:val="16"/>
      </w:rPr>
      <w:t xml:space="preserve">Celerity Energy Advisors  |  celerity.energy  |  (844) 610-5945</w:t>
    </w:r>
    <w:r>
      <w:rPr>
        <w:rFonts w:ascii="Times New Roman" w:cs="Times New Roman" w:eastAsia="Times New Roman" w:hAnsi="Times New Roman"/>
        <w:color w:val="7B8FB0"/>
        <w:sz w:val="16"/>
        <w:szCs w:val="16"/>
      </w:rPr>
      <w:t xml:space="preserve">	© 2025 Celerity Energy Advisors LLC.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40"/>
      <w:jc w:val="right"/>
    </w:pPr>
    <w:r>
      <w:rPr>
        <w:rFonts w:ascii="Times New Roman" w:cs="Times New Roman" w:eastAsia="Times New Roman" w:hAnsi="Times New Roman"/>
        <w:color w:val="9AAABF"/>
        <w:sz w:val="17"/>
        <w:szCs w:val="17"/>
      </w:rPr>
      <w:t xml:space="preserve">Page </w:t>
    </w:r>
    <w:fldSimple w:instr="PAGE">
      <w:r/>
    </w:fldSimple>
  </w:p>
  <w:p>
    <w:pPr>
      <w:pBdr>
        <w:bottom w:val="single" w:color="4A9FD4" w:sz="12" w:space="6"/>
      </w:pBdr>
      <w:spacing w:before="0" w:after="0"/>
    </w:pPr>
    <w:r>
      <w:drawing>
        <wp:inline distT="0" distB="0" distL="0" distR="0">
          <wp:extent cx="17145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5810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color w:val="4A9FD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2A"/>
        <w:sz w:val="20"/>
        <w:szCs w:val="20"/>
      </w:rPr>
    </w:rPrDefault>
    <w:pPrDefault>
      <w:pPr>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00"/>
      <w:outlineLvl w:val="0"/>
    </w:pPr>
    <w:rPr>
      <w:rFonts w:ascii="Times New Roman" w:cs="Times New Roman" w:eastAsia="Times New Roman" w:hAnsi="Times New Roman"/>
      <w:b/>
      <w:bCs/>
      <w:color w:val="1B2A5E"/>
      <w:sz w:val="24"/>
      <w:szCs w:val="24"/>
    </w:rPr>
  </w:style>
  <w:style w:type="paragraph" w:styleId="Heading2">
    <w:name w:val="Heading 2"/>
    <w:basedOn w:val="Normal"/>
    <w:next w:val="Normal"/>
    <w:qFormat/>
    <w:pPr>
      <w:spacing w:before="200" w:after="80"/>
      <w:outlineLvl w:val="1"/>
    </w:pPr>
    <w:rPr>
      <w:rFonts w:ascii="Times New Roman" w:cs="Times New Roman" w:eastAsia="Times New Roman" w:hAnsi="Times New Roman"/>
      <w:b/>
      <w:bCs/>
      <w:color w:val="1B2A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7c3a6a4ad35f7d04b491a7373f583c1c545acfb.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2026-03-06T04:28:06.305Z</dcterms:created>
  <dcterms:modified xsi:type="dcterms:W3CDTF">2026-03-06T04:28:06.306Z</dcterms:modified>
</cp:coreProperties>
</file>

<file path=docProps/custom.xml><?xml version="1.0" encoding="utf-8"?>
<Properties xmlns="http://schemas.openxmlformats.org/officeDocument/2006/custom-properties" xmlns:vt="http://schemas.openxmlformats.org/officeDocument/2006/docPropsVTypes"/>
</file>