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2"/>
          <w:szCs w:val="32"/>
        </w:rPr>
        <w:t xml:space="preserve">EXHIBIT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b/>
          <w:bCs/>
          <w:color w:val="1B2A5E"/>
          <w:sz w:val="32"/>
          <w:szCs w:val="32"/>
        </w:rPr>
        <w:t xml:space="preserve">  —  SERVICE LINE CONSULTING RATE CARD</w:t>
      </w:r>
    </w:p>
    <w:p>
      <w:pPr>
        <w:spacing w:before="0" w:after="4"/>
      </w:pPr>
      <w:r>
        <w:rPr>
          <w:rFonts w:ascii="Times New Roman" w:cs="Times New Roman" w:eastAsia="Times New Roman" w:hAnsi="Times New Roman"/>
          <w:b/>
          <w:bCs/>
          <w:color w:val="4A9FD4"/>
          <w:sz w:val="20"/>
          <w:szCs w:val="20"/>
        </w:rPr>
        <w:t xml:space="preserve">Oil &amp; Gas / Energy  ·  Celerity Energy Advisors LLC</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This Service Line Consulting Rate Card (this </w:t>
      </w:r>
      <w:r>
        <w:rPr>
          <w:rFonts w:ascii="Times New Roman" w:cs="Times New Roman" w:eastAsia="Times New Roman" w:hAnsi="Times New Roman"/>
          <w:b/>
          <w:bCs/>
          <w:color w:val="1A1A2A"/>
          <w:sz w:val="20"/>
          <w:szCs w:val="20"/>
        </w:rPr>
        <w:t xml:space="preserve">Rate Card</w:t>
      </w:r>
      <w:r>
        <w:rPr>
          <w:rFonts w:ascii="Times New Roman" w:cs="Times New Roman" w:eastAsia="Times New Roman" w:hAnsi="Times New Roman"/>
          <w:color w:val="1A1A2A"/>
          <w:sz w:val="20"/>
          <w:szCs w:val="20"/>
        </w:rPr>
        <w:t xml:space="preserve">) is incorporated into and forms part of the Master Services Agreement (the </w:t>
      </w:r>
      <w:r>
        <w:rPr>
          <w:rFonts w:ascii="Times New Roman" w:cs="Times New Roman" w:eastAsia="Times New Roman" w:hAnsi="Times New Roman"/>
          <w:b/>
          <w:bCs/>
          <w:color w:val="1A1A2A"/>
          <w:sz w:val="20"/>
          <w:szCs w:val="20"/>
        </w:rPr>
        <w:t xml:space="preserve">Agreement</w:t>
      </w:r>
      <w:r>
        <w:rPr>
          <w:rFonts w:ascii="Times New Roman" w:cs="Times New Roman" w:eastAsia="Times New Roman" w:hAnsi="Times New Roman"/>
          <w:color w:val="1A1A2A"/>
          <w:sz w:val="20"/>
          <w:szCs w:val="20"/>
        </w:rPr>
        <w:t xml:space="preserve">) between </w:t>
      </w:r>
      <w:r>
        <w:rPr>
          <w:rFonts w:ascii="Times New Roman" w:cs="Times New Roman" w:eastAsia="Times New Roman" w:hAnsi="Times New Roman"/>
          <w:b/>
          <w:bCs/>
          <w:color w:val="1A1A2A"/>
          <w:sz w:val="20"/>
          <w:szCs w:val="20"/>
        </w:rPr>
        <w:t xml:space="preserve">Celerity Energy Advisors</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Consultant</w:t>
      </w:r>
      <w:r>
        <w:rPr>
          <w:rFonts w:ascii="Times New Roman" w:cs="Times New Roman" w:eastAsia="Times New Roman" w:hAnsi="Times New Roman"/>
          <w:color w:val="1A1A2A"/>
          <w:sz w:val="20"/>
          <w:szCs w:val="20"/>
        </w:rPr>
        <w:t xml:space="preserve">) and </w:t>
      </w:r>
      <w:r>
        <w:rPr>
          <w:rFonts w:ascii="Times New Roman" w:cs="Times New Roman" w:eastAsia="Times New Roman" w:hAnsi="Times New Roman"/>
          <w:i/>
          <w:iCs/>
          <w:color w:val="5A6070"/>
          <w:sz w:val="20"/>
          <w:szCs w:val="20"/>
          <w:highlight w:val="yellow"/>
        </w:rPr>
        <w:t xml:space="preserve">[CLIENT LEGAL NAME]</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b/>
          <w:bCs/>
          <w:color w:val="1A1A2A"/>
          <w:sz w:val="20"/>
          <w:szCs w:val="20"/>
        </w:rPr>
        <w:t xml:space="preserve">Client</w:t>
      </w:r>
      <w:r>
        <w:rPr>
          <w:rFonts w:ascii="Times New Roman" w:cs="Times New Roman" w:eastAsia="Times New Roman" w:hAnsi="Times New Roman"/>
          <w:color w:val="1A1A2A"/>
          <w:sz w:val="20"/>
          <w:szCs w:val="20"/>
        </w:rPr>
        <w:t xml:space="preserve">). Capitalized terms not defined in this Rate Card have the meanings given in the Agreement. If there is a conflict, the applicable SOW controls for its subject matter.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Overview; How to Use This Exhibit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This Rate Card provides standard pricing structures by service line, including (a) hourly and daily rate frameworks by role tier, (b) retainer options, and (c) project-based pricing structures.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Pricing is only binding if referenced in an SOW</w:t>
      </w:r>
      <w:r>
        <w:rPr>
          <w:rFonts w:ascii="Times New Roman" w:cs="Times New Roman" w:eastAsia="Times New Roman" w:hAnsi="Times New Roman"/>
          <w:color w:val="1A1A2A"/>
          <w:sz w:val="20"/>
          <w:szCs w:val="20"/>
        </w:rPr>
        <w:t xml:space="preserve"> (including any stated caps, blended rates, discounts, fixed-fee scope, and assumptions).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Unless the SOW states otherwise, all fees are in U.S. dollars and exclusive of taxes and reimbursable expenses.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General Billing Mechanics (Applies to All Service Lines)</w:t>
      </w:r>
    </w:p>
    <w:p>
      <w:pPr>
        <w:pStyle w:val="Heading2"/>
        <w:spacing w:before="200" w:after="80"/>
      </w:pPr>
      <w:r>
        <w:rPr>
          <w:rFonts w:ascii="Times New Roman" w:cs="Times New Roman" w:eastAsia="Times New Roman" w:hAnsi="Times New Roman"/>
          <w:b/>
          <w:bCs/>
          <w:color w:val="1B2A5E"/>
          <w:sz w:val="22"/>
          <w:szCs w:val="22"/>
        </w:rPr>
        <w:t xml:space="preserve">2.1  Time Increments; Minimums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Billing increment: </w:t>
      </w:r>
      <w:r>
        <w:rPr>
          <w:rFonts w:ascii="Times New Roman" w:cs="Times New Roman" w:eastAsia="Times New Roman" w:hAnsi="Times New Roman"/>
          <w:i/>
          <w:iCs/>
          <w:color w:val="5A6070"/>
          <w:sz w:val="20"/>
          <w:szCs w:val="20"/>
          <w:highlight w:val="yellow"/>
        </w:rPr>
        <w:t xml:space="preserve">[0.25-hour]</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Minimum charge (optional, if stated in SOW):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per request/work session.</w:t>
      </w:r>
    </w:p>
    <w:p>
      <w:pPr>
        <w:pStyle w:val="Heading2"/>
        <w:spacing w:before="200" w:after="80"/>
      </w:pPr>
      <w:r>
        <w:rPr>
          <w:rFonts w:ascii="Times New Roman" w:cs="Times New Roman" w:eastAsia="Times New Roman" w:hAnsi="Times New Roman"/>
          <w:b/>
          <w:bCs/>
          <w:color w:val="1B2A5E"/>
          <w:sz w:val="22"/>
          <w:szCs w:val="22"/>
        </w:rPr>
        <w:t xml:space="preserve">2.2  Daily Rate Mechanics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Standard day: </w:t>
      </w:r>
      <w:r>
        <w:rPr>
          <w:rFonts w:ascii="Times New Roman" w:cs="Times New Roman" w:eastAsia="Times New Roman" w:hAnsi="Times New Roman"/>
          <w:color w:val="1A1A2A"/>
          <w:sz w:val="20"/>
          <w:szCs w:val="20"/>
        </w:rPr>
        <w:t xml:space="preserve">8 hours of billable time (</w:t>
      </w:r>
      <w:r>
        <w:rPr>
          <w:rFonts w:ascii="Times New Roman" w:cs="Times New Roman" w:eastAsia="Times New Roman" w:hAnsi="Times New Roman"/>
          <w:b/>
          <w:bCs/>
          <w:color w:val="1A1A2A"/>
          <w:sz w:val="20"/>
          <w:szCs w:val="20"/>
        </w:rPr>
        <w:t xml:space="preserve">Daily Rate = 8 × applicable hourly rate</w:t>
      </w:r>
      <w:r>
        <w:rPr>
          <w:rFonts w:ascii="Times New Roman" w:cs="Times New Roman" w:eastAsia="Times New Roman" w:hAnsi="Times New Roman"/>
          <w:color w:val="1A1A2A"/>
          <w:sz w:val="20"/>
          <w:szCs w:val="20"/>
        </w:rPr>
        <w:t xml:space="preserve">, unless an SOW specifies a different conversion).</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Half-day minimum (onsite): </w:t>
      </w:r>
      <w:r>
        <w:rPr>
          <w:rFonts w:ascii="Times New Roman" w:cs="Times New Roman" w:eastAsia="Times New Roman" w:hAnsi="Times New Roman"/>
          <w:color w:val="1A1A2A"/>
          <w:sz w:val="20"/>
          <w:szCs w:val="20"/>
        </w:rPr>
        <w:t xml:space="preserve">If Client requests onsite presence for any portion of a day, a minimum of </w:t>
      </w:r>
      <w:r>
        <w:rPr>
          <w:rFonts w:ascii="Times New Roman" w:cs="Times New Roman" w:eastAsia="Times New Roman" w:hAnsi="Times New Roman"/>
          <w:i/>
          <w:iCs/>
          <w:color w:val="5A6070"/>
          <w:sz w:val="20"/>
          <w:szCs w:val="20"/>
          <w:highlight w:val="yellow"/>
        </w:rPr>
        <w:t xml:space="preserve">[4]</w:t>
      </w:r>
      <w:r>
        <w:rPr>
          <w:rFonts w:ascii="Times New Roman" w:cs="Times New Roman" w:eastAsia="Times New Roman" w:hAnsi="Times New Roman"/>
          <w:color w:val="1A1A2A"/>
          <w:sz w:val="20"/>
          <w:szCs w:val="20"/>
        </w:rPr>
        <w:t xml:space="preserve"> hours may be billed (unless an SOW states otherwise).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Extended day: </w:t>
      </w:r>
      <w:r>
        <w:rPr>
          <w:rFonts w:ascii="Times New Roman" w:cs="Times New Roman" w:eastAsia="Times New Roman" w:hAnsi="Times New Roman"/>
          <w:color w:val="1A1A2A"/>
          <w:sz w:val="20"/>
          <w:szCs w:val="20"/>
        </w:rPr>
        <w:t xml:space="preserve">Hours beyond 8 in a day are billed hourly (and may be subject to premiums if requested under Section 2.4).</w:t>
      </w:r>
    </w:p>
    <w:p>
      <w:pPr>
        <w:pStyle w:val="Heading2"/>
        <w:spacing w:before="200" w:after="80"/>
      </w:pPr>
      <w:r>
        <w:rPr>
          <w:rFonts w:ascii="Times New Roman" w:cs="Times New Roman" w:eastAsia="Times New Roman" w:hAnsi="Times New Roman"/>
          <w:b/>
          <w:bCs/>
          <w:color w:val="1B2A5E"/>
          <w:sz w:val="22"/>
          <w:szCs w:val="22"/>
        </w:rPr>
        <w:t xml:space="preserve">2.3  Onsite vs. Remote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"Remote" </w:t>
      </w:r>
      <w:r>
        <w:rPr>
          <w:rFonts w:ascii="Times New Roman" w:cs="Times New Roman" w:eastAsia="Times New Roman" w:hAnsi="Times New Roman"/>
          <w:color w:val="1A1A2A"/>
          <w:sz w:val="20"/>
          <w:szCs w:val="20"/>
        </w:rPr>
        <w:t xml:space="preserve">includes work performed offsite (including from Consultant offices or home offices).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"Onsite" </w:t>
      </w:r>
      <w:r>
        <w:rPr>
          <w:rFonts w:ascii="Times New Roman" w:cs="Times New Roman" w:eastAsia="Times New Roman" w:hAnsi="Times New Roman"/>
          <w:color w:val="1A1A2A"/>
          <w:sz w:val="20"/>
          <w:szCs w:val="20"/>
        </w:rPr>
        <w:t xml:space="preserve">includes work performed at Client or third-party sites at Client's request (including field locations).</w:t>
      </w:r>
    </w:p>
    <w:p>
      <w:pPr>
        <w:pStyle w:val="Heading2"/>
        <w:spacing w:before="200" w:after="80"/>
      </w:pPr>
      <w:r>
        <w:rPr>
          <w:rFonts w:ascii="Times New Roman" w:cs="Times New Roman" w:eastAsia="Times New Roman" w:hAnsi="Times New Roman"/>
          <w:b/>
          <w:bCs/>
          <w:color w:val="1B2A5E"/>
          <w:sz w:val="22"/>
          <w:szCs w:val="22"/>
        </w:rPr>
        <w:t xml:space="preserve">2.4  Premium Time (Only if Requested/Approved)</w:t>
      </w:r>
    </w:p>
    <w:p>
      <w:pPr>
        <w:spacing w:before="60" w:after="100"/>
        <w:jc w:val="both"/>
      </w:pPr>
      <w:r>
        <w:rPr>
          <w:rFonts w:ascii="Times New Roman" w:cs="Times New Roman" w:eastAsia="Times New Roman" w:hAnsi="Times New Roman"/>
          <w:color w:val="1A1A2A"/>
          <w:sz w:val="20"/>
          <w:szCs w:val="20"/>
        </w:rPr>
        <w:t xml:space="preserve">Unless otherwise stated in an SOW, premiums apply only when Client requests/approves (email acceptable) expedited delivery or work outside normal business hours.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After-hours premium: </w:t>
      </w:r>
      <w:r>
        <w:rPr>
          <w:rFonts w:ascii="Times New Roman" w:cs="Times New Roman" w:eastAsia="Times New Roman" w:hAnsi="Times New Roman"/>
          <w:i/>
          <w:iCs/>
          <w:color w:val="5A6070"/>
          <w:sz w:val="20"/>
          <w:szCs w:val="20"/>
          <w:highlight w:val="yellow"/>
        </w:rPr>
        <w:t xml:space="preserve">[1.25x]</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Saturday premium: </w:t>
      </w:r>
      <w:r>
        <w:rPr>
          <w:rFonts w:ascii="Times New Roman" w:cs="Times New Roman" w:eastAsia="Times New Roman" w:hAnsi="Times New Roman"/>
          <w:i/>
          <w:iCs/>
          <w:color w:val="5A6070"/>
          <w:sz w:val="20"/>
          <w:szCs w:val="20"/>
          <w:highlight w:val="yellow"/>
        </w:rPr>
        <w:t xml:space="preserve">[1.50x]</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Sunday premium: </w:t>
      </w:r>
      <w:r>
        <w:rPr>
          <w:rFonts w:ascii="Times New Roman" w:cs="Times New Roman" w:eastAsia="Times New Roman" w:hAnsi="Times New Roman"/>
          <w:i/>
          <w:iCs/>
          <w:color w:val="5A6070"/>
          <w:sz w:val="20"/>
          <w:szCs w:val="20"/>
          <w:highlight w:val="yellow"/>
        </w:rPr>
        <w:t xml:space="preserve">[2.00x]</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Holiday premium </w:t>
      </w:r>
      <w:r>
        <w:rPr>
          <w:rFonts w:ascii="Times New Roman" w:cs="Times New Roman" w:eastAsia="Times New Roman" w:hAnsi="Times New Roman"/>
          <w:color w:val="1A1A2A"/>
          <w:sz w:val="20"/>
          <w:szCs w:val="20"/>
        </w:rPr>
        <w:t xml:space="preserve">(U.S. federal holidays or Client-designated holidays in SOW): </w:t>
      </w:r>
      <w:r>
        <w:rPr>
          <w:rFonts w:ascii="Times New Roman" w:cs="Times New Roman" w:eastAsia="Times New Roman" w:hAnsi="Times New Roman"/>
          <w:i/>
          <w:iCs/>
          <w:color w:val="5A6070"/>
          <w:sz w:val="20"/>
          <w:szCs w:val="20"/>
          <w:highlight w:val="yellow"/>
        </w:rPr>
        <w:t xml:space="preserve">[2.00x]</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2.5  Travel Time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Default: </w:t>
      </w:r>
      <w:r>
        <w:rPr>
          <w:rFonts w:ascii="Times New Roman" w:cs="Times New Roman" w:eastAsia="Times New Roman" w:hAnsi="Times New Roman"/>
          <w:color w:val="1A1A2A"/>
          <w:sz w:val="20"/>
          <w:szCs w:val="20"/>
        </w:rPr>
        <w:t xml:space="preserve">Travel time billed at </w:t>
      </w:r>
      <w:r>
        <w:rPr>
          <w:rFonts w:ascii="Times New Roman" w:cs="Times New Roman" w:eastAsia="Times New Roman" w:hAnsi="Times New Roman"/>
          <w:i/>
          <w:iCs/>
          <w:color w:val="5A6070"/>
          <w:sz w:val="20"/>
          <w:szCs w:val="20"/>
          <w:highlight w:val="yellow"/>
        </w:rPr>
        <w:t xml:space="preserve">[50%]</w:t>
      </w:r>
      <w:r>
        <w:rPr>
          <w:rFonts w:ascii="Times New Roman" w:cs="Times New Roman" w:eastAsia="Times New Roman" w:hAnsi="Times New Roman"/>
          <w:color w:val="1A1A2A"/>
          <w:sz w:val="20"/>
          <w:szCs w:val="20"/>
        </w:rPr>
        <w:t xml:space="preserve"> of the applicable hourly rate.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Productive work while traveling: </w:t>
      </w:r>
      <w:r>
        <w:rPr>
          <w:rFonts w:ascii="Times New Roman" w:cs="Times New Roman" w:eastAsia="Times New Roman" w:hAnsi="Times New Roman"/>
          <w:color w:val="1A1A2A"/>
          <w:sz w:val="20"/>
          <w:szCs w:val="20"/>
        </w:rPr>
        <w:t xml:space="preserve">Billed at 100% of the applicable hourly rate (not double-counted).</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Local commuting: </w:t>
      </w:r>
      <w:r>
        <w:rPr>
          <w:rFonts w:ascii="Times New Roman" w:cs="Times New Roman" w:eastAsia="Times New Roman" w:hAnsi="Times New Roman"/>
          <w:color w:val="1A1A2A"/>
          <w:sz w:val="20"/>
          <w:szCs w:val="20"/>
        </w:rPr>
        <w:t xml:space="preserve">Not billable unless an SOW expressly provides otherwise.</w:t>
      </w:r>
    </w:p>
    <w:p>
      <w:pPr>
        <w:pStyle w:val="Heading2"/>
        <w:spacing w:before="200" w:after="80"/>
      </w:pPr>
      <w:r>
        <w:rPr>
          <w:rFonts w:ascii="Times New Roman" w:cs="Times New Roman" w:eastAsia="Times New Roman" w:hAnsi="Times New Roman"/>
          <w:b/>
          <w:bCs/>
          <w:color w:val="1B2A5E"/>
          <w:sz w:val="22"/>
          <w:szCs w:val="22"/>
        </w:rPr>
        <w:t xml:space="preserve">2.6  Reimbursable Expenses; Pre-Approval</w:t>
      </w:r>
    </w:p>
    <w:p>
      <w:pPr>
        <w:spacing w:before="60" w:after="100"/>
        <w:jc w:val="both"/>
      </w:pPr>
      <w:r>
        <w:rPr>
          <w:rFonts w:ascii="Times New Roman" w:cs="Times New Roman" w:eastAsia="Times New Roman" w:hAnsi="Times New Roman"/>
          <w:color w:val="1A1A2A"/>
          <w:sz w:val="20"/>
          <w:szCs w:val="20"/>
        </w:rPr>
        <w:t xml:space="preserve">Client will reimburse reasonable, necessary, and properly documented out-of-pocket expenses incurred to perform the Services, subject to the SOW and these defaults: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Pre-approval threshold (per expense or per trip):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unless the SOW states otherwise.</w:t>
      </w:r>
    </w:p>
    <w:p>
      <w:pPr>
        <w:pStyle w:val="ListParagraph"/>
        <w:numPr>
          <w:ilvl w:val="0"/>
          <w:numId w:val="3"/>
        </w:numPr>
        <w:spacing w:before="40" w:after="60"/>
        <w:jc w:val="both"/>
      </w:pPr>
      <w:r>
        <w:rPr>
          <w:rFonts w:ascii="Times New Roman" w:cs="Times New Roman" w:eastAsia="Times New Roman" w:hAnsi="Times New Roman"/>
          <w:color w:val="1A1A2A"/>
          <w:sz w:val="20"/>
          <w:szCs w:val="20"/>
        </w:rPr>
        <w:t xml:space="preserve">Common reimbursables include airfare, lodging, ground transportation, mileage, parking, tolls, meals while traveling, project-specific data/software approved in advance, and shipping/printing if required.</w:t>
      </w:r>
    </w:p>
    <w:p>
      <w:pPr>
        <w:pStyle w:val="Heading2"/>
        <w:spacing w:before="200" w:after="80"/>
      </w:pPr>
      <w:r>
        <w:rPr>
          <w:rFonts w:ascii="Times New Roman" w:cs="Times New Roman" w:eastAsia="Times New Roman" w:hAnsi="Times New Roman"/>
          <w:b/>
          <w:bCs/>
          <w:color w:val="1B2A5E"/>
          <w:sz w:val="22"/>
          <w:szCs w:val="22"/>
        </w:rPr>
        <w:t xml:space="preserve">2.7  Per Diem (Optional Alternative to Itemized Meals/Incidentals)</w:t>
      </w:r>
    </w:p>
    <w:p>
      <w:pPr>
        <w:spacing w:before="60" w:after="100"/>
        <w:jc w:val="both"/>
      </w:pPr>
      <w:r>
        <w:rPr>
          <w:rFonts w:ascii="Times New Roman" w:cs="Times New Roman" w:eastAsia="Times New Roman" w:hAnsi="Times New Roman"/>
          <w:color w:val="1A1A2A"/>
          <w:sz w:val="20"/>
          <w:szCs w:val="20"/>
        </w:rPr>
        <w:t xml:space="preserve">If the Parties elect per diem in an SOW:</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Per diem: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per travel day, in lieu of itemized meals and incidentals.</w:t>
      </w:r>
    </w:p>
    <w:p>
      <w:pPr>
        <w:pStyle w:val="ListParagraph"/>
        <w:numPr>
          <w:ilvl w:val="0"/>
          <w:numId w:val="3"/>
        </w:numPr>
        <w:spacing w:before="40" w:after="60"/>
        <w:jc w:val="both"/>
      </w:pPr>
      <w:r>
        <w:rPr>
          <w:rFonts w:ascii="Times New Roman" w:cs="Times New Roman" w:eastAsia="Times New Roman" w:hAnsi="Times New Roman"/>
          <w:color w:val="1A1A2A"/>
          <w:sz w:val="20"/>
          <w:szCs w:val="20"/>
        </w:rPr>
        <w:t xml:space="preserve">Lodging is excluded unless the SOW states otherwise.</w:t>
      </w:r>
    </w:p>
    <w:p>
      <w:pPr>
        <w:pStyle w:val="Heading2"/>
        <w:spacing w:before="200" w:after="80"/>
      </w:pPr>
      <w:r>
        <w:rPr>
          <w:rFonts w:ascii="Times New Roman" w:cs="Times New Roman" w:eastAsia="Times New Roman" w:hAnsi="Times New Roman"/>
          <w:b/>
          <w:bCs/>
          <w:color w:val="1B2A5E"/>
          <w:sz w:val="22"/>
          <w:szCs w:val="22"/>
        </w:rPr>
        <w:t xml:space="preserve">2.8  Mileage / Airfare / Hotel Defaults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Mileage: </w:t>
      </w:r>
      <w:r>
        <w:rPr>
          <w:rFonts w:ascii="Times New Roman" w:cs="Times New Roman" w:eastAsia="Times New Roman" w:hAnsi="Times New Roman"/>
          <w:color w:val="1A1A2A"/>
          <w:sz w:val="20"/>
          <w:szCs w:val="20"/>
        </w:rPr>
        <w:t xml:space="preserve">IRS standard mileage rate (or </w:t>
      </w:r>
      <w:r>
        <w:rPr>
          <w:rFonts w:ascii="Times New Roman" w:cs="Times New Roman" w:eastAsia="Times New Roman" w:hAnsi="Times New Roman"/>
          <w:i/>
          <w:iCs/>
          <w:color w:val="5A6070"/>
          <w:sz w:val="20"/>
          <w:szCs w:val="20"/>
          <w:highlight w:val="yellow"/>
        </w:rPr>
        <w:t xml:space="preserve">[$___/mile]</w:t>
      </w:r>
      <w:r>
        <w:rPr>
          <w:rFonts w:ascii="Times New Roman" w:cs="Times New Roman" w:eastAsia="Times New Roman" w:hAnsi="Times New Roman"/>
          <w:color w:val="1A1A2A"/>
          <w:sz w:val="20"/>
          <w:szCs w:val="20"/>
        </w:rPr>
        <w:t xml:space="preserve"> if the SOW specifies).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Airfare: </w:t>
      </w:r>
      <w:r>
        <w:rPr>
          <w:rFonts w:ascii="Times New Roman" w:cs="Times New Roman" w:eastAsia="Times New Roman" w:hAnsi="Times New Roman"/>
          <w:color w:val="1A1A2A"/>
          <w:sz w:val="20"/>
          <w:szCs w:val="20"/>
        </w:rPr>
        <w:t xml:space="preserve">Coach/economy for flights under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hours; premium economy/business requires Client pre-approval (unless required for documented medical reasons).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Hotels: </w:t>
      </w:r>
      <w:r>
        <w:rPr>
          <w:rFonts w:ascii="Times New Roman" w:cs="Times New Roman" w:eastAsia="Times New Roman" w:hAnsi="Times New Roman"/>
          <w:color w:val="1A1A2A"/>
          <w:sz w:val="20"/>
          <w:szCs w:val="20"/>
        </w:rPr>
        <w:t xml:space="preserve">Mid-range business hotels; luxury properties require Client pre-approval.</w:t>
      </w:r>
    </w:p>
    <w:p>
      <w:pPr>
        <w:pStyle w:val="Heading2"/>
        <w:spacing w:before="200" w:after="80"/>
      </w:pPr>
      <w:r>
        <w:rPr>
          <w:rFonts w:ascii="Times New Roman" w:cs="Times New Roman" w:eastAsia="Times New Roman" w:hAnsi="Times New Roman"/>
          <w:b/>
          <w:bCs/>
          <w:color w:val="1B2A5E"/>
          <w:sz w:val="22"/>
          <w:szCs w:val="22"/>
        </w:rPr>
        <w:t xml:space="preserve">2.9  Invoicing and Payment</w:t>
      </w:r>
    </w:p>
    <w:p>
      <w:pPr>
        <w:spacing w:before="60" w:after="100"/>
        <w:jc w:val="both"/>
      </w:pPr>
      <w:r>
        <w:rPr>
          <w:rFonts w:ascii="Times New Roman" w:cs="Times New Roman" w:eastAsia="Times New Roman" w:hAnsi="Times New Roman"/>
          <w:color w:val="1A1A2A"/>
          <w:sz w:val="20"/>
          <w:szCs w:val="20"/>
        </w:rPr>
        <w:t xml:space="preserve">Invoicing and payment terms are as stated in the Agreement and applicable SOW (including invoice timing, dispute window, and late charges).</w:t>
      </w:r>
    </w:p>
    <w:p>
      <w:pPr>
        <w:pStyle w:val="Heading2"/>
        <w:spacing w:before="200" w:after="80"/>
      </w:pPr>
      <w:r>
        <w:rPr>
          <w:rFonts w:ascii="Times New Roman" w:cs="Times New Roman" w:eastAsia="Times New Roman" w:hAnsi="Times New Roman"/>
          <w:b/>
          <w:bCs/>
          <w:color w:val="1B2A5E"/>
          <w:sz w:val="22"/>
          <w:szCs w:val="22"/>
        </w:rPr>
        <w:t xml:space="preserve">2.10  Rate Review; Annual Increase</w:t>
      </w:r>
    </w:p>
    <w:p>
      <w:pPr>
        <w:spacing w:before="60" w:after="100"/>
        <w:jc w:val="both"/>
      </w:pPr>
      <w:r>
        <w:rPr>
          <w:rFonts w:ascii="Times New Roman" w:cs="Times New Roman" w:eastAsia="Times New Roman" w:hAnsi="Times New Roman"/>
          <w:color w:val="1A1A2A"/>
          <w:sz w:val="20"/>
          <w:szCs w:val="20"/>
        </w:rPr>
        <w:t xml:space="preserve">Unless an SOW states otherwise:</w:t>
      </w:r>
    </w:p>
    <w:p>
      <w:pPr>
        <w:pStyle w:val="ListParagraph"/>
        <w:numPr>
          <w:ilvl w:val="0"/>
          <w:numId w:val="3"/>
        </w:numPr>
        <w:spacing w:before="40" w:after="60"/>
        <w:jc w:val="both"/>
      </w:pPr>
      <w:r>
        <w:rPr>
          <w:rFonts w:ascii="Times New Roman" w:cs="Times New Roman" w:eastAsia="Times New Roman" w:hAnsi="Times New Roman"/>
          <w:color w:val="1A1A2A"/>
          <w:sz w:val="20"/>
          <w:szCs w:val="20"/>
        </w:rPr>
        <w:t xml:space="preserve">Consultant may review rates annually and increase standard hourly rates upon </w:t>
      </w:r>
      <w:r>
        <w:rPr>
          <w:rFonts w:ascii="Times New Roman" w:cs="Times New Roman" w:eastAsia="Times New Roman" w:hAnsi="Times New Roman"/>
          <w:i/>
          <w:iCs/>
          <w:color w:val="5A6070"/>
          <w:sz w:val="20"/>
          <w:szCs w:val="20"/>
          <w:highlight w:val="yellow"/>
        </w:rPr>
        <w:t xml:space="preserve">[30]</w:t>
      </w:r>
      <w:r>
        <w:rPr>
          <w:rFonts w:ascii="Times New Roman" w:cs="Times New Roman" w:eastAsia="Times New Roman" w:hAnsi="Times New Roman"/>
          <w:color w:val="1A1A2A"/>
          <w:sz w:val="20"/>
          <w:szCs w:val="20"/>
        </w:rPr>
        <w:t xml:space="preserve"> days' prior written notice.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Annual increase cap: </w:t>
      </w:r>
      <w:r>
        <w:rPr>
          <w:rFonts w:ascii="Times New Roman" w:cs="Times New Roman" w:eastAsia="Times New Roman" w:hAnsi="Times New Roman"/>
          <w:i/>
          <w:iCs/>
          <w:color w:val="5A6070"/>
          <w:sz w:val="20"/>
          <w:szCs w:val="20"/>
          <w:highlight w:val="yellow"/>
        </w:rPr>
        <w:t xml:space="preserve">[5%]</w:t>
      </w:r>
      <w:r>
        <w:rPr>
          <w:rFonts w:ascii="Times New Roman" w:cs="Times New Roman" w:eastAsia="Times New Roman" w:hAnsi="Times New Roman"/>
          <w:color w:val="1A1A2A"/>
          <w:sz w:val="20"/>
          <w:szCs w:val="20"/>
        </w:rPr>
        <w:t xml:space="preserve"> per calendar year.</w:t>
      </w:r>
    </w:p>
    <w:p>
      <w:pPr>
        <w:pStyle w:val="ListParagraph"/>
        <w:numPr>
          <w:ilvl w:val="0"/>
          <w:numId w:val="3"/>
        </w:numPr>
        <w:spacing w:before="40" w:after="60"/>
        <w:jc w:val="both"/>
      </w:pPr>
      <w:r>
        <w:rPr>
          <w:rFonts w:ascii="Times New Roman" w:cs="Times New Roman" w:eastAsia="Times New Roman" w:hAnsi="Times New Roman"/>
          <w:color w:val="1A1A2A"/>
          <w:sz w:val="20"/>
          <w:szCs w:val="20"/>
        </w:rPr>
        <w:t xml:space="preserve">For active SOWs, rate changes apply only as stated in that SOW.</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Service Line Rate Structures</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A  —  Corporate / Transactions &amp; Strategy</w:t>
      </w:r>
    </w:p>
    <w:p>
      <w:pPr>
        <w:spacing w:before="160" w:after="60"/>
      </w:pPr>
      <w:r>
        <w:rPr>
          <w:rFonts w:ascii="Times New Roman" w:cs="Times New Roman" w:eastAsia="Times New Roman" w:hAnsi="Times New Roman"/>
          <w:b/>
          <w:bCs/>
          <w:color w:val="2E4A8A"/>
          <w:sz w:val="20"/>
          <w:szCs w:val="20"/>
        </w:rPr>
        <w:t xml:space="preserve">A1.  Typical Scope (Illustrative)</w:t>
      </w:r>
    </w:p>
    <w:p>
      <w:pPr>
        <w:spacing w:before="60" w:after="100"/>
        <w:jc w:val="both"/>
      </w:pPr>
      <w:r>
        <w:rPr>
          <w:rFonts w:ascii="Times New Roman" w:cs="Times New Roman" w:eastAsia="Times New Roman" w:hAnsi="Times New Roman"/>
          <w:color w:val="1A1A2A"/>
          <w:sz w:val="20"/>
          <w:szCs w:val="20"/>
        </w:rPr>
        <w:t xml:space="preserve">Corporate and portfolio strategy, corporate development support, M&amp;A and A&amp;D process support, diligence coordination, value creation plans, synergy assessments, integration planning, board/C-suite advisory, investor materials support (non-securities legal advice).</w:t>
      </w:r>
    </w:p>
    <w:p>
      <w:pPr>
        <w:spacing w:before="160" w:after="60"/>
      </w:pPr>
      <w:r>
        <w:rPr>
          <w:rFonts w:ascii="Times New Roman" w:cs="Times New Roman" w:eastAsia="Times New Roman" w:hAnsi="Times New Roman"/>
          <w:b/>
          <w:bCs/>
          <w:color w:val="2E4A8A"/>
          <w:sz w:val="20"/>
          <w:szCs w:val="20"/>
        </w:rPr>
        <w:t xml:space="preserve">A2.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Deal leadership; executive advisory; senior stakeholder mgmt</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Director</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Workstream leadership; diligence oversight; QA/QC</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[$275–$500]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[$300–$550]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[$2,200–$4,000]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[$2,400–$4,400]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Engagement Manager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PMO; schedule; RAID logs; comms</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[$200–$375]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[$225–$425]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[$1,600–$3,000]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[$1,800–$3,400]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Senior Consultant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Modeling; decks; benchmarking</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[$175–$325]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[$200–$375]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[$1,400–$2,600]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[$1,600–$3,000]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Consultant / Analyst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Research; analysis support; data rooms</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[$110–$250]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[$125–$290]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[$880–$2,000]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[$1,000–$2,320]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(if stated in SOW): </w:t>
      </w:r>
      <w:r>
        <w:rPr>
          <w:rFonts w:ascii="Times New Roman" w:cs="Times New Roman" w:eastAsia="Times New Roman" w:hAnsi="Times New Roman"/>
          <w:i/>
          <w:iCs/>
          <w:color w:val="5A6070"/>
          <w:sz w:val="20"/>
          <w:szCs w:val="20"/>
          <w:highlight w:val="yellow"/>
        </w:rPr>
        <w:t xml:space="preserve">[$___/hr remote]</w:t>
      </w:r>
      <w:r>
        <w:rPr>
          <w:rFonts w:ascii="Times New Roman" w:cs="Times New Roman" w:eastAsia="Times New Roman" w:hAnsi="Times New Roman"/>
          <w:color w:val="1A1A2A"/>
          <w:sz w:val="20"/>
          <w:szCs w:val="20"/>
        </w:rPr>
        <w:t xml:space="preserve"> and/or </w:t>
      </w:r>
      <w:r>
        <w:rPr>
          <w:rFonts w:ascii="Times New Roman" w:cs="Times New Roman" w:eastAsia="Times New Roman" w:hAnsi="Times New Roman"/>
          <w:i/>
          <w:iCs/>
          <w:color w:val="5A6070"/>
          <w:sz w:val="20"/>
          <w:szCs w:val="20"/>
          <w:highlight w:val="yellow"/>
        </w:rPr>
        <w:t xml:space="preserve">[$___/hr onsite]</w:t>
      </w:r>
      <w:r>
        <w:rPr>
          <w:rFonts w:ascii="Times New Roman" w:cs="Times New Roman" w:eastAsia="Times New Roman" w:hAnsi="Times New Roman"/>
          <w:color w:val="1A1A2A"/>
          <w:sz w:val="20"/>
          <w:szCs w:val="20"/>
        </w:rPr>
        <w:t xml:space="preserve">, based on an agreed staffing plan.</w:t>
      </w:r>
    </w:p>
    <w:p>
      <w:pPr>
        <w:spacing w:before="160" w:after="60"/>
      </w:pPr>
      <w:r>
        <w:rPr>
          <w:rFonts w:ascii="Times New Roman" w:cs="Times New Roman" w:eastAsia="Times New Roman" w:hAnsi="Times New Roman"/>
          <w:b/>
          <w:bCs/>
          <w:color w:val="2E4A8A"/>
          <w:sz w:val="20"/>
          <w:szCs w:val="20"/>
        </w:rPr>
        <w:t xml:space="preserve">A3.  Retainer Options (If Selected in an SOW)</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Executive Advisory Access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includes up to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of MD/Principal access; incremental hours billed hourly.</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Hours Bank Retainer: </w:t>
      </w:r>
      <w:r>
        <w:rPr>
          <w:rFonts w:ascii="Times New Roman" w:cs="Times New Roman" w:eastAsia="Times New Roman" w:hAnsi="Times New Roman"/>
          <w:color w:val="1A1A2A"/>
          <w:sz w:val="20"/>
          <w:szCs w:val="20"/>
        </w:rPr>
        <w:t xml:space="preserve">Pre-purchase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hours/month at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 unused hours </w:t>
      </w:r>
      <w:r>
        <w:rPr>
          <w:rFonts w:ascii="Times New Roman" w:cs="Times New Roman" w:eastAsia="Times New Roman" w:hAnsi="Times New Roman"/>
          <w:i/>
          <w:iCs/>
          <w:color w:val="5A6070"/>
          <w:sz w:val="20"/>
          <w:szCs w:val="20"/>
          <w:highlight w:val="yellow"/>
        </w:rPr>
        <w:t xml:space="preserve">[expire/roll 1 month/roll to cap]</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Fractional Executive (e.g., interim corporate development lead):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days/month at a monthly fee of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(includes defined availability and scope boundaries).</w:t>
      </w:r>
    </w:p>
    <w:p>
      <w:pPr>
        <w:spacing w:before="160" w:after="60"/>
      </w:pPr>
      <w:r>
        <w:rPr>
          <w:rFonts w:ascii="Times New Roman" w:cs="Times New Roman" w:eastAsia="Times New Roman" w:hAnsi="Times New Roman"/>
          <w:b/>
          <w:bCs/>
          <w:color w:val="2E4A8A"/>
          <w:sz w:val="20"/>
          <w:szCs w:val="20"/>
        </w:rPr>
        <w:t xml:space="preserve">A4.  Project-Based Fee Structures (If Selected in an SOW)</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 fee (defined scope): </w:t>
      </w:r>
      <w:r>
        <w:rPr>
          <w:rFonts w:ascii="Times New Roman" w:cs="Times New Roman" w:eastAsia="Times New Roman" w:hAnsi="Times New Roman"/>
          <w:color w:val="1A1A2A"/>
          <w:sz w:val="20"/>
          <w:szCs w:val="20"/>
        </w:rPr>
        <w:t xml:space="preserve">e.g., strategy sprint, valuation framework, IC deck support — fee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assumptions and change control per Agreement.</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Milestone-based: </w:t>
      </w:r>
      <w:r>
        <w:rPr>
          <w:rFonts w:ascii="Times New Roman" w:cs="Times New Roman" w:eastAsia="Times New Roman" w:hAnsi="Times New Roman"/>
          <w:color w:val="1A1A2A"/>
          <w:sz w:val="20"/>
          <w:szCs w:val="20"/>
        </w:rPr>
        <w:t xml:space="preserve">e.g., (1) kickoff and workplan; (2) management interviews; (3) draft deliverable; (4) final — milestone fees set in SOW.</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Success/contingent components (limited): </w:t>
      </w:r>
      <w:r>
        <w:rPr>
          <w:rFonts w:ascii="Times New Roman" w:cs="Times New Roman" w:eastAsia="Times New Roman" w:hAnsi="Times New Roman"/>
          <w:color w:val="1A1A2A"/>
          <w:sz w:val="20"/>
          <w:szCs w:val="20"/>
        </w:rPr>
        <w:t xml:space="preserve">Any success fee, closing fee, or contingent component must (a) be expressly stated in an SOW, (b) comply with applicable law and professional/ethical limits (including no broker-dealer activity unless separately licensed), and (c) define measurement, timing, and payment mechanics.</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B  —  A&amp;D / Reserves / Engineering Support</w:t>
      </w:r>
    </w:p>
    <w:p>
      <w:pPr>
        <w:spacing w:before="160" w:after="60"/>
      </w:pPr>
      <w:r>
        <w:rPr>
          <w:rFonts w:ascii="Times New Roman" w:cs="Times New Roman" w:eastAsia="Times New Roman" w:hAnsi="Times New Roman"/>
          <w:b/>
          <w:bCs/>
          <w:color w:val="2E4A8A"/>
          <w:sz w:val="20"/>
          <w:szCs w:val="20"/>
        </w:rPr>
        <w:t xml:space="preserve">B1.  Typical Scope (Illustrative)</w:t>
      </w:r>
    </w:p>
    <w:p>
      <w:pPr>
        <w:spacing w:before="60" w:after="100"/>
        <w:jc w:val="both"/>
      </w:pPr>
      <w:r>
        <w:rPr>
          <w:rFonts w:ascii="Times New Roman" w:cs="Times New Roman" w:eastAsia="Times New Roman" w:hAnsi="Times New Roman"/>
          <w:color w:val="1A1A2A"/>
          <w:sz w:val="20"/>
          <w:szCs w:val="20"/>
        </w:rPr>
        <w:t xml:space="preserve">Technical diligence support, type curve and PDP/PUD analysis support, decline curve analysis, development timing and capital phasing inputs, reserve engineering support (non-certifying unless SOW expressly provides), benchmarking, uncertainty/risk ranges.</w:t>
      </w:r>
    </w:p>
    <w:p>
      <w:pPr>
        <w:spacing w:before="160" w:after="60"/>
      </w:pPr>
      <w:r>
        <w:rPr>
          <w:rFonts w:ascii="Times New Roman" w:cs="Times New Roman" w:eastAsia="Times New Roman" w:hAnsi="Times New Roman"/>
          <w:b/>
          <w:bCs/>
          <w:color w:val="2E4A8A"/>
          <w:sz w:val="20"/>
          <w:szCs w:val="20"/>
        </w:rPr>
        <w:t xml:space="preserve">B2.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Technical oversight; investment committee support</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Technical Lead</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Technical sign-off; QA/QC; methodology</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[$300–$575]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[$2,200–$4,200]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[$2,400–$4,600]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Reservoir/Production/Facilities Specialist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Specialist modeling; peer review</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[$200–$450]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[$225–$500]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[$1,600–$3,600]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[$1,800–$4,000]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Senior Consultant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Modeling; drafting; data reconciliation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[$175–$325]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[$200–$375]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[$1,400–$2,600]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[$1,600–$3,000]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Analyst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Data cleaning; database builds; charting</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[$110–$200]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[$125–$225]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[$880–$1,600]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[$1,000–$1,800]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 (often used for rapid A&amp;D diligence windows).</w:t>
      </w:r>
    </w:p>
    <w:p>
      <w:pPr>
        <w:spacing w:before="160" w:after="60"/>
      </w:pPr>
      <w:r>
        <w:rPr>
          <w:rFonts w:ascii="Times New Roman" w:cs="Times New Roman" w:eastAsia="Times New Roman" w:hAnsi="Times New Roman"/>
          <w:b/>
          <w:bCs/>
          <w:color w:val="2E4A8A"/>
          <w:sz w:val="20"/>
          <w:szCs w:val="20"/>
        </w:rPr>
        <w:t xml:space="preserve">B3.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Technical Advisory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up to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of technical review and Q&amp;A; incremental billed hourly.</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Standby / Deal Window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priority staffing during active deal processes (project work billed hourly or via fixed fee in SOW).</w:t>
      </w:r>
    </w:p>
    <w:p>
      <w:pPr>
        <w:spacing w:before="160" w:after="60"/>
      </w:pPr>
      <w:r>
        <w:rPr>
          <w:rFonts w:ascii="Times New Roman" w:cs="Times New Roman" w:eastAsia="Times New Roman" w:hAnsi="Times New Roman"/>
          <w:b/>
          <w:bCs/>
          <w:color w:val="2E4A8A"/>
          <w:sz w:val="20"/>
          <w:szCs w:val="20"/>
        </w:rPr>
        <w:t xml:space="preserve">B4.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Fixed-fee technical diligence package: </w:t>
      </w:r>
      <w:r>
        <w:rPr>
          <w:rFonts w:ascii="Times New Roman" w:cs="Times New Roman" w:eastAsia="Times New Roman" w:hAnsi="Times New Roman"/>
          <w:color w:val="1A1A2A"/>
          <w:sz w:val="20"/>
          <w:szCs w:val="20"/>
        </w:rPr>
        <w:t xml:space="preserve">fee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for defined asset scope, data availability assumptions, and deliverables.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Milestone-based diligence: </w:t>
      </w:r>
      <w:r>
        <w:rPr>
          <w:rFonts w:ascii="Times New Roman" w:cs="Times New Roman" w:eastAsia="Times New Roman" w:hAnsi="Times New Roman"/>
          <w:color w:val="1A1A2A"/>
          <w:sz w:val="20"/>
          <w:szCs w:val="20"/>
        </w:rPr>
        <w:t xml:space="preserve">e.g., preliminary view → midstream update → final technical memo.</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Contingent components: </w:t>
      </w:r>
      <w:r>
        <w:rPr>
          <w:rFonts w:ascii="Times New Roman" w:cs="Times New Roman" w:eastAsia="Times New Roman" w:hAnsi="Times New Roman"/>
          <w:color w:val="1A1A2A"/>
          <w:sz w:val="20"/>
          <w:szCs w:val="20"/>
        </w:rPr>
        <w:t xml:space="preserve">Generally discouraged for reserves/engineering diligence; permitted only if expressly stated in SOW and compliant with applicable law/ethics, with clear exclusions for reserve certification.</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C  —  Commercial / Marketing &amp; Midstream</w:t>
      </w:r>
    </w:p>
    <w:p>
      <w:pPr>
        <w:spacing w:before="160" w:after="60"/>
      </w:pPr>
      <w:r>
        <w:rPr>
          <w:rFonts w:ascii="Times New Roman" w:cs="Times New Roman" w:eastAsia="Times New Roman" w:hAnsi="Times New Roman"/>
          <w:b/>
          <w:bCs/>
          <w:color w:val="2E4A8A"/>
          <w:sz w:val="20"/>
          <w:szCs w:val="20"/>
        </w:rPr>
        <w:t xml:space="preserve">C1.  Typical Scope</w:t>
      </w:r>
    </w:p>
    <w:p>
      <w:pPr>
        <w:spacing w:before="60" w:after="100"/>
        <w:jc w:val="both"/>
      </w:pPr>
      <w:r>
        <w:rPr>
          <w:rFonts w:ascii="Times New Roman" w:cs="Times New Roman" w:eastAsia="Times New Roman" w:hAnsi="Times New Roman"/>
          <w:color w:val="1A1A2A"/>
          <w:sz w:val="20"/>
          <w:szCs w:val="20"/>
        </w:rPr>
        <w:t xml:space="preserve">Market analysis (crude, gas, NGL), basis and price forecast support (non-guaranteed), contract review support (commercial terms only), transportation options, midstream capacity and tariff analysis, hedge policy support (non-broker).</w:t>
      </w:r>
    </w:p>
    <w:p>
      <w:pPr>
        <w:spacing w:before="160" w:after="60"/>
      </w:pPr>
      <w:r>
        <w:rPr>
          <w:rFonts w:ascii="Times New Roman" w:cs="Times New Roman" w:eastAsia="Times New Roman" w:hAnsi="Times New Roman"/>
          <w:b/>
          <w:bCs/>
          <w:color w:val="2E4A8A"/>
          <w:sz w:val="20"/>
          <w:szCs w:val="20"/>
        </w:rPr>
        <w:t xml:space="preserve">C2.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Commercial strategy; senior negotiations support</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Director</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Commercial lead; contracts workstream</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[$250–$475]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[$2,000–$3,800]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[$2,200–$4,200]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Senior Consultant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Pricing/basis modeling; deck development</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[$175–$325]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[$200–$375]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[$1,400–$2,600]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[$1,600–$3,000]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Analyst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Data pulls; curves; market research</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[$110–$200]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[$880–$1,600]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[$1,000–$1,800]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w:t>
      </w:r>
    </w:p>
    <w:p>
      <w:pPr>
        <w:spacing w:before="160" w:after="60"/>
      </w:pPr>
      <w:r>
        <w:rPr>
          <w:rFonts w:ascii="Times New Roman" w:cs="Times New Roman" w:eastAsia="Times New Roman" w:hAnsi="Times New Roman"/>
          <w:b/>
          <w:bCs/>
          <w:color w:val="2E4A8A"/>
          <w:sz w:val="20"/>
          <w:szCs w:val="20"/>
        </w:rPr>
        <w:t xml:space="preserve">C3.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Commercial Desk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includes up to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of analytics and advisory; response time target </w:t>
      </w:r>
      <w:r>
        <w:rPr>
          <w:rFonts w:ascii="Times New Roman" w:cs="Times New Roman" w:eastAsia="Times New Roman" w:hAnsi="Times New Roman"/>
          <w:i/>
          <w:iCs/>
          <w:color w:val="5A6070"/>
          <w:sz w:val="20"/>
          <w:szCs w:val="20"/>
          <w:highlight w:val="yellow"/>
        </w:rPr>
        <w:t xml:space="preserve">[__ business hours]</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Fractional Commercial Lead: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days/month.</w:t>
      </w:r>
    </w:p>
    <w:p>
      <w:pPr>
        <w:spacing w:before="160" w:after="60"/>
      </w:pPr>
      <w:r>
        <w:rPr>
          <w:rFonts w:ascii="Times New Roman" w:cs="Times New Roman" w:eastAsia="Times New Roman" w:hAnsi="Times New Roman"/>
          <w:b/>
          <w:bCs/>
          <w:color w:val="2E4A8A"/>
          <w:sz w:val="20"/>
          <w:szCs w:val="20"/>
        </w:rPr>
        <w:t xml:space="preserve">C4.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Fixed-fee market study: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for defined region/products and deliverables.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Contracting/negotiation support (milestone): </w:t>
      </w:r>
      <w:r>
        <w:rPr>
          <w:rFonts w:ascii="Times New Roman" w:cs="Times New Roman" w:eastAsia="Times New Roman" w:hAnsi="Times New Roman"/>
          <w:color w:val="1A1A2A"/>
          <w:sz w:val="20"/>
          <w:szCs w:val="20"/>
        </w:rPr>
        <w:t xml:space="preserve">e.g., term sheet → redline support (commercial) → final negotiation support.</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Success components: </w:t>
      </w:r>
      <w:r>
        <w:rPr>
          <w:rFonts w:ascii="Times New Roman" w:cs="Times New Roman" w:eastAsia="Times New Roman" w:hAnsi="Times New Roman"/>
          <w:color w:val="1A1A2A"/>
          <w:sz w:val="20"/>
          <w:szCs w:val="20"/>
        </w:rPr>
        <w:t xml:space="preserve">Any savings-share or performance component must be defined in SOW (measurement baseline, audit rights if any, and exclusions).</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D  —  Operations / Production Optimization</w:t>
      </w:r>
    </w:p>
    <w:p>
      <w:pPr>
        <w:spacing w:before="160" w:after="60"/>
      </w:pPr>
      <w:r>
        <w:rPr>
          <w:rFonts w:ascii="Times New Roman" w:cs="Times New Roman" w:eastAsia="Times New Roman" w:hAnsi="Times New Roman"/>
          <w:b/>
          <w:bCs/>
          <w:color w:val="2E4A8A"/>
          <w:sz w:val="20"/>
          <w:szCs w:val="20"/>
        </w:rPr>
        <w:t xml:space="preserve">D1.  Typical Scope</w:t>
      </w:r>
    </w:p>
    <w:p>
      <w:pPr>
        <w:spacing w:before="60" w:after="100"/>
        <w:jc w:val="both"/>
      </w:pPr>
      <w:r>
        <w:rPr>
          <w:rFonts w:ascii="Times New Roman" w:cs="Times New Roman" w:eastAsia="Times New Roman" w:hAnsi="Times New Roman"/>
          <w:color w:val="1A1A2A"/>
          <w:sz w:val="20"/>
          <w:szCs w:val="20"/>
        </w:rPr>
        <w:t xml:space="preserve">Production surveillance, downtime analysis, LOE benchmarking, artificial lift optimization support, field visit support, reliability programs, workover prioritization frameworks (advisory only).</w:t>
      </w:r>
    </w:p>
    <w:p>
      <w:pPr>
        <w:spacing w:before="160" w:after="60"/>
      </w:pPr>
      <w:r>
        <w:rPr>
          <w:rFonts w:ascii="Times New Roman" w:cs="Times New Roman" w:eastAsia="Times New Roman" w:hAnsi="Times New Roman"/>
          <w:b/>
          <w:bCs/>
          <w:color w:val="2E4A8A"/>
          <w:sz w:val="20"/>
          <w:szCs w:val="20"/>
        </w:rPr>
        <w:t xml:space="preserve">D2.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Executive ops advisory</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Ops Lead</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Program leadership; field coordination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[$250–$475]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[$2,000–$3,800]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[$2,200–$4,200]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Production/Facilities Specialist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Optimization; troubleshooting</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[$200–$450]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[$225–$500]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[$1,600–$3,600]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[$1,800–$4,000]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Senior Consultant / Analyst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Surveillance; KPI dashboards</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[$150–$300]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[$175–$350]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[$1,200–$2,400]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[$1,400–$2,800]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w:t>
      </w:r>
    </w:p>
    <w:p>
      <w:pPr>
        <w:spacing w:before="160" w:after="60"/>
      </w:pPr>
      <w:r>
        <w:rPr>
          <w:rFonts w:ascii="Times New Roman" w:cs="Times New Roman" w:eastAsia="Times New Roman" w:hAnsi="Times New Roman"/>
          <w:b/>
          <w:bCs/>
          <w:color w:val="2E4A8A"/>
          <w:sz w:val="20"/>
          <w:szCs w:val="20"/>
        </w:rPr>
        <w:t xml:space="preserve">D3.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Operations Surveillance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up to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and a recurring cadence (weekly/monthly) with defined deliverables.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Field Support Standby: </w:t>
      </w:r>
      <w:r>
        <w:rPr>
          <w:rFonts w:ascii="Times New Roman" w:cs="Times New Roman" w:eastAsia="Times New Roman" w:hAnsi="Times New Roman"/>
          <w:color w:val="1A1A2A"/>
          <w:sz w:val="20"/>
          <w:szCs w:val="20"/>
        </w:rPr>
        <w:t xml:space="preserve">monthly standby fee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plus daily rates for field days.</w:t>
      </w:r>
    </w:p>
    <w:p>
      <w:pPr>
        <w:spacing w:before="160" w:after="60"/>
      </w:pPr>
      <w:r>
        <w:rPr>
          <w:rFonts w:ascii="Times New Roman" w:cs="Times New Roman" w:eastAsia="Times New Roman" w:hAnsi="Times New Roman"/>
          <w:b/>
          <w:bCs/>
          <w:color w:val="2E4A8A"/>
          <w:sz w:val="20"/>
          <w:szCs w:val="20"/>
        </w:rPr>
        <w:t xml:space="preserve">D4.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Fixed-fee optimization sprint: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for defined asset list, KPIs, and recommendations.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Savings-share component (optional): </w:t>
      </w:r>
      <w:r>
        <w:rPr>
          <w:rFonts w:ascii="Times New Roman" w:cs="Times New Roman" w:eastAsia="Times New Roman" w:hAnsi="Times New Roman"/>
          <w:color w:val="1A1A2A"/>
          <w:sz w:val="20"/>
          <w:szCs w:val="20"/>
        </w:rPr>
        <w:t xml:space="preserve">Only if expressly stated in SOW with baseline definition, verification method, exclusions (commodity price effects, capital projects not recommended by Consultant, etc.), and payment timing.</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E  —  Regulatory / ESG / HSE Advisory</w:t>
      </w:r>
    </w:p>
    <w:p>
      <w:pPr>
        <w:spacing w:before="160" w:after="60"/>
      </w:pPr>
      <w:r>
        <w:rPr>
          <w:rFonts w:ascii="Times New Roman" w:cs="Times New Roman" w:eastAsia="Times New Roman" w:hAnsi="Times New Roman"/>
          <w:b/>
          <w:bCs/>
          <w:color w:val="2E4A8A"/>
          <w:sz w:val="20"/>
          <w:szCs w:val="20"/>
        </w:rPr>
        <w:t xml:space="preserve">E1.  Typical Scope</w:t>
      </w:r>
    </w:p>
    <w:p>
      <w:pPr>
        <w:spacing w:before="60" w:after="100"/>
        <w:jc w:val="both"/>
      </w:pPr>
      <w:r>
        <w:rPr>
          <w:rFonts w:ascii="Times New Roman" w:cs="Times New Roman" w:eastAsia="Times New Roman" w:hAnsi="Times New Roman"/>
          <w:color w:val="1A1A2A"/>
          <w:sz w:val="20"/>
          <w:szCs w:val="20"/>
        </w:rPr>
        <w:t xml:space="preserve">ESG program support, reporting frameworks support, emissions inventory support (non-verification unless specified), regulatory strategy support and agency-facing materials support (non-legal advice), HSE program advisory, contractor safety program review.</w:t>
      </w:r>
    </w:p>
    <w:p>
      <w:pPr>
        <w:spacing w:before="160" w:after="60"/>
      </w:pPr>
      <w:r>
        <w:rPr>
          <w:rFonts w:ascii="Times New Roman" w:cs="Times New Roman" w:eastAsia="Times New Roman" w:hAnsi="Times New Roman"/>
          <w:b/>
          <w:bCs/>
          <w:color w:val="2E4A8A"/>
          <w:sz w:val="20"/>
          <w:szCs w:val="20"/>
        </w:rPr>
        <w:t xml:space="preserve">E2.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Executive ESG/HSE advisory</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Director</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Program lead; governance; QA/QC</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[$250–$475]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[$2,000–$3,800]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[$2,200–$4,200]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Specialist (ESG/HSE/Regulatory)</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Inventory; controls; policy</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[$175–$400]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[$200–$450]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[$1,400–$3,200]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Consultant / Analyst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Data gathering; reporting support</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[$110–$250]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[$125–$290]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[$880–$2,000]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[$1,000–$2,320]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w:t>
      </w:r>
    </w:p>
    <w:p>
      <w:pPr>
        <w:spacing w:before="160" w:after="60"/>
      </w:pPr>
      <w:r>
        <w:rPr>
          <w:rFonts w:ascii="Times New Roman" w:cs="Times New Roman" w:eastAsia="Times New Roman" w:hAnsi="Times New Roman"/>
          <w:b/>
          <w:bCs/>
          <w:color w:val="2E4A8A"/>
          <w:sz w:val="20"/>
          <w:szCs w:val="20"/>
        </w:rPr>
        <w:t xml:space="preserve">E3.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ESG/Regulatory Office Hours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up to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of advisory and review.</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Compliance Program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ongoing program management support (defined cadence and deliverables in SOW).</w:t>
      </w:r>
    </w:p>
    <w:p>
      <w:pPr>
        <w:spacing w:before="160" w:after="60"/>
      </w:pPr>
      <w:r>
        <w:rPr>
          <w:rFonts w:ascii="Times New Roman" w:cs="Times New Roman" w:eastAsia="Times New Roman" w:hAnsi="Times New Roman"/>
          <w:b/>
          <w:bCs/>
          <w:color w:val="2E4A8A"/>
          <w:sz w:val="20"/>
          <w:szCs w:val="20"/>
        </w:rPr>
        <w:t xml:space="preserve">E4.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Fixed-fee ESG readiness assessment: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Reporting support milestone plan: </w:t>
      </w:r>
      <w:r>
        <w:rPr>
          <w:rFonts w:ascii="Times New Roman" w:cs="Times New Roman" w:eastAsia="Times New Roman" w:hAnsi="Times New Roman"/>
          <w:color w:val="1A1A2A"/>
          <w:sz w:val="20"/>
          <w:szCs w:val="20"/>
        </w:rPr>
        <w:t xml:space="preserve">draft → management review → final.</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Contingent fees: </w:t>
      </w:r>
      <w:r>
        <w:rPr>
          <w:rFonts w:ascii="Times New Roman" w:cs="Times New Roman" w:eastAsia="Times New Roman" w:hAnsi="Times New Roman"/>
          <w:color w:val="1A1A2A"/>
          <w:sz w:val="20"/>
          <w:szCs w:val="20"/>
        </w:rPr>
        <w:t xml:space="preserve">Not typical; permitted only if expressly stated in SOW and legally permissible.</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F  —  Data / Analytics / Digital &amp; Automation</w:t>
      </w:r>
    </w:p>
    <w:p>
      <w:pPr>
        <w:spacing w:before="160" w:after="60"/>
      </w:pPr>
      <w:r>
        <w:rPr>
          <w:rFonts w:ascii="Times New Roman" w:cs="Times New Roman" w:eastAsia="Times New Roman" w:hAnsi="Times New Roman"/>
          <w:b/>
          <w:bCs/>
          <w:color w:val="2E4A8A"/>
          <w:sz w:val="20"/>
          <w:szCs w:val="20"/>
        </w:rPr>
        <w:t xml:space="preserve">F1.  Typical Scope</w:t>
      </w:r>
    </w:p>
    <w:p>
      <w:pPr>
        <w:spacing w:before="60" w:after="100"/>
        <w:jc w:val="both"/>
      </w:pPr>
      <w:r>
        <w:rPr>
          <w:rFonts w:ascii="Times New Roman" w:cs="Times New Roman" w:eastAsia="Times New Roman" w:hAnsi="Times New Roman"/>
          <w:color w:val="1A1A2A"/>
          <w:sz w:val="20"/>
          <w:szCs w:val="20"/>
        </w:rPr>
        <w:t xml:space="preserve">Data engineering, analytics, dashboards, automation scripts, forecasting tools, AI enablement (non-medical/non-legal), systems integration support, requirements gathering, and enablement/training.</w:t>
      </w:r>
    </w:p>
    <w:p>
      <w:pPr>
        <w:spacing w:before="160" w:after="60"/>
      </w:pPr>
      <w:r>
        <w:rPr>
          <w:rFonts w:ascii="Times New Roman" w:cs="Times New Roman" w:eastAsia="Times New Roman" w:hAnsi="Times New Roman"/>
          <w:b/>
          <w:bCs/>
          <w:color w:val="2E4A8A"/>
          <w:sz w:val="20"/>
          <w:szCs w:val="20"/>
        </w:rPr>
        <w:t xml:space="preserve">F2.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Digital strategy; exec alignment</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[$350–$650]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[$375–$700]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[$2,800–$5,200]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[$3,000–$5,600]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Solution Architect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Architecture; QA/QC; security-by-design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[$275–$525]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[$300–$575]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[$2,200–$4,200]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[$2,400–$4,600]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Data/Digital Specialist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ETL; analytics; automation</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[$175–$400]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[$200–$450]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[$1,400–$3,200]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[$1,600–$3,600]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Analyst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BI; data cleaning; documentation</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[$110–$225]</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[$880–$1,800]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[$1,000–$2,000]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w:t>
      </w:r>
    </w:p>
    <w:p>
      <w:pPr>
        <w:spacing w:before="160" w:after="60"/>
      </w:pPr>
      <w:r>
        <w:rPr>
          <w:rFonts w:ascii="Times New Roman" w:cs="Times New Roman" w:eastAsia="Times New Roman" w:hAnsi="Times New Roman"/>
          <w:b/>
          <w:bCs/>
          <w:color w:val="2E4A8A"/>
          <w:sz w:val="20"/>
          <w:szCs w:val="20"/>
        </w:rPr>
        <w:t xml:space="preserve">F3.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Analytics Support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(backlog-based delivery).</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Fractional Product Owner / Data Lead: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for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days/month.</w:t>
      </w:r>
    </w:p>
    <w:p>
      <w:pPr>
        <w:spacing w:before="160" w:after="60"/>
      </w:pPr>
      <w:r>
        <w:rPr>
          <w:rFonts w:ascii="Times New Roman" w:cs="Times New Roman" w:eastAsia="Times New Roman" w:hAnsi="Times New Roman"/>
          <w:b/>
          <w:bCs/>
          <w:color w:val="2E4A8A"/>
          <w:sz w:val="20"/>
          <w:szCs w:val="20"/>
        </w:rPr>
        <w:t xml:space="preserve">F4.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Fixed-fee dashboard build: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for defined sources, KPIs, and environments.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Milestone-based implementation: </w:t>
      </w:r>
      <w:r>
        <w:rPr>
          <w:rFonts w:ascii="Times New Roman" w:cs="Times New Roman" w:eastAsia="Times New Roman" w:hAnsi="Times New Roman"/>
          <w:color w:val="1A1A2A"/>
          <w:sz w:val="20"/>
          <w:szCs w:val="20"/>
        </w:rPr>
        <w:t xml:space="preserve">discovery → build → UAT → deployment → training.</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Performance components: </w:t>
      </w:r>
      <w:r>
        <w:rPr>
          <w:rFonts w:ascii="Times New Roman" w:cs="Times New Roman" w:eastAsia="Times New Roman" w:hAnsi="Times New Roman"/>
          <w:color w:val="1A1A2A"/>
          <w:sz w:val="20"/>
          <w:szCs w:val="20"/>
        </w:rPr>
        <w:t xml:space="preserve">Only if expressly stated in SOW with clear measurement criteria and exclusions; no implied guarantees.</w:t>
      </w:r>
    </w:p>
    <w:p>
      <w:pPr>
        <w:pBdr>
          <w:bottom w:val="single" w:color="1B2A5E" w:sz="8" w:space="4"/>
        </w:pBdr>
        <w:spacing w:before="320" w:after="80"/>
      </w:pPr>
      <w:r>
        <w:rPr>
          <w:rFonts w:ascii="Times New Roman" w:cs="Times New Roman" w:eastAsia="Times New Roman" w:hAnsi="Times New Roman"/>
          <w:b/>
          <w:bCs/>
          <w:color w:val="1B2A5E"/>
          <w:sz w:val="26"/>
          <w:szCs w:val="26"/>
        </w:rPr>
        <w:t xml:space="preserve">Service Line G  —  Expert Support / Litigation Support</w:t>
      </w:r>
    </w:p>
    <w:p>
      <w:pPr>
        <w:spacing w:before="160" w:after="60"/>
      </w:pPr>
      <w:r>
        <w:rPr>
          <w:rFonts w:ascii="Times New Roman" w:cs="Times New Roman" w:eastAsia="Times New Roman" w:hAnsi="Times New Roman"/>
          <w:b/>
          <w:bCs/>
          <w:color w:val="2E4A8A"/>
          <w:sz w:val="20"/>
          <w:szCs w:val="20"/>
        </w:rPr>
        <w:t xml:space="preserve">G1.  Typical Scope</w:t>
      </w:r>
    </w:p>
    <w:p>
      <w:pPr>
        <w:spacing w:before="60" w:after="100"/>
        <w:jc w:val="both"/>
      </w:pPr>
      <w:r>
        <w:rPr>
          <w:rFonts w:ascii="Times New Roman" w:cs="Times New Roman" w:eastAsia="Times New Roman" w:hAnsi="Times New Roman"/>
          <w:color w:val="1A1A2A"/>
          <w:sz w:val="20"/>
          <w:szCs w:val="20"/>
        </w:rPr>
        <w:t xml:space="preserve">Expert consulting support, independent analysis, rebuttal support, damages/quantum analysis support, document review and technical summaries, deposition/trial preparation support (not legal counsel). Any expert testimony to be expressly stated in an SOW.</w:t>
      </w:r>
    </w:p>
    <w:p>
      <w:pPr>
        <w:spacing w:before="160" w:after="60"/>
      </w:pPr>
      <w:r>
        <w:rPr>
          <w:rFonts w:ascii="Times New Roman" w:cs="Times New Roman" w:eastAsia="Times New Roman" w:hAnsi="Times New Roman"/>
          <w:b/>
          <w:bCs/>
          <w:color w:val="2E4A8A"/>
          <w:sz w:val="20"/>
          <w:szCs w:val="20"/>
        </w:rPr>
        <w:t xml:space="preserve">G2.  Role Tiers and Standard Rate Ranges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1200"/>
        <w:gridCol w:w="1200"/>
        <w:gridCol w:w="1200"/>
        <w:gridCol w:w="1800"/>
      </w:tblGrid>
      <w:tr>
        <w:trPr>
          <w:tblHeader/>
        </w:trPr>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Role Tier</w:t>
            </w:r>
          </w:p>
        </w:tc>
        <w:tc>
          <w:tcPr>
            <w:tcW w:type="dxa" w:w="216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Typical Use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Remote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Hourly Onsite</w:t>
            </w:r>
          </w:p>
        </w:tc>
        <w:tc>
          <w:tcPr>
            <w:tcW w:type="dxa" w:w="12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Remote</w:t>
            </w:r>
          </w:p>
        </w:tc>
        <w:tc>
          <w:tcPr>
            <w:tcW w:type="dxa" w:w="1800"/>
            <w:shd w:fill="1B2A5E" w:val="clear"/>
            <w:tcMar>
              <w:top w:type="dxa" w:w="60"/>
              <w:left w:type="dxa" w:w="100"/>
              <w:bottom w:type="dxa" w:w="60"/>
              <w:right w:type="dxa" w:w="100"/>
            </w:tcMar>
          </w:tcPr>
          <w:p>
            <w:r>
              <w:rPr>
                <w:rFonts w:ascii="Times New Roman" w:cs="Times New Roman" w:eastAsia="Times New Roman" w:hAnsi="Times New Roman"/>
                <w:b/>
                <w:bCs/>
                <w:color w:val="FFFFFF"/>
                <w:sz w:val="17"/>
                <w:szCs w:val="17"/>
              </w:rPr>
              <w:t xml:space="preserve">Daily Onsite</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Managing Director / Partner (Expert)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Expert opinion support; testimony (if agreed)</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[$400–$900]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[$450–$1,000]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[$3,200–$7,200]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[$3,600–$8,000]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Principal / Director</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Case leadership; QA/QC</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[$300–$650]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[$350–$750]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[$2,400–$5,200]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[$2,800–$6,000]</w:t>
            </w:r>
          </w:p>
        </w:tc>
      </w:tr>
      <w:tr>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Senior Consultant / Specialist</w:t>
            </w:r>
          </w:p>
        </w:tc>
        <w:tc>
          <w:tcPr>
            <w:tcW w:type="dxa" w:w="216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Analysis; reports; exhibits</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[$200–$450]</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[$250–$525]</w:t>
            </w:r>
          </w:p>
        </w:tc>
        <w:tc>
          <w:tcPr>
            <w:tcW w:type="dxa" w:w="12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[$1,600–$3,600]</w:t>
            </w:r>
          </w:p>
        </w:tc>
        <w:tc>
          <w:tcPr>
            <w:tcW w:type="dxa" w:w="1800"/>
            <w:tcBorders>
              <w:top w:val="single" w:color="D0D7E3" w:sz="1"/>
              <w:left w:val="single" w:color="D0D7E3" w:sz="1"/>
              <w:bottom w:val="single" w:color="D0D7E3" w:sz="1"/>
              <w:right w:val="single" w:color="D0D7E3" w:sz="1"/>
            </w:tcBorders>
            <w:shd w:fill="F4F6F9"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[$2,000–$4,200]</w:t>
            </w:r>
          </w:p>
        </w:tc>
      </w:tr>
      <w:tr>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1A1A2A"/>
                <w:sz w:val="18"/>
                <w:szCs w:val="18"/>
              </w:rPr>
              <w:t xml:space="preserve">Analyst</w:t>
            </w:r>
          </w:p>
        </w:tc>
        <w:tc>
          <w:tcPr>
            <w:tcW w:type="dxa" w:w="216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color w:val="1A1A2A"/>
                <w:sz w:val="18"/>
                <w:szCs w:val="18"/>
              </w:rPr>
              <w:t xml:space="preserve">Data review; support</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[$125–$250]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[$150–$300]</w:t>
            </w:r>
          </w:p>
        </w:tc>
        <w:tc>
          <w:tcPr>
            <w:tcW w:type="dxa" w:w="12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[$1,000–$2,000]</w:t>
            </w:r>
          </w:p>
        </w:tc>
        <w:tc>
          <w:tcPr>
            <w:tcW w:type="dxa" w:w="1800"/>
            <w:tcBorders>
              <w:top w:val="single" w:color="D0D7E3" w:sz="1"/>
              <w:left w:val="single" w:color="D0D7E3" w:sz="1"/>
              <w:bottom w:val="single" w:color="D0D7E3" w:sz="1"/>
              <w:right w:val="single" w:color="D0D7E3" w:sz="1"/>
            </w:tcBorders>
            <w:shd w:fill="FFFFFF" w:val="clear"/>
            <w:tcMar>
              <w:top w:type="dxa" w:w="60"/>
              <w:left w:type="dxa" w:w="100"/>
              <w:bottom w:type="dxa" w:w="60"/>
              <w:right w:type="dxa" w:w="100"/>
            </w:tcMar>
          </w:tcPr>
          <w:p>
            <w:pPr>
              <w:jc w:val="left"/>
            </w:pPr>
            <w:r>
              <w:rPr>
                <w:rFonts w:ascii="Times New Roman" w:cs="Times New Roman" w:eastAsia="Times New Roman" w:hAnsi="Times New Roman"/>
                <w:i/>
                <w:iCs/>
                <w:color w:val="5A6070"/>
                <w:sz w:val="18"/>
                <w:szCs w:val="18"/>
                <w:highlight w:val="yellow"/>
              </w:rPr>
              <w:t xml:space="preserve">[$1,200–$2,400]</w:t>
            </w:r>
          </w:p>
        </w:tc>
      </w:tr>
    </w:tbl>
    <w:p>
      <w:pPr>
        <w:spacing w:before="60" w:after="40"/>
      </w:pPr>
    </w:p>
    <w:p>
      <w:pPr>
        <w:spacing w:before="60" w:after="100"/>
        <w:jc w:val="both"/>
      </w:pPr>
      <w:r>
        <w:rPr>
          <w:rFonts w:ascii="Times New Roman" w:cs="Times New Roman" w:eastAsia="Times New Roman" w:hAnsi="Times New Roman"/>
          <w:b/>
          <w:bCs/>
          <w:color w:val="1A1A2A"/>
          <w:sz w:val="20"/>
          <w:szCs w:val="20"/>
        </w:rPr>
        <w:t xml:space="preserve">Optional blended rate: </w:t>
      </w:r>
      <w:r>
        <w:rPr>
          <w:rFonts w:ascii="Times New Roman" w:cs="Times New Roman" w:eastAsia="Times New Roman" w:hAnsi="Times New Roman"/>
          <w:i/>
          <w:iCs/>
          <w:color w:val="5A6070"/>
          <w:sz w:val="20"/>
          <w:szCs w:val="20"/>
          <w:highlight w:val="yellow"/>
        </w:rPr>
        <w:t xml:space="preserve">[$___/hr]</w:t>
      </w:r>
      <w:r>
        <w:rPr>
          <w:rFonts w:ascii="Times New Roman" w:cs="Times New Roman" w:eastAsia="Times New Roman" w:hAnsi="Times New Roman"/>
          <w:color w:val="1A1A2A"/>
          <w:sz w:val="20"/>
          <w:szCs w:val="20"/>
        </w:rPr>
        <w:t xml:space="preserve">.</w:t>
      </w:r>
    </w:p>
    <w:p>
      <w:pPr>
        <w:spacing w:before="160" w:after="60"/>
      </w:pPr>
      <w:r>
        <w:rPr>
          <w:rFonts w:ascii="Times New Roman" w:cs="Times New Roman" w:eastAsia="Times New Roman" w:hAnsi="Times New Roman"/>
          <w:b/>
          <w:bCs/>
          <w:color w:val="2E4A8A"/>
          <w:sz w:val="20"/>
          <w:szCs w:val="20"/>
        </w:rPr>
        <w:t xml:space="preserve">G3.  Retainer Options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Case Readiness Retainer: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/month includes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hours for case familiarization and availability; incremental billed hourly.</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Deposition/Trial Standby: </w:t>
      </w:r>
      <w:r>
        <w:rPr>
          <w:rFonts w:ascii="Times New Roman" w:cs="Times New Roman" w:eastAsia="Times New Roman" w:hAnsi="Times New Roman"/>
          <w:color w:val="1A1A2A"/>
          <w:sz w:val="20"/>
          <w:szCs w:val="20"/>
        </w:rPr>
        <w:t xml:space="preserve">standby fee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per week plus hourly/daily as incurred.</w:t>
      </w:r>
    </w:p>
    <w:p>
      <w:pPr>
        <w:spacing w:before="160" w:after="60"/>
      </w:pPr>
      <w:r>
        <w:rPr>
          <w:rFonts w:ascii="Times New Roman" w:cs="Times New Roman" w:eastAsia="Times New Roman" w:hAnsi="Times New Roman"/>
          <w:b/>
          <w:bCs/>
          <w:color w:val="2E4A8A"/>
          <w:sz w:val="20"/>
          <w:szCs w:val="20"/>
        </w:rPr>
        <w:t xml:space="preserve">G4.  Project-Based Structures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Fixed fee for defined report scope: </w:t>
      </w:r>
      <w:r>
        <w:rPr>
          <w:rFonts w:ascii="Times New Roman" w:cs="Times New Roman" w:eastAsia="Times New Roman" w:hAnsi="Times New Roman"/>
          <w:i/>
          <w:iCs/>
          <w:color w:val="5A6070"/>
          <w:sz w:val="20"/>
          <w:szCs w:val="20"/>
          <w:highlight w:val="yellow"/>
        </w:rPr>
        <w:t xml:space="preserve">[$___]</w:t>
      </w:r>
      <w:r>
        <w:rPr>
          <w:rFonts w:ascii="Times New Roman" w:cs="Times New Roman" w:eastAsia="Times New Roman" w:hAnsi="Times New Roman"/>
          <w:color w:val="1A1A2A"/>
          <w:sz w:val="20"/>
          <w:szCs w:val="20"/>
        </w:rPr>
        <w:t xml:space="preserve"> subject to assumptions on record completeness and number of iterations.</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Milestone-based: </w:t>
      </w:r>
      <w:r>
        <w:rPr>
          <w:rFonts w:ascii="Times New Roman" w:cs="Times New Roman" w:eastAsia="Times New Roman" w:hAnsi="Times New Roman"/>
          <w:color w:val="1A1A2A"/>
          <w:sz w:val="20"/>
          <w:szCs w:val="20"/>
        </w:rPr>
        <w:t xml:space="preserve">initial assessment → expert report → rebuttal → deposition prep → trial prep.</w:t>
      </w:r>
    </w:p>
    <w:p>
      <w:pPr>
        <w:pStyle w:val="ListParagraph"/>
        <w:numPr>
          <w:ilvl w:val="0"/>
          <w:numId w:val="3"/>
        </w:numPr>
        <w:spacing w:before="40" w:after="60"/>
        <w:jc w:val="both"/>
      </w:pPr>
      <w:r>
        <w:rPr>
          <w:rFonts w:ascii="Times New Roman" w:cs="Times New Roman" w:eastAsia="Times New Roman" w:hAnsi="Times New Roman"/>
          <w:b/>
          <w:bCs/>
          <w:color w:val="1A1A2A"/>
          <w:sz w:val="20"/>
          <w:szCs w:val="20"/>
        </w:rPr>
        <w:t xml:space="preserve">Contingent fees: </w:t>
      </w:r>
      <w:r>
        <w:rPr>
          <w:rFonts w:ascii="Times New Roman" w:cs="Times New Roman" w:eastAsia="Times New Roman" w:hAnsi="Times New Roman"/>
          <w:color w:val="1A1A2A"/>
          <w:sz w:val="20"/>
          <w:szCs w:val="20"/>
        </w:rPr>
        <w:t xml:space="preserve">Generally not offered for expert testimony support; permitted only if expressly stated in SOW and legally/ethically permissible.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Blended Rates; Caps (Optional if Stated in SOW)</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an SOW specifies a blended rate, that blended rate applies to all labor time within the defined scope, excluding any stated premiums, travel time, or third-party costs.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If an SOW specifies a </w:t>
      </w:r>
      <w:r>
        <w:rPr>
          <w:rFonts w:ascii="Times New Roman" w:cs="Times New Roman" w:eastAsia="Times New Roman" w:hAnsi="Times New Roman"/>
          <w:b/>
          <w:bCs/>
          <w:color w:val="1A1A2A"/>
          <w:sz w:val="20"/>
          <w:szCs w:val="20"/>
        </w:rPr>
        <w:t xml:space="preserve">not-to-exceed cap</w:t>
      </w:r>
      <w:r>
        <w:rPr>
          <w:rFonts w:ascii="Times New Roman" w:cs="Times New Roman" w:eastAsia="Times New Roman" w:hAnsi="Times New Roman"/>
          <w:color w:val="1A1A2A"/>
          <w:sz w:val="20"/>
          <w:szCs w:val="20"/>
        </w:rPr>
        <w:t xml:space="preserve">, the SOW must state whether the cap is (a) fees-only or (b) fees plus expenses; and whether it includes premiums and travel time.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Staffing Substitutions</w:t>
      </w:r>
    </w:p>
    <w:p>
      <w:pPr>
        <w:spacing w:before="60" w:after="100"/>
        <w:jc w:val="both"/>
      </w:pPr>
      <w:r>
        <w:rPr>
          <w:rFonts w:ascii="Times New Roman" w:cs="Times New Roman" w:eastAsia="Times New Roman" w:hAnsi="Times New Roman"/>
          <w:color w:val="1A1A2A"/>
          <w:sz w:val="20"/>
          <w:szCs w:val="20"/>
        </w:rPr>
        <w:t xml:space="preserve">Consultant may substitute personnel with comparable skills and experience, consistent with the Agreement, provided that if an SOW identifies key personnel, Consultant will use commercially reasonable efforts to maintain such personnel or provide reasonable replacements.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Acceptance (Optional)</w:t>
      </w:r>
    </w:p>
    <w:p>
      <w:pPr>
        <w:spacing w:before="60" w:after="100"/>
        <w:jc w:val="both"/>
      </w:pPr>
      <w:r>
        <w:rPr>
          <w:rFonts w:ascii="Times New Roman" w:cs="Times New Roman" w:eastAsia="Times New Roman" w:hAnsi="Times New Roman"/>
          <w:color w:val="1A1A2A"/>
          <w:sz w:val="20"/>
          <w:szCs w:val="20"/>
        </w:rPr>
        <w:t xml:space="preserve">If the Parties require signature for this exhibit:</w:t>
      </w:r>
    </w:p>
    <w:p>
      <w:pPr>
        <w:spacing w:before="80" w:after="40"/>
      </w:pPr>
    </w:p>
    <w:p>
      <w:pPr>
        <w:spacing w:before="80" w:after="30"/>
      </w:pPr>
      <w:r>
        <w:rPr>
          <w:rFonts w:ascii="Times New Roman" w:cs="Times New Roman" w:eastAsia="Times New Roman" w:hAnsi="Times New Roman"/>
          <w:b/>
          <w:bCs/>
          <w:color w:val="1B2A5E"/>
          <w:sz w:val="20"/>
          <w:szCs w:val="20"/>
        </w:rPr>
        <w:t xml:space="preserve">CONSULTANT:  Celerity Energy Advisors LLC</w:t>
      </w:r>
    </w:p>
    <w:p>
      <w:pPr>
        <w:pBdr>
          <w:bottom w:val="single" w:color="D0D7E3" w:sz="4" w:space="1"/>
        </w:pBdr>
        <w:spacing w:before="30" w:after="20"/>
      </w:pPr>
      <w:r>
        <w:rPr>
          <w:rFonts w:ascii="Times New Roman" w:cs="Times New Roman" w:eastAsia="Times New Roman" w:hAnsi="Times New Roman"/>
          <w:color w:val="1A1A2A"/>
          <w:sz w:val="20"/>
          <w:szCs w:val="20"/>
        </w:rPr>
        <w:t xml:space="preserve">By:</w:t>
      </w:r>
    </w:p>
    <w:p>
      <w:pPr>
        <w:pBdr>
          <w:bottom w:val="single" w:color="D0D7E3" w:sz="4" w:space="1"/>
        </w:pBdr>
        <w:spacing w:before="5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5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50" w:after="20"/>
      </w:pPr>
      <w:r>
        <w:rPr>
          <w:rFonts w:ascii="Times New Roman" w:cs="Times New Roman" w:eastAsia="Times New Roman" w:hAnsi="Times New Roman"/>
          <w:color w:val="1A1A2A"/>
          <w:sz w:val="20"/>
          <w:szCs w:val="20"/>
        </w:rPr>
        <w:t xml:space="preserve">Date:</w:t>
      </w:r>
    </w:p>
    <w:p>
      <w:pPr>
        <w:spacing w:before="160" w:after="40"/>
      </w:pPr>
    </w:p>
    <w:p>
      <w:pPr>
        <w:spacing w:before="80" w:after="30"/>
      </w:pPr>
      <w:r>
        <w:rPr>
          <w:rFonts w:ascii="Times New Roman" w:cs="Times New Roman" w:eastAsia="Times New Roman" w:hAnsi="Times New Roman"/>
          <w:b/>
          <w:bCs/>
          <w:color w:val="1B2A5E"/>
          <w:sz w:val="20"/>
          <w:szCs w:val="20"/>
        </w:rPr>
        <w:t xml:space="preserve">CLIENT:  [CLIENT LEGAL NAME]</w:t>
      </w:r>
    </w:p>
    <w:p>
      <w:pPr>
        <w:pBdr>
          <w:bottom w:val="single" w:color="D0D7E3" w:sz="4" w:space="1"/>
        </w:pBdr>
        <w:spacing w:before="30" w:after="20"/>
      </w:pPr>
      <w:r>
        <w:rPr>
          <w:rFonts w:ascii="Times New Roman" w:cs="Times New Roman" w:eastAsia="Times New Roman" w:hAnsi="Times New Roman"/>
          <w:color w:val="1A1A2A"/>
          <w:sz w:val="20"/>
          <w:szCs w:val="20"/>
        </w:rPr>
        <w:t xml:space="preserve">By:</w:t>
      </w:r>
    </w:p>
    <w:p>
      <w:pPr>
        <w:pBdr>
          <w:bottom w:val="single" w:color="D0D7E3" w:sz="4" w:space="1"/>
        </w:pBdr>
        <w:spacing w:before="50" w:after="20"/>
      </w:pPr>
      <w:r>
        <w:rPr>
          <w:rFonts w:ascii="Times New Roman" w:cs="Times New Roman" w:eastAsia="Times New Roman" w:hAnsi="Times New Roman"/>
          <w:color w:val="1A1A2A"/>
          <w:sz w:val="20"/>
          <w:szCs w:val="20"/>
        </w:rPr>
        <w:t xml:space="preserve">Name:</w:t>
      </w:r>
    </w:p>
    <w:p>
      <w:pPr>
        <w:pBdr>
          <w:bottom w:val="single" w:color="D0D7E3" w:sz="4" w:space="1"/>
        </w:pBdr>
        <w:spacing w:before="50" w:after="20"/>
      </w:pPr>
      <w:r>
        <w:rPr>
          <w:rFonts w:ascii="Times New Roman" w:cs="Times New Roman" w:eastAsia="Times New Roman" w:hAnsi="Times New Roman"/>
          <w:color w:val="1A1A2A"/>
          <w:sz w:val="20"/>
          <w:szCs w:val="20"/>
        </w:rPr>
        <w:t xml:space="preserve">Title:</w:t>
      </w:r>
    </w:p>
    <w:p>
      <w:pPr>
        <w:pBdr>
          <w:bottom w:val="single" w:color="D0D7E3" w:sz="4" w:space="1"/>
        </w:pBdr>
        <w:spacing w:before="50" w:after="20"/>
      </w:pPr>
      <w:r>
        <w:rPr>
          <w:rFonts w:ascii="Times New Roman" w:cs="Times New Roman" w:eastAsia="Times New Roman" w:hAnsi="Times New Roman"/>
          <w:color w:val="1A1A2A"/>
          <w:sz w:val="20"/>
          <w:szCs w:val="20"/>
        </w:rPr>
        <w:t xml:space="preserve">Date:</w:t>
      </w:r>
    </w:p>
    <w:sectPr>
      <w:headerReference w:type="default" r:id="rId6"/>
      <w:footerReference w:type="default" r:id="rId7"/>
      <w:pgSz w:w="12240" w:h="15840" w:orient="portrait"/>
      <w:pgMar w:top="144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2026-03-06T04:24:04.499Z</dcterms:created>
  <dcterms:modified xsi:type="dcterms:W3CDTF">2026-03-06T04:24:04.499Z</dcterms:modified>
</cp:coreProperties>
</file>

<file path=docProps/custom.xml><?xml version="1.0" encoding="utf-8"?>
<Properties xmlns="http://schemas.openxmlformats.org/officeDocument/2006/custom-properties" xmlns:vt="http://schemas.openxmlformats.org/officeDocument/2006/docPropsVTypes"/>
</file>