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20"/>
      </w:pPr>
      <w:r>
        <w:rPr>
          <w:rFonts w:ascii="Times New Roman" w:cs="Times New Roman" w:eastAsia="Times New Roman" w:hAnsi="Times New Roman"/>
          <w:b/>
          <w:bCs/>
          <w:color w:val="1B2A5E"/>
          <w:sz w:val="32"/>
          <w:szCs w:val="32"/>
        </w:rPr>
        <w:t xml:space="preserve">TECHNICAL DISCLAIMERS</w:t>
      </w:r>
    </w:p>
    <w:p>
      <w:pPr>
        <w:spacing w:before="0" w:after="4"/>
      </w:pPr>
      <w:r>
        <w:rPr>
          <w:rFonts w:ascii="Times New Roman" w:cs="Times New Roman" w:eastAsia="Times New Roman" w:hAnsi="Times New Roman"/>
          <w:b/>
          <w:bCs/>
          <w:color w:val="4A9FD4"/>
          <w:sz w:val="20"/>
          <w:szCs w:val="20"/>
        </w:rPr>
        <w:t xml:space="preserve">Oil &amp; Gas Consulting  ·  Celerity Energy Advisors LLC</w:t>
      </w:r>
    </w:p>
    <w:p>
      <w:pPr>
        <w:pBdr>
          <w:bottom w:val="single" w:color="4A9FD4" w:sz="16" w:space="1"/>
        </w:pBdr>
        <w:spacing w:before="0" w:after="0"/>
      </w:pPr>
    </w:p>
    <w:p>
      <w:pPr>
        <w:spacing w:before="120" w:after="80"/>
      </w:pPr>
    </w:p>
    <w:p>
      <w:pPr>
        <w:spacing w:before="60" w:after="100"/>
        <w:jc w:val="both"/>
      </w:pPr>
      <w:r>
        <w:rPr>
          <w:rFonts w:ascii="Times New Roman" w:cs="Times New Roman" w:eastAsia="Times New Roman" w:hAnsi="Times New Roman"/>
          <w:color w:val="1A1A2A"/>
          <w:sz w:val="20"/>
          <w:szCs w:val="20"/>
        </w:rPr>
        <w:t xml:space="preserve">These Technical Disclaimers (the "</w:t>
      </w:r>
      <w:r>
        <w:rPr>
          <w:rFonts w:ascii="Times New Roman" w:cs="Times New Roman" w:eastAsia="Times New Roman" w:hAnsi="Times New Roman"/>
          <w:b/>
          <w:bCs/>
          <w:color w:val="1A1A2A"/>
          <w:sz w:val="20"/>
          <w:szCs w:val="20"/>
        </w:rPr>
        <w:t xml:space="preserve">Disclaimers</w:t>
      </w:r>
      <w:r>
        <w:rPr>
          <w:rFonts w:ascii="Times New Roman" w:cs="Times New Roman" w:eastAsia="Times New Roman" w:hAnsi="Times New Roman"/>
          <w:color w:val="1A1A2A"/>
          <w:sz w:val="20"/>
          <w:szCs w:val="20"/>
        </w:rPr>
        <w:t xml:space="preserve">") are intended to be incorporated into each engagement letter, master services agreement, statement of work, proposal, and/or deliverable issued by </w:t>
      </w:r>
      <w:r>
        <w:rPr>
          <w:rFonts w:ascii="Times New Roman" w:cs="Times New Roman" w:eastAsia="Times New Roman" w:hAnsi="Times New Roman"/>
          <w:b/>
          <w:bCs/>
          <w:color w:val="1A1A2A"/>
          <w:sz w:val="20"/>
          <w:szCs w:val="20"/>
        </w:rPr>
        <w:t xml:space="preserve">Celerity Energy Advisors LLC</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b/>
          <w:bCs/>
          <w:color w:val="1A1A2A"/>
          <w:sz w:val="20"/>
          <w:szCs w:val="20"/>
        </w:rPr>
        <w:t xml:space="preserve">Consultant</w:t>
      </w:r>
      <w:r>
        <w:rPr>
          <w:rFonts w:ascii="Times New Roman" w:cs="Times New Roman" w:eastAsia="Times New Roman" w:hAnsi="Times New Roman"/>
          <w:color w:val="1A1A2A"/>
          <w:sz w:val="20"/>
          <w:szCs w:val="20"/>
        </w:rPr>
        <w:t xml:space="preserve">") to </w:t>
      </w:r>
      <w:r>
        <w:rPr>
          <w:rFonts w:ascii="Times New Roman" w:cs="Times New Roman" w:eastAsia="Times New Roman" w:hAnsi="Times New Roman"/>
          <w:i/>
          <w:iCs/>
          <w:color w:val="5A6070"/>
          <w:sz w:val="20"/>
          <w:szCs w:val="20"/>
          <w:highlight w:val="yellow"/>
        </w:rPr>
        <w:t xml:space="preserve">[CLIENT LEGAL NAME]</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b/>
          <w:bCs/>
          <w:color w:val="1A1A2A"/>
          <w:sz w:val="20"/>
          <w:szCs w:val="20"/>
        </w:rPr>
        <w:t xml:space="preserve">Client</w:t>
      </w:r>
      <w:r>
        <w:rPr>
          <w:rFonts w:ascii="Times New Roman" w:cs="Times New Roman" w:eastAsia="Times New Roman" w:hAnsi="Times New Roman"/>
          <w:color w:val="1A1A2A"/>
          <w:sz w:val="20"/>
          <w:szCs w:val="20"/>
        </w:rPr>
        <w:t xml:space="preserve">"). If there is any conflict between these Disclaimers and the controlling engagement agreement between the Parties (the "</w:t>
      </w:r>
      <w:r>
        <w:rPr>
          <w:rFonts w:ascii="Times New Roman" w:cs="Times New Roman" w:eastAsia="Times New Roman" w:hAnsi="Times New Roman"/>
          <w:b/>
          <w:bCs/>
          <w:color w:val="1A1A2A"/>
          <w:sz w:val="20"/>
          <w:szCs w:val="20"/>
        </w:rPr>
        <w:t xml:space="preserve">Engagement Agreement</w:t>
      </w:r>
      <w:r>
        <w:rPr>
          <w:rFonts w:ascii="Times New Roman" w:cs="Times New Roman" w:eastAsia="Times New Roman" w:hAnsi="Times New Roman"/>
          <w:color w:val="1A1A2A"/>
          <w:sz w:val="20"/>
          <w:szCs w:val="20"/>
        </w:rPr>
        <w:t xml:space="preserve">"), the Engagement Agreement controls.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  Interpretive Nature of Reserves; No Guarantee of Production</w:t>
      </w:r>
    </w:p>
    <w:p>
      <w:pPr>
        <w:spacing w:before="60" w:after="100"/>
        <w:jc w:val="both"/>
      </w:pPr>
      <w:r>
        <w:rPr>
          <w:rFonts w:ascii="Times New Roman" w:cs="Times New Roman" w:eastAsia="Times New Roman" w:hAnsi="Times New Roman"/>
          <w:color w:val="1A1A2A"/>
          <w:sz w:val="20"/>
          <w:szCs w:val="20"/>
        </w:rPr>
        <w:t xml:space="preserve">Any reserves estimates, resource estimates, type curves, production forecasts, decline-curve analyses, EURs, and related classifications or categorizations (collectively, "</w:t>
      </w:r>
      <w:r>
        <w:rPr>
          <w:rFonts w:ascii="Times New Roman" w:cs="Times New Roman" w:eastAsia="Times New Roman" w:hAnsi="Times New Roman"/>
          <w:b/>
          <w:bCs/>
          <w:color w:val="1A1A2A"/>
          <w:sz w:val="20"/>
          <w:szCs w:val="20"/>
        </w:rPr>
        <w:t xml:space="preserve">Reserve Estimates</w:t>
      </w:r>
      <w:r>
        <w:rPr>
          <w:rFonts w:ascii="Times New Roman" w:cs="Times New Roman" w:eastAsia="Times New Roman" w:hAnsi="Times New Roman"/>
          <w:color w:val="1A1A2A"/>
          <w:sz w:val="20"/>
          <w:szCs w:val="20"/>
        </w:rPr>
        <w:t xml:space="preserve">") are interpretive in nature and are inherently uncertain.</w:t>
      </w:r>
    </w:p>
    <w:p>
      <w:pPr>
        <w:spacing w:before="60" w:after="100"/>
        <w:jc w:val="both"/>
      </w:pPr>
      <w:r>
        <w:rPr>
          <w:rFonts w:ascii="Times New Roman" w:cs="Times New Roman" w:eastAsia="Times New Roman" w:hAnsi="Times New Roman"/>
          <w:color w:val="1A1A2A"/>
          <w:sz w:val="20"/>
          <w:szCs w:val="20"/>
        </w:rPr>
        <w:t xml:space="preserve">Reserve Estimates: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are based on assumptions, professional judgment, and information available at the time they are prepared;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may change materially as additional data becomes available, as reservoir performance evolves, as operational plans change, or as economic and regulatory conditions change; and</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are not </w:t>
      </w:r>
      <w:r>
        <w:rPr>
          <w:rFonts w:ascii="Times New Roman" w:cs="Times New Roman" w:eastAsia="Times New Roman" w:hAnsi="Times New Roman"/>
          <w:color w:val="1A1A2A"/>
          <w:sz w:val="20"/>
          <w:szCs w:val="20"/>
        </w:rPr>
        <w:t xml:space="preserve">a guarantee of future production, reserves, recoveries, cash flows, or asset value.</w:t>
      </w:r>
    </w:p>
    <w:p>
      <w:pPr>
        <w:spacing w:before="60" w:after="100"/>
        <w:jc w:val="both"/>
      </w:pPr>
      <w:r>
        <w:rPr>
          <w:rFonts w:ascii="Times New Roman" w:cs="Times New Roman" w:eastAsia="Times New Roman" w:hAnsi="Times New Roman"/>
          <w:color w:val="1A1A2A"/>
          <w:sz w:val="20"/>
          <w:szCs w:val="20"/>
        </w:rPr>
        <w:t xml:space="preserve">Client acknowledges that actual production results and recoveries may differ materially from any Reserve Estimates and that such differences may be adverse.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2.  Geological and Engineering Opinions; Professional Judgment Based on Available Data</w:t>
      </w:r>
    </w:p>
    <w:p>
      <w:pPr>
        <w:spacing w:before="60" w:after="100"/>
        <w:jc w:val="both"/>
      </w:pPr>
      <w:r>
        <w:rPr>
          <w:rFonts w:ascii="Times New Roman" w:cs="Times New Roman" w:eastAsia="Times New Roman" w:hAnsi="Times New Roman"/>
          <w:color w:val="1A1A2A"/>
          <w:sz w:val="20"/>
          <w:szCs w:val="20"/>
        </w:rPr>
        <w:t xml:space="preserve">Any geological, geophysical, petrophysical, reservoir engineering, production engineering, drilling and completion, facilities, or other technical opinions, interpretations, recommendations, analyses, forecasts, estimates, or advisory views provided by Consultant (collectively, "</w:t>
      </w:r>
      <w:r>
        <w:rPr>
          <w:rFonts w:ascii="Times New Roman" w:cs="Times New Roman" w:eastAsia="Times New Roman" w:hAnsi="Times New Roman"/>
          <w:b/>
          <w:bCs/>
          <w:color w:val="1A1A2A"/>
          <w:sz w:val="20"/>
          <w:szCs w:val="20"/>
        </w:rPr>
        <w:t xml:space="preserve">Technical Opinions</w:t>
      </w:r>
      <w:r>
        <w:rPr>
          <w:rFonts w:ascii="Times New Roman" w:cs="Times New Roman" w:eastAsia="Times New Roman" w:hAnsi="Times New Roman"/>
          <w:color w:val="1A1A2A"/>
          <w:sz w:val="20"/>
          <w:szCs w:val="20"/>
        </w:rPr>
        <w:t xml:space="preserve">") reflect Consultant's professional judgment based on: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data and information made available to Consultant as of the date of delivery;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limitations in data quality, density, vintage, and interpretive uncertainty;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assumptions and methodologies stated or reasonably implied in the deliverable.</w:t>
      </w:r>
    </w:p>
    <w:p>
      <w:pPr>
        <w:spacing w:before="60" w:after="100"/>
        <w:jc w:val="both"/>
      </w:pPr>
      <w:r>
        <w:rPr>
          <w:rFonts w:ascii="Times New Roman" w:cs="Times New Roman" w:eastAsia="Times New Roman" w:hAnsi="Times New Roman"/>
          <w:color w:val="1A1A2A"/>
          <w:sz w:val="20"/>
          <w:szCs w:val="20"/>
        </w:rPr>
        <w:t xml:space="preserve">Technical Opinions are not statements of fact and are subject to uncertainty and alternative interpretations. Consultant does not warrant or represent that any Technical Opinion is complete, exhaustive, or will be confirmed by subsequent data or results.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3.  Reliance on Client-Supplied (and Third-Party) Data; No Independent Verification Unless Stated</w:t>
      </w:r>
    </w:p>
    <w:p>
      <w:pPr>
        <w:spacing w:before="60" w:after="100"/>
        <w:jc w:val="both"/>
      </w:pPr>
      <w:r>
        <w:rPr>
          <w:rFonts w:ascii="Times New Roman" w:cs="Times New Roman" w:eastAsia="Times New Roman" w:hAnsi="Times New Roman"/>
          <w:color w:val="1A1A2A"/>
          <w:sz w:val="20"/>
          <w:szCs w:val="20"/>
        </w:rPr>
        <w:t xml:space="preserve">Consultant may rely on data, reports, models, production histories, cost information, well files, logs, core, seismic, AFE/budget information, land/title information, regulatory filings, and other materials provided by or on behalf of Client (including by operators, vendors, working interest partners, service providers, or counterparties) ("</w:t>
      </w:r>
      <w:r>
        <w:rPr>
          <w:rFonts w:ascii="Times New Roman" w:cs="Times New Roman" w:eastAsia="Times New Roman" w:hAnsi="Times New Roman"/>
          <w:b/>
          <w:bCs/>
          <w:color w:val="1A1A2A"/>
          <w:sz w:val="20"/>
          <w:szCs w:val="20"/>
        </w:rPr>
        <w:t xml:space="preserve">Client-Provided Information</w:t>
      </w:r>
      <w:r>
        <w:rPr>
          <w:rFonts w:ascii="Times New Roman" w:cs="Times New Roman" w:eastAsia="Times New Roman" w:hAnsi="Times New Roman"/>
          <w:color w:val="1A1A2A"/>
          <w:sz w:val="20"/>
          <w:szCs w:val="20"/>
        </w:rPr>
        <w:t xml:space="preserve">").</w:t>
      </w:r>
    </w:p>
    <w:p>
      <w:pPr>
        <w:spacing w:before="60" w:after="100"/>
        <w:jc w:val="both"/>
      </w:pPr>
      <w:r>
        <w:rPr>
          <w:rFonts w:ascii="Times New Roman" w:cs="Times New Roman" w:eastAsia="Times New Roman" w:hAnsi="Times New Roman"/>
          <w:color w:val="1A1A2A"/>
          <w:sz w:val="20"/>
          <w:szCs w:val="20"/>
        </w:rPr>
        <w:t xml:space="preserve">Unless expressly stated in the applicable Engagement Agreement or deliverable, Consultant:</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does not </w:t>
      </w:r>
      <w:r>
        <w:rPr>
          <w:rFonts w:ascii="Times New Roman" w:cs="Times New Roman" w:eastAsia="Times New Roman" w:hAnsi="Times New Roman"/>
          <w:color w:val="1A1A2A"/>
          <w:sz w:val="20"/>
          <w:szCs w:val="20"/>
        </w:rPr>
        <w:t xml:space="preserve">independently verify, audit, or validate Client-Provided Information;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is not responsible for errors, omissions, or delays caused by inaccurate, incomplete, inconsistent, or untimely Client-Provided Information;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may update or revise conclusions if Client-Provided Information is corrected or supplemented.</w:t>
      </w:r>
    </w:p>
    <w:p>
      <w:pPr>
        <w:spacing w:before="60" w:after="100"/>
        <w:jc w:val="both"/>
      </w:pPr>
      <w:r>
        <w:rPr>
          <w:rFonts w:ascii="Times New Roman" w:cs="Times New Roman" w:eastAsia="Times New Roman" w:hAnsi="Times New Roman"/>
          <w:color w:val="1A1A2A"/>
          <w:sz w:val="20"/>
          <w:szCs w:val="20"/>
        </w:rPr>
        <w:t xml:space="preserve">Client is responsible for ensuring the accuracy, completeness, and timeliness of Client-Provided Information.</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4.  Regulatory Interpretations Are Not Legal Advice; Independent Counsel Required</w:t>
      </w:r>
    </w:p>
    <w:p>
      <w:pPr>
        <w:spacing w:before="60" w:after="100"/>
        <w:jc w:val="both"/>
      </w:pPr>
      <w:r>
        <w:rPr>
          <w:rFonts w:ascii="Times New Roman" w:cs="Times New Roman" w:eastAsia="Times New Roman" w:hAnsi="Times New Roman"/>
          <w:color w:val="1A1A2A"/>
          <w:sz w:val="20"/>
          <w:szCs w:val="20"/>
        </w:rPr>
        <w:t xml:space="preserve">Any discussion of laws, rules, regulations, permitting practices, agency guidance, enforcement trends, royalty/contract implications, or other regulatory matters (collectively, "</w:t>
      </w:r>
      <w:r>
        <w:rPr>
          <w:rFonts w:ascii="Times New Roman" w:cs="Times New Roman" w:eastAsia="Times New Roman" w:hAnsi="Times New Roman"/>
          <w:b/>
          <w:bCs/>
          <w:color w:val="1A1A2A"/>
          <w:sz w:val="20"/>
          <w:szCs w:val="20"/>
        </w:rPr>
        <w:t xml:space="preserve">Regulatory Content</w:t>
      </w:r>
      <w:r>
        <w:rPr>
          <w:rFonts w:ascii="Times New Roman" w:cs="Times New Roman" w:eastAsia="Times New Roman" w:hAnsi="Times New Roman"/>
          <w:color w:val="1A1A2A"/>
          <w:sz w:val="20"/>
          <w:szCs w:val="20"/>
        </w:rPr>
        <w:t xml:space="preserve">") is provided for general informational and advisory purposes only, based on Consultant's experience and understanding of publicly available and/or Client-Provided Information.</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Consultant is not a law firm and does not provide legal advice.</w:t>
      </w:r>
      <w:r>
        <w:rPr>
          <w:rFonts w:ascii="Times New Roman" w:cs="Times New Roman" w:eastAsia="Times New Roman" w:hAnsi="Times New Roman"/>
          <w:color w:val="1A1A2A"/>
          <w:sz w:val="20"/>
          <w:szCs w:val="20"/>
        </w:rPr>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Regulatory Content does not create an attorney-client relationship and should not be relied upon as a substitute for advice from qualified legal counsel.</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Client is solely responsible for obtaining independent legal advice from licensed counsel regarding legal, regulatory, permitting, compliance, contractual, or litigation matters and for making all related decisions.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5.  Feasibility Studies Are Advisory; Not Engineer-of-Record; No Stamped Engineering Deliverables</w:t>
      </w:r>
    </w:p>
    <w:p>
      <w:pPr>
        <w:spacing w:before="60" w:after="100"/>
        <w:jc w:val="both"/>
      </w:pPr>
      <w:r>
        <w:rPr>
          <w:rFonts w:ascii="Times New Roman" w:cs="Times New Roman" w:eastAsia="Times New Roman" w:hAnsi="Times New Roman"/>
          <w:color w:val="1A1A2A"/>
          <w:sz w:val="20"/>
          <w:szCs w:val="20"/>
        </w:rPr>
        <w:t xml:space="preserve">Any feasibility study, concept select analysis, screening study, option evaluation, conceptual design support, cost/schedule estimate, constructability review, or similar work (collectively, "</w:t>
      </w:r>
      <w:r>
        <w:rPr>
          <w:rFonts w:ascii="Times New Roman" w:cs="Times New Roman" w:eastAsia="Times New Roman" w:hAnsi="Times New Roman"/>
          <w:b/>
          <w:bCs/>
          <w:color w:val="1A1A2A"/>
          <w:sz w:val="20"/>
          <w:szCs w:val="20"/>
        </w:rPr>
        <w:t xml:space="preserve">Feasibility Work</w:t>
      </w:r>
      <w:r>
        <w:rPr>
          <w:rFonts w:ascii="Times New Roman" w:cs="Times New Roman" w:eastAsia="Times New Roman" w:hAnsi="Times New Roman"/>
          <w:color w:val="1A1A2A"/>
          <w:sz w:val="20"/>
          <w:szCs w:val="20"/>
        </w:rPr>
        <w:t xml:space="preserve">") is advisory in nature and intended to support Client's internal evaluation and decision-making.</w:t>
      </w:r>
    </w:p>
    <w:p>
      <w:pPr>
        <w:spacing w:before="60" w:after="100"/>
        <w:jc w:val="both"/>
      </w:pPr>
      <w:r>
        <w:rPr>
          <w:rFonts w:ascii="Times New Roman" w:cs="Times New Roman" w:eastAsia="Times New Roman" w:hAnsi="Times New Roman"/>
          <w:color w:val="1A1A2A"/>
          <w:sz w:val="20"/>
          <w:szCs w:val="20"/>
        </w:rPr>
        <w:t xml:space="preserve">Unless expressly stated in the Engagement Agreement and provided by appropriately licensed personnel (where required by applicable law):</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Consultant is </w:t>
      </w:r>
      <w:r>
        <w:rPr>
          <w:rFonts w:ascii="Times New Roman" w:cs="Times New Roman" w:eastAsia="Times New Roman" w:hAnsi="Times New Roman"/>
          <w:b/>
          <w:bCs/>
          <w:color w:val="1A1A2A"/>
          <w:sz w:val="20"/>
          <w:szCs w:val="20"/>
        </w:rPr>
        <w:t xml:space="preserve">not</w:t>
      </w:r>
      <w:r>
        <w:rPr>
          <w:rFonts w:ascii="Times New Roman" w:cs="Times New Roman" w:eastAsia="Times New Roman" w:hAnsi="Times New Roman"/>
          <w:color w:val="1A1A2A"/>
          <w:sz w:val="20"/>
          <w:szCs w:val="20"/>
        </w:rPr>
        <w:t xml:space="preserve"> acting as engineer-of-record;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Feasibility Work is </w:t>
      </w:r>
      <w:r>
        <w:rPr>
          <w:rFonts w:ascii="Times New Roman" w:cs="Times New Roman" w:eastAsia="Times New Roman" w:hAnsi="Times New Roman"/>
          <w:b/>
          <w:bCs/>
          <w:color w:val="1A1A2A"/>
          <w:sz w:val="20"/>
          <w:szCs w:val="20"/>
        </w:rPr>
        <w:t xml:space="preserve">not</w:t>
      </w:r>
      <w:r>
        <w:rPr>
          <w:rFonts w:ascii="Times New Roman" w:cs="Times New Roman" w:eastAsia="Times New Roman" w:hAnsi="Times New Roman"/>
          <w:color w:val="1A1A2A"/>
          <w:sz w:val="20"/>
          <w:szCs w:val="20"/>
        </w:rPr>
        <w:t xml:space="preserve"> a final design package and is </w:t>
      </w:r>
      <w:r>
        <w:rPr>
          <w:rFonts w:ascii="Times New Roman" w:cs="Times New Roman" w:eastAsia="Times New Roman" w:hAnsi="Times New Roman"/>
          <w:b/>
          <w:bCs/>
          <w:color w:val="1A1A2A"/>
          <w:sz w:val="20"/>
          <w:szCs w:val="20"/>
        </w:rPr>
        <w:t xml:space="preserve">not</w:t>
      </w:r>
      <w:r>
        <w:rPr>
          <w:rFonts w:ascii="Times New Roman" w:cs="Times New Roman" w:eastAsia="Times New Roman" w:hAnsi="Times New Roman"/>
          <w:color w:val="1A1A2A"/>
          <w:sz w:val="20"/>
          <w:szCs w:val="20"/>
        </w:rPr>
        <w:t xml:space="preserve"> intended for construction, procurement, or execution without appropriate engineering verification;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Consultant does </w:t>
      </w:r>
      <w:r>
        <w:rPr>
          <w:rFonts w:ascii="Times New Roman" w:cs="Times New Roman" w:eastAsia="Times New Roman" w:hAnsi="Times New Roman"/>
          <w:b/>
          <w:bCs/>
          <w:color w:val="1A1A2A"/>
          <w:sz w:val="20"/>
          <w:szCs w:val="20"/>
        </w:rPr>
        <w:t xml:space="preserve">not</w:t>
      </w:r>
      <w:r>
        <w:rPr>
          <w:rFonts w:ascii="Times New Roman" w:cs="Times New Roman" w:eastAsia="Times New Roman" w:hAnsi="Times New Roman"/>
          <w:color w:val="1A1A2A"/>
          <w:sz w:val="20"/>
          <w:szCs w:val="20"/>
        </w:rPr>
        <w:t xml:space="preserve"> provide stamped, sealed, or "issued for construction" engineering deliverables.</w:t>
      </w:r>
    </w:p>
    <w:p>
      <w:pPr>
        <w:spacing w:before="60" w:after="100"/>
        <w:jc w:val="both"/>
      </w:pPr>
      <w:r>
        <w:rPr>
          <w:rFonts w:ascii="Times New Roman" w:cs="Times New Roman" w:eastAsia="Times New Roman" w:hAnsi="Times New Roman"/>
          <w:color w:val="1A1A2A"/>
          <w:sz w:val="20"/>
          <w:szCs w:val="20"/>
        </w:rPr>
        <w:t xml:space="preserve">Client remains responsible for final engineering, design, operational planning, and execution decisions.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6.  No Warranty of Outcomes (Operational, Technical, or Financial)</w:t>
      </w:r>
    </w:p>
    <w:p>
      <w:pPr>
        <w:spacing w:before="60" w:after="100"/>
        <w:jc w:val="both"/>
      </w:pPr>
      <w:r>
        <w:rPr>
          <w:rFonts w:ascii="Times New Roman" w:cs="Times New Roman" w:eastAsia="Times New Roman" w:hAnsi="Times New Roman"/>
          <w:color w:val="1A1A2A"/>
          <w:sz w:val="20"/>
          <w:szCs w:val="20"/>
        </w:rPr>
        <w:t xml:space="preserve">Except as expressly set forth in the Engagement Agreement, Consultant makes no warranty, representation, or guarantee that any recommendation, plan, strategy, model, forecast, or deliverable will result in: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 specific production rate, decline profile, uptime, or operating performance;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 specific recovery factor, reserves increase, EUR, or well performance outcome;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 specific cost reduction, capital efficiency, drilling or completion results, or schedule performance; or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 specific economic, financial, valuation, transaction, or return outcome (including IRR, NPV, payout, or cash flow).</w:t>
      </w:r>
    </w:p>
    <w:p>
      <w:pPr>
        <w:spacing w:before="60" w:after="100"/>
        <w:jc w:val="both"/>
      </w:pPr>
      <w:r>
        <w:rPr>
          <w:rFonts w:ascii="Times New Roman" w:cs="Times New Roman" w:eastAsia="Times New Roman" w:hAnsi="Times New Roman"/>
          <w:color w:val="1A1A2A"/>
          <w:sz w:val="20"/>
          <w:szCs w:val="20"/>
        </w:rPr>
        <w:t xml:space="preserve">Client acknowledges that outcomes are affected by numerous factors outside Consultant's control, including subsurface uncertainty, commodity prices, service costs, equipment availability, weather, operational execution, third-party actions, and regulatory changes.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7.  Forward-Looking Statements; Uncertainty; Assumptions</w:t>
      </w:r>
    </w:p>
    <w:p>
      <w:pPr>
        <w:spacing w:before="60" w:after="100"/>
        <w:jc w:val="both"/>
      </w:pPr>
      <w:r>
        <w:rPr>
          <w:rFonts w:ascii="Times New Roman" w:cs="Times New Roman" w:eastAsia="Times New Roman" w:hAnsi="Times New Roman"/>
          <w:color w:val="1A1A2A"/>
          <w:sz w:val="20"/>
          <w:szCs w:val="20"/>
        </w:rPr>
        <w:t xml:space="preserve">To the extent any deliverable includes forward-looking statements, projections, scenarios, sensitivities, or forecasts (including production, reserves, costs, pricing, development plans, or economics), such statements: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are inherently uncertain;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are based on assumptions and methodologies that may not prove accurate;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are not guarantees of future performance.</w:t>
      </w:r>
    </w:p>
    <w:p>
      <w:pPr>
        <w:spacing w:before="60" w:after="100"/>
        <w:jc w:val="both"/>
      </w:pPr>
      <w:r>
        <w:rPr>
          <w:rFonts w:ascii="Times New Roman" w:cs="Times New Roman" w:eastAsia="Times New Roman" w:hAnsi="Times New Roman"/>
          <w:color w:val="1A1A2A"/>
          <w:sz w:val="20"/>
          <w:szCs w:val="20"/>
        </w:rPr>
        <w:t xml:space="preserve">Actual results may differ materially, and such differences may be significant.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8.  No Duty to Update; Point-in-Time Deliverables</w:t>
      </w:r>
    </w:p>
    <w:p>
      <w:pPr>
        <w:spacing w:before="60" w:after="100"/>
        <w:jc w:val="both"/>
      </w:pPr>
      <w:r>
        <w:rPr>
          <w:rFonts w:ascii="Times New Roman" w:cs="Times New Roman" w:eastAsia="Times New Roman" w:hAnsi="Times New Roman"/>
          <w:color w:val="1A1A2A"/>
          <w:sz w:val="20"/>
          <w:szCs w:val="20"/>
        </w:rPr>
        <w:t xml:space="preserve">Unless expressly stated in the Engagement Agreement, Consultant has no obligation to update, revise, or reaffirm any deliverable or Technical Opinion after delivery, including due to changes in: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reservoir performance or operational results;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commodity prices, costs, or market conditions;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laws, regulations, permitting, or agency interpretation; or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Client's asset base, development plan, or risk tolerance.</w:t>
      </w:r>
    </w:p>
    <w:p>
      <w:pPr>
        <w:spacing w:before="60" w:after="100"/>
        <w:jc w:val="both"/>
      </w:pPr>
      <w:r>
        <w:rPr>
          <w:rFonts w:ascii="Times New Roman" w:cs="Times New Roman" w:eastAsia="Times New Roman" w:hAnsi="Times New Roman"/>
          <w:color w:val="1A1A2A"/>
          <w:sz w:val="20"/>
          <w:szCs w:val="20"/>
        </w:rPr>
        <w:t xml:space="preserve">Any update work requires a new or amended SOW or written authorization.</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9.  Client Responsibility for Decisions and Operations; Advisory Role Only</w:t>
      </w:r>
    </w:p>
    <w:p>
      <w:pPr>
        <w:spacing w:before="60" w:after="100"/>
        <w:jc w:val="both"/>
      </w:pPr>
      <w:r>
        <w:rPr>
          <w:rFonts w:ascii="Times New Roman" w:cs="Times New Roman" w:eastAsia="Times New Roman" w:hAnsi="Times New Roman"/>
          <w:color w:val="1A1A2A"/>
          <w:sz w:val="20"/>
          <w:szCs w:val="20"/>
        </w:rPr>
        <w:t xml:space="preserve">Client is solely responsible for: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all business decisions, investment decisions, operational decisions, and risk management decisions made in reliance on Consultant's Services;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control, supervision, and execution of drilling, completion, production, construction, field operations, and HSE practices;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compliance with applicable laws, regulations, permits, and industry standards in its operations.</w:t>
      </w:r>
    </w:p>
    <w:p>
      <w:pPr>
        <w:spacing w:before="60" w:after="100"/>
        <w:jc w:val="both"/>
      </w:pPr>
      <w:r>
        <w:rPr>
          <w:rFonts w:ascii="Times New Roman" w:cs="Times New Roman" w:eastAsia="Times New Roman" w:hAnsi="Times New Roman"/>
          <w:color w:val="1A1A2A"/>
          <w:sz w:val="20"/>
          <w:szCs w:val="20"/>
        </w:rPr>
        <w:t xml:space="preserve">Consultant's role is advisory only and does not include operational control, supervision of field activities, or assumption of Client's duties to third parties unless expressly stated in a written SOW.</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10.  Not Licensed Professional Services Unless Expressly Stated</w:t>
      </w:r>
    </w:p>
    <w:p>
      <w:pPr>
        <w:spacing w:before="60" w:after="100"/>
        <w:jc w:val="both"/>
      </w:pPr>
      <w:r>
        <w:rPr>
          <w:rFonts w:ascii="Times New Roman" w:cs="Times New Roman" w:eastAsia="Times New Roman" w:hAnsi="Times New Roman"/>
          <w:color w:val="1A1A2A"/>
          <w:sz w:val="20"/>
          <w:szCs w:val="20"/>
        </w:rPr>
        <w:t xml:space="preserve">Unless expressly stated in an applicable SOW and supported by appropriate licensure (where required by applicable law), Consultant does not provide services that require a licensed professional, including professional engineering, land surveying, legal services, public accounting, or reserve certification as that term is used under applicable securities or regulatory regimes.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11.  Limitations on Use; No Third-Party Reliance</w:t>
      </w:r>
    </w:p>
    <w:p>
      <w:pPr>
        <w:spacing w:before="60" w:after="100"/>
        <w:jc w:val="both"/>
      </w:pPr>
      <w:r>
        <w:rPr>
          <w:rFonts w:ascii="Times New Roman" w:cs="Times New Roman" w:eastAsia="Times New Roman" w:hAnsi="Times New Roman"/>
          <w:color w:val="1A1A2A"/>
          <w:sz w:val="20"/>
          <w:szCs w:val="20"/>
        </w:rPr>
        <w:t xml:space="preserve">Deliverables and work product are prepared solely for Client's internal use and benefit for the purpose(s) stated in the applicable Engagement Agreement.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No third party may rely on any deliverable without Consultant's prior written consent and, if granted, execution of a reliance letter or other agreement on terms acceptable to Consultant.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 distribution to lenders, investors, acquirers, counterparties, working interest owners, or other third parties is prohibited unless expressly permitted in the Engagement Agreement (or applicable SOW) and subject to confidentiality and permitted-use restrictions.</w:t>
      </w:r>
    </w:p>
    <w:p>
      <w:pPr>
        <w:spacing w:before="60" w:after="100"/>
        <w:jc w:val="both"/>
      </w:pPr>
      <w:r>
        <w:rPr>
          <w:rFonts w:ascii="Times New Roman" w:cs="Times New Roman" w:eastAsia="Times New Roman" w:hAnsi="Times New Roman"/>
          <w:color w:val="1A1A2A"/>
          <w:sz w:val="20"/>
          <w:szCs w:val="20"/>
        </w:rPr>
        <w:t xml:space="preserve">Client is responsible for preventing unauthorized distribution or reliance.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12.  Continued Applicability; Survival</w:t>
      </w:r>
    </w:p>
    <w:p>
      <w:pPr>
        <w:spacing w:before="60" w:after="100"/>
        <w:jc w:val="both"/>
      </w:pPr>
      <w:r>
        <w:rPr>
          <w:rFonts w:ascii="Times New Roman" w:cs="Times New Roman" w:eastAsia="Times New Roman" w:hAnsi="Times New Roman"/>
          <w:color w:val="1A1A2A"/>
          <w:sz w:val="20"/>
          <w:szCs w:val="20"/>
        </w:rPr>
        <w:t xml:space="preserve">These Disclaimers apply to all Services and deliverables provided under the Engagement Agreement and remain effective notwithstanding completion of Services, expiration or termination of the Engagement Agreement, or delivery and acceptance of any deliverable, to the maximum extent permitted by applicable law.</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13.  Governing Law (If Referenced)</w:t>
      </w:r>
    </w:p>
    <w:p>
      <w:pPr>
        <w:spacing w:before="60" w:after="100"/>
        <w:jc w:val="both"/>
      </w:pPr>
      <w:r>
        <w:rPr>
          <w:rFonts w:ascii="Times New Roman" w:cs="Times New Roman" w:eastAsia="Times New Roman" w:hAnsi="Times New Roman"/>
          <w:color w:val="1A1A2A"/>
          <w:sz w:val="20"/>
          <w:szCs w:val="20"/>
        </w:rPr>
        <w:t xml:space="preserve">To the extent these Disclaimers are treated as standalone terms, they will be governed by the laws specified in the Engagement Agreement, or if not specified, the laws of </w:t>
      </w:r>
      <w:r>
        <w:rPr>
          <w:rFonts w:ascii="Times New Roman" w:cs="Times New Roman" w:eastAsia="Times New Roman" w:hAnsi="Times New Roman"/>
          <w:i/>
          <w:iCs/>
          <w:color w:val="5A6070"/>
          <w:sz w:val="20"/>
          <w:szCs w:val="20"/>
          <w:highlight w:val="yellow"/>
        </w:rPr>
        <w:t xml:space="preserve">[STATE]</w:t>
      </w:r>
      <w:r>
        <w:rPr>
          <w:rFonts w:ascii="Times New Roman" w:cs="Times New Roman" w:eastAsia="Times New Roman" w:hAnsi="Times New Roman"/>
          <w:color w:val="1A1A2A"/>
          <w:sz w:val="20"/>
          <w:szCs w:val="20"/>
        </w:rPr>
        <w:t xml:space="preserve">, without regard to conflict-of-laws principles.</w:t>
      </w:r>
    </w:p>
    <w:p>
      <w:pPr>
        <w:spacing w:before="120" w:after="60"/>
      </w:pPr>
    </w:p>
    <w:p>
      <w:pPr>
        <w:pBdr>
          <w:bottom w:val="single" w:color="D0D7E3" w:sz="4" w:space="1"/>
        </w:pBdr>
        <w:spacing w:before="0" w:after="0"/>
      </w:pPr>
    </w:p>
    <w:p>
      <w:pPr>
        <w:spacing w:before="100" w:after="60"/>
      </w:pPr>
    </w:p>
    <w:p>
      <w:pPr>
        <w:spacing w:before="60" w:after="60"/>
        <w:jc w:val="both"/>
      </w:pPr>
      <w:r>
        <w:rPr>
          <w:rFonts w:ascii="Times New Roman" w:cs="Times New Roman" w:eastAsia="Times New Roman" w:hAnsi="Times New Roman"/>
          <w:b/>
          <w:bCs/>
          <w:color w:val="1B2A5E"/>
          <w:sz w:val="22"/>
          <w:szCs w:val="22"/>
        </w:rPr>
        <w:t xml:space="preserve">ACKNOWLEDGMENT AND AGREEMENT</w:t>
      </w:r>
    </w:p>
    <w:p>
      <w:pPr>
        <w:spacing w:before="60" w:after="100"/>
        <w:jc w:val="both"/>
      </w:pPr>
      <w:r>
        <w:rPr>
          <w:rFonts w:ascii="Times New Roman" w:cs="Times New Roman" w:eastAsia="Times New Roman" w:hAnsi="Times New Roman"/>
          <w:color w:val="1A1A2A"/>
          <w:sz w:val="20"/>
          <w:szCs w:val="20"/>
        </w:rPr>
        <w:t xml:space="preserve">By signing below, the Parties acknowledge that they have read, understand, and agree that these Technical Disclaimers are incorporated into and form part of the Engagement Agreement between the Parties.</w:t>
      </w:r>
    </w:p>
    <w:p>
      <w:pPr>
        <w:spacing w:before="80" w:after="40"/>
      </w:pPr>
    </w:p>
    <w:p>
      <w:pPr>
        <w:spacing w:before="120" w:after="40"/>
      </w:pPr>
      <w:r>
        <w:rPr>
          <w:rFonts w:ascii="Times New Roman" w:cs="Times New Roman" w:eastAsia="Times New Roman" w:hAnsi="Times New Roman"/>
          <w:b/>
          <w:bCs/>
          <w:color w:val="1B2A5E"/>
          <w:sz w:val="20"/>
          <w:szCs w:val="20"/>
        </w:rPr>
        <w:t xml:space="preserve">CELERITY ENERGY ADVISORS LLC</w:t>
      </w:r>
    </w:p>
    <w:p>
      <w:pPr>
        <w:pBdr>
          <w:bottom w:val="single" w:color="D0D7E3" w:sz="4" w:space="1"/>
        </w:pBdr>
        <w:spacing w:before="40" w:after="20"/>
      </w:pPr>
      <w:r>
        <w:rPr>
          <w:rFonts w:ascii="Times New Roman" w:cs="Times New Roman" w:eastAsia="Times New Roman" w:hAnsi="Times New Roman"/>
          <w:color w:val="1A1A2A"/>
          <w:sz w:val="20"/>
          <w:szCs w:val="20"/>
        </w:rPr>
        <w:t xml:space="preserve">By:</w:t>
      </w:r>
    </w:p>
    <w:p>
      <w:pPr>
        <w:pBdr>
          <w:bottom w:val="single" w:color="D0D7E3" w:sz="4" w:space="1"/>
        </w:pBdr>
        <w:spacing w:before="60" w:after="20"/>
      </w:pPr>
      <w:r>
        <w:rPr>
          <w:rFonts w:ascii="Times New Roman" w:cs="Times New Roman" w:eastAsia="Times New Roman" w:hAnsi="Times New Roman"/>
          <w:color w:val="1A1A2A"/>
          <w:sz w:val="20"/>
          <w:szCs w:val="20"/>
        </w:rPr>
        <w:t xml:space="preserve">Name:</w:t>
      </w:r>
    </w:p>
    <w:p>
      <w:pPr>
        <w:pBdr>
          <w:bottom w:val="single" w:color="D0D7E3" w:sz="4" w:space="1"/>
        </w:pBdr>
        <w:spacing w:before="60" w:after="20"/>
      </w:pPr>
      <w:r>
        <w:rPr>
          <w:rFonts w:ascii="Times New Roman" w:cs="Times New Roman" w:eastAsia="Times New Roman" w:hAnsi="Times New Roman"/>
          <w:color w:val="1A1A2A"/>
          <w:sz w:val="20"/>
          <w:szCs w:val="20"/>
        </w:rPr>
        <w:t xml:space="preserve">Title:</w:t>
      </w:r>
    </w:p>
    <w:p>
      <w:pPr>
        <w:pBdr>
          <w:bottom w:val="single" w:color="D0D7E3" w:sz="4" w:space="1"/>
        </w:pBdr>
        <w:spacing w:before="60" w:after="20"/>
      </w:pPr>
      <w:r>
        <w:rPr>
          <w:rFonts w:ascii="Times New Roman" w:cs="Times New Roman" w:eastAsia="Times New Roman" w:hAnsi="Times New Roman"/>
          <w:color w:val="1A1A2A"/>
          <w:sz w:val="20"/>
          <w:szCs w:val="20"/>
        </w:rPr>
        <w:t xml:space="preserve">Date:</w:t>
      </w:r>
    </w:p>
    <w:p>
      <w:pPr>
        <w:spacing w:before="160" w:after="40"/>
      </w:pPr>
    </w:p>
    <w:p>
      <w:pPr>
        <w:spacing w:before="120" w:after="40"/>
      </w:pPr>
      <w:r>
        <w:rPr>
          <w:rFonts w:ascii="Times New Roman" w:cs="Times New Roman" w:eastAsia="Times New Roman" w:hAnsi="Times New Roman"/>
          <w:b/>
          <w:bCs/>
          <w:color w:val="1B2A5E"/>
          <w:sz w:val="20"/>
          <w:szCs w:val="20"/>
        </w:rPr>
        <w:t xml:space="preserve">CLIENT:  [CLIENT LEGAL NAME]</w:t>
      </w:r>
    </w:p>
    <w:p>
      <w:pPr>
        <w:pBdr>
          <w:bottom w:val="single" w:color="D0D7E3" w:sz="4" w:space="1"/>
        </w:pBdr>
        <w:spacing w:before="40" w:after="20"/>
      </w:pPr>
      <w:r>
        <w:rPr>
          <w:rFonts w:ascii="Times New Roman" w:cs="Times New Roman" w:eastAsia="Times New Roman" w:hAnsi="Times New Roman"/>
          <w:color w:val="1A1A2A"/>
          <w:sz w:val="20"/>
          <w:szCs w:val="20"/>
        </w:rPr>
        <w:t xml:space="preserve">By:</w:t>
      </w:r>
    </w:p>
    <w:p>
      <w:pPr>
        <w:pBdr>
          <w:bottom w:val="single" w:color="D0D7E3" w:sz="4" w:space="1"/>
        </w:pBdr>
        <w:spacing w:before="60" w:after="20"/>
      </w:pPr>
      <w:r>
        <w:rPr>
          <w:rFonts w:ascii="Times New Roman" w:cs="Times New Roman" w:eastAsia="Times New Roman" w:hAnsi="Times New Roman"/>
          <w:color w:val="1A1A2A"/>
          <w:sz w:val="20"/>
          <w:szCs w:val="20"/>
        </w:rPr>
        <w:t xml:space="preserve">Name:</w:t>
      </w:r>
    </w:p>
    <w:p>
      <w:pPr>
        <w:pBdr>
          <w:bottom w:val="single" w:color="D0D7E3" w:sz="4" w:space="1"/>
        </w:pBdr>
        <w:spacing w:before="60" w:after="20"/>
      </w:pPr>
      <w:r>
        <w:rPr>
          <w:rFonts w:ascii="Times New Roman" w:cs="Times New Roman" w:eastAsia="Times New Roman" w:hAnsi="Times New Roman"/>
          <w:color w:val="1A1A2A"/>
          <w:sz w:val="20"/>
          <w:szCs w:val="20"/>
        </w:rPr>
        <w:t xml:space="preserve">Title:</w:t>
      </w:r>
    </w:p>
    <w:p>
      <w:pPr>
        <w:pBdr>
          <w:bottom w:val="single" w:color="D0D7E3" w:sz="4" w:space="1"/>
        </w:pBdr>
        <w:spacing w:before="60" w:after="20"/>
      </w:pPr>
      <w:r>
        <w:rPr>
          <w:rFonts w:ascii="Times New Roman" w:cs="Times New Roman" w:eastAsia="Times New Roman" w:hAnsi="Times New Roman"/>
          <w:color w:val="1A1A2A"/>
          <w:sz w:val="20"/>
          <w:szCs w:val="20"/>
        </w:rPr>
        <w:t xml:space="preserve">Date:</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E" w:sz="6" w:space="4"/>
      </w:pBdr>
      <w:tabs>
        <w:tab w:val="right" w:pos="9360"/>
      </w:tabs>
      <w:spacing w:before="80" w:after="0"/>
    </w:pPr>
    <w:r>
      <w:rPr>
        <w:rFonts w:ascii="Times New Roman" w:cs="Times New Roman" w:eastAsia="Times New Roman" w:hAnsi="Times New Roman"/>
        <w:color w:val="7B8FB0"/>
        <w:sz w:val="16"/>
        <w:szCs w:val="16"/>
      </w:rPr>
      <w:t xml:space="preserve">Celerity Energy Advisors  |  celerity.energy  |  (844) 610-5945</w:t>
    </w:r>
    <w:r>
      <w:rPr>
        <w:rFonts w:ascii="Times New Roman" w:cs="Times New Roman" w:eastAsia="Times New Roman" w:hAnsi="Times New Roman"/>
        <w:color w:val="7B8FB0"/>
        <w:sz w:val="16"/>
        <w:szCs w:val="16"/>
      </w:rPr>
      <w:t xml:space="preserve">	© 2025 Celerity Energy Advisors LLC.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40"/>
      <w:jc w:val="right"/>
    </w:pPr>
    <w:r>
      <w:rPr>
        <w:rFonts w:ascii="Times New Roman" w:cs="Times New Roman" w:eastAsia="Times New Roman" w:hAnsi="Times New Roman"/>
        <w:color w:val="9AAABF"/>
        <w:sz w:val="17"/>
        <w:szCs w:val="17"/>
      </w:rPr>
      <w:t xml:space="preserve">Page </w:t>
    </w:r>
    <w:fldSimple w:instr="PAGE">
      <w:r/>
    </w:fldSimple>
  </w:p>
  <w:p>
    <w:pPr>
      <w:pBdr>
        <w:bottom w:val="single" w:color="4A9FD4" w:sz="12" w:space="6"/>
      </w:pBdr>
      <w:spacing w:before="0" w:after="0"/>
    </w:pPr>
    <w:r>
      <w:drawing>
        <wp:inline distT="0" distB="0" distL="0" distR="0">
          <wp:extent cx="17145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810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4A9FD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A"/>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Times New Roman" w:cs="Times New Roman" w:eastAsia="Times New Roman" w:hAnsi="Times New Roman"/>
      <w:b/>
      <w:bCs/>
      <w:color w:val="1B2A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7c3a6a4ad35f7d04b491a7373f583c1c545acf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2026-03-06T04:18:48.189Z</dcterms:created>
  <dcterms:modified xsi:type="dcterms:W3CDTF">2026-03-06T04:18:48.190Z</dcterms:modified>
</cp:coreProperties>
</file>

<file path=docProps/custom.xml><?xml version="1.0" encoding="utf-8"?>
<Properties xmlns="http://schemas.openxmlformats.org/officeDocument/2006/custom-properties" xmlns:vt="http://schemas.openxmlformats.org/officeDocument/2006/docPropsVTypes"/>
</file>