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(v3.5)</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 O endereço com sublinhado (https://fenicris-dev.github.io/Fenix_Core/), que apareceu na v3.2, não existe: o nome certo do repositório é Fenix-Core, com hífen.</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e o próprio Livro das Regras) é entregue sempre em duas cópias idênticas. (1) Cópia com a versão no nome, só para controle interno (ex.: </w:t>
      </w:r>
      <w:r>
        <w:rPr>
          <w:rFonts w:ascii="Courier New" w:cs="Courier New" w:eastAsia="Courier New" w:hAnsi="Courier New"/>
          <w:sz w:val="22"/>
          <w:szCs w:val="22"/>
          <w:shd w:fill="EEF1FA" w:val="clear"/>
        </w:rPr>
        <w:t>fenix-core-v3.5.js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fenix-termos-de-uso-v3.5.html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fenix-livro-das-regras-v3.5.docx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o Painel da biblioteca (página que testa cada endereço oficial e confere as versões); a cópia com versão é </w:t>
      </w:r>
      <w:r>
        <w:rPr>
          <w:rFonts w:ascii="Courier New" w:cs="Courier New" w:eastAsia="Courier New" w:hAnsi="Courier New"/>
          <w:sz w:val="22"/>
          <w:szCs w:val="22"/>
          <w:shd w:fill="EEF1FA" w:val="clear"/>
        </w:rPr>
        <w:t>index-v3.5.html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Fenix_Icone_512.png</w:t>
      </w:r>
      <w:r>
        <w:rPr>
          <w:rFonts w:ascii="Arial" w:cs="Arial" w:eastAsia="Arial" w:hAnsi="Arial"/>
          <w:sz w:val="22"/>
          <w:szCs w:val="22"/>
        </w:rPr>
        <w:t xml:space="preserve"> (águia branca sobre o degradê Fênix, quadrados: favicon, ícone de cabeçalho e ícones do PWA). Pasta </w:t>
      </w:r>
      <w:r>
        <w:rPr>
          <w:rFonts w:ascii="Courier New" w:cs="Courier New" w:eastAsia="Courier New" w:hAnsi="Courier New"/>
          <w:sz w:val="22"/>
          <w:szCs w:val="22"/>
          <w:shd w:fill="EEF1FA" w:val="clear"/>
        </w:rPr>
        <w:t xml:space="preserve">Logo/</w:t>
      </w:r>
      <w:r>
        <w:rPr>
          <w:rFonts w:ascii="Arial" w:cs="Arial" w:eastAsia="Arial" w:hAnsi="Arial"/>
          <w:sz w:val="22"/>
          <w:szCs w:val="22"/>
        </w:rPr>
        <w:t xml:space="preserve"> (águia com fundo transparente): </w:t>
      </w:r>
      <w:r>
        <w:rPr>
          <w:rFonts w:ascii="Courier New" w:cs="Courier New" w:eastAsia="Courier New" w:hAnsi="Courier New"/>
          <w:sz w:val="22"/>
          <w:szCs w:val="22"/>
          <w:shd w:fill="EEF1FA" w:val="clear"/>
        </w:rPr>
        <w:t xml:space="preserve">Fenix_Logo_Azul.png</w:t>
      </w:r>
      <w:r>
        <w:rPr>
          <w:rFonts w:ascii="Arial" w:cs="Arial" w:eastAsia="Arial" w:hAnsi="Arial"/>
          <w:sz w:val="22"/>
          <w:szCs w:val="22"/>
        </w:rPr>
        <w:t xml:space="preserve"> (oficial) e </w:t>
      </w:r>
      <w:r>
        <w:rPr>
          <w:rFonts w:ascii="Courier New" w:cs="Courier New" w:eastAsia="Courier New" w:hAnsi="Courier New"/>
          <w:sz w:val="22"/>
          <w:szCs w:val="22"/>
          <w:shd w:fill="EEF1FA" w:val="clear"/>
        </w:rPr>
        <w:t xml:space="preserve">Fenix_Logo_Branca.png</w:t>
      </w:r>
      <w:r>
        <w:rPr>
          <w:rFonts w:ascii="Arial" w:cs="Arial" w:eastAsia="Arial" w:hAnsi="Arial"/>
          <w:sz w:val="22"/>
          <w:szCs w:val="22"/>
        </w:rPr>
        <w:t xml:space="preserve"> (segunda opção), cada uma também em </w:t>
      </w:r>
      <w:r>
        <w:rPr>
          <w:rFonts w:ascii="Courier New" w:cs="Courier New" w:eastAsia="Courier New" w:hAnsi="Courier New"/>
          <w:sz w:val="22"/>
          <w:szCs w:val="22"/>
          <w:shd w:fill="EEF1FA" w:val="clear"/>
        </w:rPr>
        <w:t xml:space="preserve">_320</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_640</w:t>
      </w:r>
      <w:r>
        <w:rPr>
          <w:rFonts w:ascii="Arial" w:cs="Arial" w:eastAsia="Arial" w:hAnsi="Arial"/>
          <w:sz w:val="22"/>
          <w:szCs w:val="22"/>
        </w:rPr>
        <w:t xml:space="preserve"> (640 para telas de alta densidade), e as auxiliares </w:t>
      </w:r>
      <w:r>
        <w:rPr>
          <w:rFonts w:ascii="Courier New" w:cs="Courier New" w:eastAsia="Courier New" w:hAnsi="Courier New"/>
          <w:sz w:val="22"/>
          <w:szCs w:val="22"/>
          <w:shd w:fill="EEF1FA" w:val="clear"/>
        </w:rPr>
        <w:t xml:space="preserve">Fenix_Logo_Black.png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Fênix-Logo-Silver.png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Fênix-Logo-Gray.png</w:t>
      </w:r>
      <w:r>
        <w:rPr>
          <w:rFonts w:ascii="Arial" w:cs="Arial" w:eastAsia="Arial" w:hAnsi="Arial"/>
          <w:sz w:val="22"/>
          <w:szCs w:val="22"/>
        </w:rPr>
        <w:t xml:space="preserve">. Nos apps, embuta em base64 inline: o app nunca depende de arquivo externo para abrir, e o endereço do GitHub Pages é a fonte oficial para gerar o base64 e para trocas futuras de logo. Use sempre o contraste que melhor combina com o app: a Azul é a oficial, a Branca é a segunda opção e Black, Silver e Gray são auxiliares.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da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 oficial do template de login: https://fenicris-dev.github.io/Fenix-Core/fenix-template-login.html (cópia neutra). O template fica só nesse endereço: 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não é mais cópia dele, é o Painel da biblioteca (regra 11). Quando o template mudar, suba a nova versão com nome versionado (ex.: </w:t>
      </w:r>
      <w:r>
        <w:rPr>
          <w:rFonts w:ascii="Courier New" w:cs="Courier New" w:eastAsia="Courier New" w:hAnsi="Courier New"/>
          <w:sz w:val="22"/>
          <w:szCs w:val="22"/>
          <w:shd w:fill="EEF1FA" w:val="clear"/>
        </w:rPr>
        <w:t>fenix-template-login-v3.6.html</w:t>
      </w:r>
      <w:r>
        <w:rPr>
          <w:rFonts w:ascii="Arial" w:cs="Arial" w:eastAsia="Arial" w:hAnsi="Arial"/>
          <w:sz w:val="22"/>
          <w:szCs w:val="22"/>
        </w:rPr>
        <w:t xml:space="preserve">, só para histórico) e atualize o </w:t>
      </w:r>
      <w:r>
        <w:rPr>
          <w:rFonts w:ascii="Courier New" w:cs="Courier New" w:eastAsia="Courier New" w:hAnsi="Courier New"/>
          <w:sz w:val="22"/>
          <w:szCs w:val="22"/>
          <w:shd w:fill="EEF1FA" w:val="clear"/>
        </w:rPr>
        <w:t>fenix-template-login.html</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na pasta </w:t>
      </w:r>
      <w:r>
        <w:rPr>
          <w:rFonts w:ascii="Courier New" w:cs="Courier New" w:eastAsia="Courier New" w:hAnsi="Courier New"/>
          <w:sz w:val="22"/>
          <w:szCs w:val="22"/>
          <w:shd w:fill="EEF1FA" w:val="clear"/>
        </w:rPr>
        <w:t xml:space="preserve">Termos/</w:t>
      </w:r>
      <w:r>
        <w:rPr>
          <w:rFonts w:ascii="Arial" w:cs="Arial" w:eastAsia="Arial" w:hAnsi="Arial"/>
          <w:sz w:val="22"/>
          <w:szCs w:val="22"/>
        </w:rPr>
        <w:t xml:space="preserve">, com nomes fixos e sem versão (cópia neutra, regra 11), porque os endereços não podem mudar: https://fenicris-dev.github.io/Fenix-Core/Termos/fenix-termos-de-uso.html e https://fenicris-dev.github.io/Fenix-Core/Termos/fenix-politica-de-privacidade.html. Cada documento traz, dentro dele, o número da versão (que acompanha a do livro, regra 7) e a data de atualização (que só muda quando o texto do documento muda de fato), e tem também a cópia com a versão no nome (ex.: </w:t>
      </w:r>
      <w:r>
        <w:rPr>
          <w:rFonts w:ascii="Courier New" w:cs="Courier New" w:eastAsia="Courier New" w:hAnsi="Courier New"/>
          <w:sz w:val="22"/>
          <w:szCs w:val="22"/>
          <w:shd w:fill="EEF1FA" w:val="clear"/>
        </w:rPr>
        <w:t xml:space="preserve">fenix-termos-de-uso-v3.5.html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fenix-template-onboarding-v3.5.html,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Splash de abertura (TODOS os apps, novos, em atualização e antigos): tela azul Fênix cheia, com o ícone do app (a águia dos Fenix_Icone_*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 xml:space="preserve">FenixCore.localidades.buscarPorCEP(cep)</w:t>
      </w:r>
      <w:r>
        <w:rPr>
          <w:rFonts w:ascii="Arial" w:cs="Arial" w:eastAsia="Arial" w:hAnsi="Arial"/>
          <w:sz w:val="22"/>
          <w:szCs w:val="22"/>
        </w:rPr>
        <w:t xml:space="preserve"> (ViaCEP), e os campos continuam editáveis. Enquanto o banco estiver desligado (regra 1), use </w:t>
      </w:r>
      <w:r>
        <w:rPr>
          <w:rFonts w:ascii="Courier New" w:cs="Courier New" w:eastAsia="Courier New" w:hAnsi="Courier New"/>
          <w:sz w:val="22"/>
          <w:szCs w:val="22"/>
          <w:shd w:fill="EEF1FA" w:val="clear"/>
        </w:rPr>
        <w:t xml:space="preserve">FenixCore.localidades.buscarPorCEPSemBanco(cep)</w:t>
      </w:r>
      <w:r>
        <w:rPr>
          <w:rFonts w:ascii="Arial" w:cs="Arial" w:eastAsia="Arial" w:hAnsi="Arial"/>
          <w:sz w:val="22"/>
          <w:szCs w:val="22"/>
        </w:rPr>
        <w:t xml:space="preserve">, que consulta o ViaCEP sem gravar no Firestore; o </w:t>
      </w:r>
      <w:r>
        <w:rPr>
          <w:rFonts w:ascii="Courier New" w:cs="Courier New" w:eastAsia="Courier New" w:hAnsi="Courier New"/>
          <w:sz w:val="22"/>
          <w:szCs w:val="22"/>
          <w:shd w:fill="EEF1FA" w:val="clear"/>
        </w:rPr>
        <w:t xml:space="preserve">buscarPorCEP</w:t>
      </w:r>
      <w:r>
        <w:rPr>
          <w:rFonts w:ascii="Arial" w:cs="Arial" w:eastAsia="Arial" w:hAnsi="Arial"/>
          <w:sz w:val="22"/>
          <w:szCs w:val="22"/>
        </w:rPr>
        <w:t xml:space="preserve">, que grava cidades e bairros no banco, só vale com o banco ativo.</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R$ 0.000,00</w:t>
      </w:r>
      <w:r>
        <w:rPr>
          <w:rFonts w:ascii="Arial" w:cs="Arial" w:eastAsia="Arial" w:hAnsi="Arial"/>
          <w:sz w:val="22"/>
          <w:szCs w:val="22"/>
        </w:rPr>
        <w:t xml:space="preserve"> (ponto nos milhares, vírgula nos decimais), tanto na exibição quanto nos campos de digitação, enquanto o usuário digita.</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HH:mm</w:t>
      </w:r>
      <w:r>
        <w:rPr>
          <w:rFonts w:ascii="Arial" w:cs="Arial" w:eastAsia="Arial" w:hAnsi="Arial"/>
          <w:sz w:val="22"/>
          <w:szCs w:val="22"/>
        </w:rPr>
        <w:t>), na exibição e nos campos de digitação. Internamente, guarde as datas em formato ISO (</w:t>
      </w:r>
      <w:r>
        <w:rPr>
          <w:rFonts w:ascii="Courier New" w:cs="Courier New" w:eastAsia="Courier New" w:hAnsi="Courier New"/>
          <w:sz w:val="22"/>
          <w:szCs w:val="22"/>
          <w:shd w:fill="EEF1FA" w:val="clear"/>
        </w:rPr>
        <w:t>aaaa-mm-dd</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dados</w:t>
      </w:r>
      <w:r>
        <w:rPr>
          <w:rFonts w:ascii="Arial" w:cs="Arial" w:eastAsia="Arial" w:hAnsi="Arial"/>
          <w:sz w:val="22"/>
          <w:szCs w:val="22"/>
        </w:rPr>
        <w:t>. O core não tem importação: o app oferece o botão Importar na área de Ajuda ou Configurações, e a importação substitui os dados atuais, então segue a regra de ações destrutivas (regra 47).</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Estas regras são um documento vivo. Em todo app novo, e em todo app existente que eu trouxer para alteração, antes de começar preencha comigo a Ficha de aplicação das regras (seção abaixo) e confirme: nome do app, funcionalidade principal, outras APIs e observações de layout.</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e 47 a 53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v3.5: a versão dos Termos e da Política acompanha a do livro, mas a data de atualização só muda quando o texto muda de fato (regra 27); a data dos dois volta a 03/10/2026, que é a do último texto aprovado. Novo FenixCore.localidades.buscarPorCEPSemBanco(cep), que consulta o ViaCEP sem gravar no Firestore, para apps com o banco ainda desligado (regra 33 e core v3.5). A entrega passa a terminar com o Painel da biblioteca (Como entregar). Livro, core, templates e documentos legais sobem juntos para a 3.5 (regra 7). Afeta apps: SIM, só quem consulta CEP com o banco desligado: troca para buscarPorCEPSemBanco na próxima alteração.</w:t>
      </w:r>
    </w:p>
    <w:p>
      <w:pPr>
        <w:pStyle w:val="ListParagraph"/>
        <w:numPr>
          <w:ilvl w:val="0"/>
          <w:numId w:val="3"/>
        </w:numPr>
        <w:spacing w:after="40"/>
      </w:pPr>
      <w:r>
        <w:rPr>
          <w:rFonts w:ascii="Arial" w:cs="Arial" w:eastAsia="Arial" w:hAnsi="Arial"/>
          <w:sz w:val="22"/>
          <w:szCs w:val="22"/>
        </w:rPr>
        <w:t>v3.4: o `index.html` passa a ser o Painel da biblioteca, uma página que testa cada endereço oficial (core, templates, ícones, logos, Termos, Política e livro) e confere se todos estão na mesma versão (regras 11 e 24 e seção Endereços oficiais). O template de login deixa de ter cópia no `index.html` e fica só em `fenix-template-login.html`. Livro, core, templates e documentos legais sobem juntos para a 3.4 (regra 7). Afeta apps: não (nenhum app aponta para o `index.html`).</w:t>
      </w:r>
    </w:p>
    <w:p>
      <w:pPr>
        <w:pStyle w:val="ListParagraph"/>
        <w:numPr>
          <w:ilvl w:val="0"/>
          <w:numId w:val="3"/>
        </w:numPr>
        <w:spacing w:after="40"/>
      </w:pPr>
      <w:r>
        <w:rPr>
          <w:rFonts w:ascii="Arial" w:cs="Arial" w:eastAsia="Arial" w:hAnsi="Arial"/>
          <w:sz w:val="22"/>
          <w:szCs w:val="22"/>
        </w:rPr>
        <w:t>v3.3: caminhos oficiais conferidos com o repositório. O nome certo é Fenix-Core, com hífen: a v3.2 (com sublinhado, Fenix_Core) fica cancelada e nenhum app deve usá-la. Ícones ficam na pasta Icon/, logos em Logo/ (oficial Azul, segunda opção Branca, auxiliares Black, Silver e Gray, com a regra de usar o contraste que melhor combina com o app), Termos e Política em Termos/, livro em MD/ (.md) e DOC/ (.docx). Regras 17 e 27 e a seção Endereços oficiais atualizadas; Fenix_Icone_128.png criado. Livro, core, templates e documentos legais sobem juntos para a 3.3 (regra 7). Afeta apps: SIM. Na próxima alteração, o app aponta para os endereços novos (principalmente ícones, logos, Termos e Política); enquanto isso, os arquivos antigos da raiz precisam continuar publicados.</w:t>
      </w:r>
    </w:p>
    <w:p>
      <w:pPr>
        <w:pStyle w:val="ListParagraph"/>
        <w:numPr>
          <w:ilvl w:val="0"/>
          <w:numId w:val="3"/>
        </w:numPr>
        <w:spacing w:after="40"/>
      </w:pPr>
      <w:r>
        <w:rPr>
          <w:rFonts w:ascii="Arial" w:cs="Arial" w:eastAsia="Arial" w:hAnsi="Arial"/>
          <w:sz w:val="22"/>
          <w:szCs w:val="22"/>
        </w:rPr>
        <w:t>v3.2: novo endereço oficial da biblioteca (Fênix Core, templates, ícones, logos, Termos, Política e livro): https://fenicris-dev.github.io/Fenix_Core/ (Fenix_Core, com sublinhado). O endereço antigo (…/Fenix-Core/, com hífen) deixa de valer. Regra 1, regras 17, 24, 27 e 29 e a seção Endereços oficiais atualizadas; livro, core, templates e documentos legais sobem juntos para a 3.2 (regra 7). Afeta apps: SIM. Todo app que aponta para o endereço antigo (core, ícones, logos, Termos, Política) troca para o novo na próxima alteração dele; até lá, o endereço antigo precisa continuar publicado para o app não quebrar.</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Painel da biblioteca (testa cada endereço desta lista): https://fenicris-dev.github.io/Fenix-Core/ (arquivo index.html)</w:t>
      </w:r>
    </w:p>
    <w:p>
      <w:pPr>
        <w:pStyle w:val="ListParagraph"/>
        <w:numPr>
          <w:ilvl w:val="0"/>
          <w:numId w:val="3"/>
        </w:numPr>
        <w:spacing w:after="40"/>
      </w:pPr>
      <w:r>
        <w:rPr>
          <w:rFonts w:ascii="Arial" w:cs="Arial" w:eastAsia="Arial" w:hAnsi="Arial"/>
          <w:sz w:val="22"/>
          <w:szCs w:val="22"/>
        </w:rPr>
        <w:t>Template de login: https://fenicris-dev.github.io/Fenix-Core/fenix-template-login.html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Ícones (URL base + Icon/):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(URL base + Logo/): Fenix_Logo_Azul.png (oficial), Fenix_Logo_Azul_320.png, Fenix_Logo_Azul_640.png, Fenix_Logo_Branca.png (segunda opção), Fenix_Logo_Branca_320.png, Fenix_Logo_Branca_640.png; auxiliares: Fenix_Logo_Black.png, Fênix-Logo-Silver.png, Fênix-Logo-Gray.png (o ê faz parte do nome desses dois arquivos; em endereço escreve-se %C3%AA)</w:t>
      </w:r>
    </w:p>
    <w:p>
      <w:pPr>
        <w:pStyle w:val="ListParagraph"/>
        <w:numPr>
          <w:ilvl w:val="0"/>
          <w:numId w:val="3"/>
        </w:numPr>
        <w:spacing w:after="40"/>
      </w:pPr>
      <w:r>
        <w:rPr>
          <w:rFonts w:ascii="Arial" w:cs="Arial" w:eastAsia="Arial" w:hAnsi="Arial"/>
          <w:sz w:val="22"/>
          <w:szCs w:val="22"/>
        </w:rPr>
        <w:t>Termos de Uso: https://fenicris-dev.github.io/Fenix-Core/Termos/fenix-termos-de-uso.html</w:t>
      </w:r>
    </w:p>
    <w:p>
      <w:pPr>
        <w:pStyle w:val="ListParagraph"/>
        <w:numPr>
          <w:ilvl w:val="0"/>
          <w:numId w:val="3"/>
        </w:numPr>
        <w:spacing w:after="40"/>
      </w:pPr>
      <w:r>
        <w:rPr>
          <w:rFonts w:ascii="Arial" w:cs="Arial" w:eastAsia="Arial" w:hAnsi="Arial"/>
          <w:sz w:val="22"/>
          <w:szCs w:val="22"/>
        </w:rPr>
        <w:t>Política de Privacidade: https://fenicris-dev.github.io/Fenix-Core/Termos/fenix-politica-de-privacidade.html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https://fenicris-dev.github.io/Fenix-Core/MD/fenix-livro-das-regras.md e https://fenicris-dev.github.io/Fenix-Core/DOC/fenix-livro-das-regras.docx</w:t>
      </w:r>
    </w:p>
    <w:p>
      <w:pPr>
        <w:pStyle w:val="ListParagraph"/>
        <w:numPr>
          <w:ilvl w:val="0"/>
          <w:numId w:val="3"/>
        </w:numPr>
        <w:spacing w:after="40"/>
      </w:pPr>
      <w:r>
        <w:rPr>
          <w:rFonts w:ascii="Arial" w:cs="Arial" w:eastAsia="Arial" w:hAnsi="Arial"/>
          <w:sz w:val="22"/>
          <w:szCs w:val="22"/>
        </w:rPr>
        <w:t>As cópias com a versão no nome (ex.: fenix-core-v3.5.js)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e o Livro das Regras.</w:t>
      </w:r>
    </w:p>
    <w:p>
      <w:pPr>
        <w:pStyle w:val="ListParagraph"/>
        <w:numPr>
          <w:ilvl w:val="0"/>
          <w:numId w:val="3"/>
        </w:numPr>
        <w:spacing w:after="40"/>
      </w:pPr>
      <w:r>
        <w:rPr>
          <w:rFonts w:ascii="Arial" w:cs="Arial" w:eastAsia="Arial" w:hAnsi="Arial"/>
          <w:sz w:val="22"/>
          <w:szCs w:val="22"/>
        </w:rPr>
        <w:t>Depois de publicar, abra o Painel da biblioteca (index.html) e toque em "Testar tudo": nenhum item pode ficar em amarelo.</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