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(v3.9)</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Guia da biblioteca, as regras do Firestore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o Livro das Regras, o Guia da biblioteca e as regras do Firestore) é entregue sempre em duas cópias idênticas. (1) Cópia com a versão no nome, só para controle interno (ex.: </w:t>
      </w:r>
      <w:r>
        <w:rPr>
          <w:rFonts w:ascii="Courier New" w:cs="Courier New" w:eastAsia="Courier New" w:hAnsi="Courier New"/>
          <w:sz w:val="22"/>
          <w:szCs w:val="22"/>
          <w:shd w:fill="EEF1FA" w:val="clear"/>
        </w:rPr>
        <w:t>fenix-core-v3.9.js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fenix-termos-de-uso-v3.9.html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fenix-livro-das-regras-v3.9.docx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o Painel da biblioteca (página que testa cada endereço oficial e confere as versões); a cópia com versão é </w:t>
      </w:r>
      <w:r>
        <w:rPr>
          <w:rFonts w:ascii="Courier New" w:cs="Courier New" w:eastAsia="Courier New" w:hAnsi="Courier New"/>
          <w:sz w:val="22"/>
          <w:szCs w:val="22"/>
          <w:shd w:fill="EEF1FA" w:val="clear"/>
        </w:rPr>
        <w:t>index-v3.9.html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Fênix-Logo-Silver.png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Fênix-Logo-Gray.png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 oficial do template de login: https://fenicris-dev.github.io/Fenix-Core/fenix-template-login.html (cópia neutra). O template fica só nesse endereço: 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não é mais cópia dele, é o Painel da biblioteca (regra 11). Quando o template mudar, suba a nova versão com nome versionado (ex.: </w:t>
      </w:r>
      <w:r>
        <w:rPr>
          <w:rFonts w:ascii="Courier New" w:cs="Courier New" w:eastAsia="Courier New" w:hAnsi="Courier New"/>
          <w:sz w:val="22"/>
          <w:szCs w:val="22"/>
          <w:shd w:fill="EEF1FA" w:val="clear"/>
        </w:rPr>
        <w:t>fenix-template-login-v4.0.html</w:t>
      </w:r>
      <w:r>
        <w:rPr>
          <w:rFonts w:ascii="Arial" w:cs="Arial" w:eastAsia="Arial" w:hAnsi="Arial"/>
          <w:sz w:val="22"/>
          <w:szCs w:val="22"/>
        </w:rPr>
        <w:t xml:space="preserve">, só para histórico) e atualize o </w:t>
      </w:r>
      <w:r>
        <w:rPr>
          <w:rFonts w:ascii="Courier New" w:cs="Courier New" w:eastAsia="Courier New" w:hAnsi="Courier New"/>
          <w:sz w:val="22"/>
          <w:szCs w:val="22"/>
          <w:shd w:fill="EEF1FA" w:val="clear"/>
        </w:rPr>
        <w:t>fenix-template-login.html</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(que acompanha a do livro, regra 7) e a data de atualização (que só muda quando o texto do documento muda de fato), e tem também a cópia com a versão no nome (ex.: </w:t>
      </w:r>
      <w:r>
        <w:rPr>
          <w:rFonts w:ascii="Courier New" w:cs="Courier New" w:eastAsia="Courier New" w:hAnsi="Courier New"/>
          <w:sz w:val="22"/>
          <w:szCs w:val="22"/>
          <w:shd w:fill="EEF1FA" w:val="clear"/>
        </w:rPr>
        <w:t>fenix-termos-de-uso-v3.9.html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fenix-template-onboarding-v3.9.html,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(TODOS os apps, novos, em atualização e antigos): tela azul Fênix cheia, com o ícone do app (a águia dos Fenix_Icone_*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 xml:space="preserve">FenixCore.localidades.buscarPorCEP(cep)</w:t>
      </w:r>
      <w:r>
        <w:rPr>
          <w:rFonts w:ascii="Arial" w:cs="Arial" w:eastAsia="Arial" w:hAnsi="Arial"/>
          <w:sz w:val="22"/>
          <w:szCs w:val="22"/>
        </w:rPr>
        <w:t xml:space="preserve"> (ViaCEP), e os campos continuam editáveis. Enquanto o banco estiver desligado (regra 1), use </w:t>
      </w:r>
      <w:r>
        <w:rPr>
          <w:rFonts w:ascii="Courier New" w:cs="Courier New" w:eastAsia="Courier New" w:hAnsi="Courier New"/>
          <w:sz w:val="22"/>
          <w:szCs w:val="22"/>
          <w:shd w:fill="EEF1FA" w:val="clear"/>
        </w:rPr>
        <w:t xml:space="preserve">FenixCore.localidades.buscarPorCEPSemBanco(cep)</w:t>
      </w:r>
      <w:r>
        <w:rPr>
          <w:rFonts w:ascii="Arial" w:cs="Arial" w:eastAsia="Arial" w:hAnsi="Arial"/>
          <w:sz w:val="22"/>
          <w:szCs w:val="22"/>
        </w:rPr>
        <w:t xml:space="preserve">, que consulta o ViaCEP sem gravar no Firestore; o </w:t>
      </w:r>
      <w:r>
        <w:rPr>
          <w:rFonts w:ascii="Courier New" w:cs="Courier New" w:eastAsia="Courier New" w:hAnsi="Courier New"/>
          <w:sz w:val="22"/>
          <w:szCs w:val="22"/>
          <w:shd w:fill="EEF1FA" w:val="clear"/>
        </w:rPr>
        <w:t xml:space="preserve">buscarPorCEP</w:t>
      </w:r>
      <w:r>
        <w:rPr>
          <w:rFonts w:ascii="Arial" w:cs="Arial" w:eastAsia="Arial" w:hAnsi="Arial"/>
          <w:sz w:val="22"/>
          <w:szCs w:val="22"/>
        </w:rPr>
        <w:t xml:space="preserve">, que grava cidades e bairros no banco, só vale com o banco ativo.</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Máscara automática: todo campo de CPF, CNPJ, CEP, telefone, moeda, percentual, data, hora, placa, IP, MAC ou número se formata sozinho enquanto o usuário digita. No HTML, marque o campo com </w:t>
      </w:r>
      <w:r>
        <w:rPr>
          <w:rFonts w:ascii="Courier New" w:cs="Courier New" w:eastAsia="Courier New" w:hAnsi="Courier New"/>
          <w:sz w:val="22"/>
          <w:szCs w:val="22"/>
          <w:shd w:fill="EEF1FA" w:val="clear"/>
        </w:rPr>
        <w:t xml:space="preserve">data-mask</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cep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telefone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percentual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data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hora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placa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mac</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numero</w:t>
      </w:r>
      <w:r>
        <w:rPr>
          <w:rFonts w:ascii="Arial" w:cs="Arial" w:eastAsia="Arial" w:hAnsi="Arial"/>
          <w:sz w:val="22"/>
          <w:szCs w:val="22"/>
        </w:rPr>
        <w:t xml:space="preserve">) e chame uma vez </w:t>
      </w:r>
      <w:r>
        <w:rPr>
          <w:rFonts w:ascii="Courier New" w:cs="Courier New" w:eastAsia="Courier New" w:hAnsi="Courier New"/>
          <w:sz w:val="22"/>
          <w:szCs w:val="22"/>
          <w:shd w:fill="EEF1FA" w:val="clear"/>
        </w:rPr>
        <w:t xml:space="preserve">FenixCore.mascaras.auto()</w:t>
      </w:r>
      <w:r>
        <w:rPr>
          <w:rFonts w:ascii="Arial" w:cs="Arial" w:eastAsia="Arial" w:hAnsi="Arial"/>
          <w:sz w:val="22"/>
          <w:szCs w:val="22"/>
        </w:rPr>
        <w:t xml:space="preserve"> depois do carregamento do core. Nunca escreva máscara própria.</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CPF e CNPJ no mesmo campo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até 11 dígitos aparece como CPF (</w:t>
      </w:r>
      <w:r>
        <w:rPr>
          <w:rFonts w:ascii="Courier New" w:cs="Courier New" w:eastAsia="Courier New" w:hAnsi="Courier New"/>
          <w:sz w:val="22"/>
          <w:szCs w:val="22"/>
          <w:shd w:fill="EEF1FA" w:val="clear"/>
        </w:rPr>
        <w:t xml:space="preserve">000.000.000-00</w:t>
      </w:r>
      <w:r>
        <w:rPr>
          <w:rFonts w:ascii="Arial" w:cs="Arial" w:eastAsia="Arial" w:hAnsi="Arial"/>
          <w:sz w:val="22"/>
          <w:szCs w:val="22"/>
        </w:rPr>
        <w:t xml:space="preserve">); passando de 11, vira CNPJ (</w:t>
      </w:r>
      <w:r>
        <w:rPr>
          <w:rFonts w:ascii="Courier New" w:cs="Courier New" w:eastAsia="Courier New" w:hAnsi="Courier New"/>
          <w:sz w:val="22"/>
          <w:szCs w:val="22"/>
          <w:shd w:fill="EEF1FA" w:val="clear"/>
        </w:rPr>
        <w:t xml:space="preserve">00.000.000/0000-00</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Moeda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os dígitos entram pelos centavos e os pontos dos milhares aparecem sozinhos: 1 vira R$ 0,01, 10 vira R$ 0,10, 100 vira R$ 1,00, 1000 vira R$ 10,00 e 123456 vira R$ 1.234,56. Para guardar, use </w:t>
      </w:r>
      <w:r>
        <w:rPr>
          <w:rFonts w:ascii="Courier New" w:cs="Courier New" w:eastAsia="Courier New" w:hAnsi="Courier New"/>
          <w:sz w:val="22"/>
          <w:szCs w:val="22"/>
          <w:shd w:fill="EEF1FA" w:val="clear"/>
        </w:rPr>
        <w:t xml:space="preserve">FenixCore.mascaras.moedaParaNumero</w:t>
      </w:r>
      <w:r>
        <w:rPr>
          <w:rFonts w:ascii="Arial" w:cs="Arial" w:eastAsia="Arial" w:hAnsi="Arial"/>
          <w:sz w:val="22"/>
          <w:szCs w:val="22"/>
        </w:rPr>
        <w:t xml:space="preserve">; para mostrar um valor guardado, </w:t>
      </w:r>
      <w:r>
        <w:rPr>
          <w:rFonts w:ascii="Courier New" w:cs="Courier New" w:eastAsia="Courier New" w:hAnsi="Courier New"/>
          <w:sz w:val="22"/>
          <w:szCs w:val="22"/>
          <w:shd w:fill="EEF1FA" w:val="clear"/>
        </w:rPr>
        <w:t xml:space="preserve">numeroParaMoeda</w:t>
      </w:r>
      <w:r>
        <w:rPr>
          <w:rFonts w:ascii="Arial" w:cs="Arial" w:eastAsia="Arial" w:hAnsi="Arial"/>
          <w:sz w:val="22"/>
          <w:szCs w:val="22"/>
        </w:rPr>
        <w:t xml:space="preserve"> ou </w:t>
      </w:r>
      <w:r>
        <w:rPr>
          <w:rFonts w:ascii="Courier New" w:cs="Courier New" w:eastAsia="Courier New" w:hAnsi="Courier New"/>
          <w:sz w:val="22"/>
          <w:szCs w:val="22"/>
          <w:shd w:fill="EEF1FA" w:val="clear"/>
        </w:rPr>
        <w:t xml:space="preserve">definirValor</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Todo campo novo com formato fixo ganha máscara automática, mesmo que eu não peça; se o tipo ainda não existir no core, avise e proponha acrescentá-lo.</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 xml:space="preserve">R$ 0.000,00</w:t>
      </w:r>
      <w:r>
        <w:rPr>
          <w:rFonts w:ascii="Arial" w:cs="Arial" w:eastAsia="Arial" w:hAnsi="Arial"/>
          <w:sz w:val="22"/>
          <w:szCs w:val="22"/>
        </w:rPr>
        <w:t xml:space="preserve"> (ponto nos milhares, vírgula nos decimais), tanto na exibição quanto nos campos de digitação, enquanto o usuário digita. Nos campos de digitação use </w:t>
      </w:r>
      <w:r>
        <w:rPr>
          <w:rFonts w:ascii="Courier New" w:cs="Courier New" w:eastAsia="Courier New" w:hAnsi="Courier New"/>
          <w:sz w:val="22"/>
          <w:szCs w:val="22"/>
          <w:shd w:fill="EEF1FA" w:val="clear"/>
        </w:rPr>
        <w:t xml:space="preserve">data-mask="moeda"</w:t>
      </w:r>
      <w:r>
        <w:rPr>
          <w:rFonts w:ascii="Arial" w:cs="Arial" w:eastAsia="Arial" w:hAnsi="Arial"/>
          <w:sz w:val="22"/>
          <w:szCs w:val="22"/>
        </w:rPr>
        <w:t xml:space="preserve"> (regra 38): os dígitos entram pelos centavos.</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 xml:space="preserve">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 xml:space="preserve">HH:mm</w:t>
      </w:r>
      <w:r>
        <w:rPr>
          <w:rFonts w:ascii="Arial" w:cs="Arial" w:eastAsia="Arial" w:hAnsi="Arial"/>
          <w:sz w:val="22"/>
          <w:szCs w:val="22"/>
        </w:rPr>
        <w:t xml:space="preserve">), na exibição e nos campos de digitação. Internamente, guarde as datas em formato ISO (</w:t>
      </w:r>
      <w:r>
        <w:rPr>
          <w:rFonts w:ascii="Courier New" w:cs="Courier New" w:eastAsia="Courier New" w:hAnsi="Courier New"/>
          <w:sz w:val="22"/>
          <w:szCs w:val="22"/>
          <w:shd w:fill="EEF1FA" w:val="clear"/>
        </w:rPr>
        <w:t xml:space="preserve">aaaa-mm-dd</w:t>
      </w:r>
      <w:r>
        <w:rPr>
          <w:rFonts w:ascii="Arial" w:cs="Arial" w:eastAsia="Arial" w:hAnsi="Arial"/>
          <w:sz w:val="22"/>
          <w:szCs w:val="22"/>
        </w:rPr>
        <w:t xml:space="preserve">). Nos campos de digitação use </w:t>
      </w:r>
      <w:r>
        <w:rPr>
          <w:rFonts w:ascii="Courier New" w:cs="Courier New" w:eastAsia="Courier New" w:hAnsi="Courier New"/>
          <w:sz w:val="22"/>
          <w:szCs w:val="22"/>
          <w:shd w:fill="EEF1FA" w:val="clear"/>
        </w:rPr>
        <w:t xml:space="preserve">data-mask="data"</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data-mask="hora"</w:t>
      </w:r>
      <w:r>
        <w:rPr>
          <w:rFonts w:ascii="Arial" w:cs="Arial" w:eastAsia="Arial" w:hAnsi="Arial"/>
          <w:sz w:val="22"/>
          <w:szCs w:val="22"/>
        </w:rPr>
        <w:t xml:space="preserve"> (regra 38); </w:t>
      </w:r>
      <w:r>
        <w:rPr>
          <w:rFonts w:ascii="Courier New" w:cs="Courier New" w:eastAsia="Courier New" w:hAnsi="Courier New"/>
          <w:sz w:val="22"/>
          <w:szCs w:val="22"/>
          <w:shd w:fill="EEF1FA" w:val="clear"/>
        </w:rPr>
        <w:t xml:space="preserve">FenixCore.mascaras.dataParaISO</w:t>
      </w:r>
      <w:r>
        <w:rPr>
          <w:rFonts w:ascii="Arial" w:cs="Arial" w:eastAsia="Arial" w:hAnsi="Arial"/>
          <w:sz w:val="22"/>
          <w:szCs w:val="22"/>
        </w:rPr>
        <w:t xml:space="preserve"> converte para o formato ISO.</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 xml:space="preserve">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 Parta do arquivo-base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da biblioteca (endereço em Endereços oficiais), que traz as regras das coleções do Fênix Core (empresas, equipe, convites, vínculo usuário e empresa, catálogos por empresa e base compartilhada): ajuste só o que o app criar de coleção própria e entregue o arquivo pronto, nas duas cópias (regra 11). Enquanto eu não confirmar que ele bate com o que está publicado no console, é proposta: avise para eu comparar antes de publicar.</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9. TRAZER UM APP ANTIGO AO PADRÃO</w:t>
      </w:r>
    </w:p>
    <w:p>
      <w:pPr>
        <w:tabs>
          <w:tab w:val="left" w:pos="400"/>
        </w:tabs>
        <w:spacing w:after="80"/>
        <w:ind w:left="400" w:hanging="400"/>
      </w:pPr>
      <w:r>
        <w:rPr>
          <w:rFonts w:ascii="Arial" w:cs="Arial" w:eastAsia="Arial" w:hAnsi="Arial"/>
          <w:b/>
          <w:bCs/>
          <w:color w:val="041273"/>
          <w:sz w:val="22"/>
          <w:szCs w:val="22"/>
        </w:rPr>
        <w:t>55.</w:t>
        <w:tab/>
      </w:r>
      <w:r>
        <w:rPr>
          <w:rFonts w:ascii="Arial" w:cs="Arial" w:eastAsia="Arial" w:hAnsi="Arial"/>
          <w:sz w:val="22"/>
          <w:szCs w:val="22"/>
        </w:rPr>
        <w:t xml:space="preserve">Trazer um app antigo ao padrão: quando eu trouxer um app existente para alteração, siga este roteiro, nesta ordem. (a) Leia o selo (regra 53): sem selo, aplique o livro inteiro; selo antigo, só o que o Histórico indica; selo igual ao do livro, nada a aplicar além do que eu pedir. (b) Preencha comigo a Ficha (regra 52). (c) Faça o inventário: liste, em poucas linhas, o que o app já cumpre e o que falta, regra por regra, e me mostre antes de mexer. (d) Proteja os dados: não mude o nome nem o formato das chaves do localStorage nem das coleções existentes; se for preciso mudar, escreva a migração e ofereça o backup (regra 44) antes. (e) Aplique em etapas, entregando cada uma testada: 1) core, banco desligado e selo (regras 1, 2 e 53); 2) identidade (regras 14 a 22); 3) acesso (regras 23 a 32, inclusive o splash); 4) cadastros e máscaras (regras 33 a 43), trocando os cadastros próprios de pessoas pelas funções do core; 5) qualidade (regras 12, 13, 44, 45 e 54: Changelog e Manual, Sobre, backup, PDF e dashboard). (f) Não mude o comportamento nem o visual de telas que eu não pedi, a não ser que uma regra exija; se uma regra conflitar com algo que o app faz hoje, avise e pergunte. (g) Entregue conforme Como entregar, mantendo a sequência de versões do próprio app e registrando a Ficha no primeiro item do Changelog. (h) Acrescente o app em Apps já no padrão, com o selo e a Ficha.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47 a 53 e 55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v3.9: máscaras automáticas em todo app: o campo se formata sozinho enquanto o usuário digita, sem eu precisar pedir. Novo FenixCore.mascaras no core, ligado por data-mask e FenixCore.mascaras.auto(): CPF e CNPJ no mesmo campo (até 11 dígitos é CPF, passou de 11 vira CNPJ), moeda pelos centavos (1000 vira R$ 10,00), telefone fixo e celular, CEP, data, hora, placa, IP, MAC, percentual e número (regras 38 a 40). O Painel ganha o teste automático das máscaras e um grupo para digitar e conferir na tela. Livro, guia, core, regras do Firestore, templates e documentos legais sobem juntos para a 3.9 (regra 7). Afeta apps: SIM. Cada app troca as máscaras próprias por FenixCore.mascaras na próxima alteração dele.</w:t>
      </w:r>
    </w:p>
    <w:p>
      <w:pPr>
        <w:pStyle w:val="ListParagraph"/>
        <w:numPr>
          <w:ilvl w:val="0"/>
          <w:numId w:val="3"/>
        </w:numPr>
        <w:spacing w:after="40"/>
      </w:pPr>
      <w:r>
        <w:rPr>
          <w:rFonts w:ascii="Arial" w:cs="Arial" w:eastAsia="Arial" w:hAnsi="Arial"/>
          <w:sz w:val="22"/>
          <w:szCs w:val="22"/>
        </w:rPr>
        <w:t>v3.8: nova regra 55 (seção 9, Trazer um app antigo ao padrão): roteiro para quando eu trouxer um app existente, com leitura do selo, Ficha, inventário mostrado antes de mexer, proteção dos dados, cinco etapas testadas e anotação em Apps já no padrão. A regra 46 passa a apontar para o arquivo-base firestore.rules, uma proposta de regras do Firestore para as coleções do Fênix Core, que entra na biblioteca com duas cópias (regra 11), nos Endereços oficiais e no Painel. Livro, guia, core, templates e documentos legais sobem juntos para a 3.8 (regra 7). Afeta apps: não (o roteiro é um jeito de trabalhar e o firestore.rules só vale quando eu publicar as regras no console com você).</w:t>
      </w:r>
    </w:p>
    <w:p>
      <w:pPr>
        <w:pStyle w:val="ListParagraph"/>
        <w:numPr>
          <w:ilvl w:val="0"/>
          <w:numId w:val="3"/>
        </w:numPr>
        <w:spacing w:after="40"/>
      </w:pPr>
      <w:r>
        <w:rPr>
          <w:rFonts w:ascii="Arial" w:cs="Arial" w:eastAsia="Arial" w:hAnsi="Arial"/>
          <w:sz w:val="22"/>
          <w:szCs w:val="22"/>
        </w:rPr>
        <w:t>v3.7: o Guia da biblioteca (fenix-guia-da-biblioteca, que explica cada função do core e cada regra do livro e traz o Changelog da biblioteca) passa a fazer parte do conjunto: anda junto com a versão (regra 7), tem duas cópias (regra 11), consta nos Endereços oficiais e no Como entregar, e o Painel passa a testá-lo. O Painel ganha também testes ao vivo de CNPJ e CEP, que rodam as funções do core com a internet real, sem gravar no banco. Livro, guia, core, templates e documentos legais sobem juntos para a 3.7 (regra 7). Afeta apps: não.</w:t>
      </w:r>
    </w:p>
    <w:p>
      <w:pPr>
        <w:pStyle w:val="ListParagraph"/>
        <w:numPr>
          <w:ilvl w:val="0"/>
          <w:numId w:val="3"/>
        </w:numPr>
        <w:spacing w:after="40"/>
      </w:pPr>
      <w:r>
        <w:rPr>
          <w:rFonts w:ascii="Arial" w:cs="Arial" w:eastAsia="Arial" w:hAnsi="Arial"/>
          <w:sz w:val="22"/>
          <w:szCs w:val="22"/>
        </w:rPr>
        <w:t>v3.6: nova regra de entrega: toda entrega com mais de um arquivo (o app e suas cópias, o manual em MD e PDF, a biblioteca) leva também um .zip com todos e um LEIAME.txt dizendo o que vai em cada pasta (Como entregar). Livro, core, templates e documentos legais sobem juntos para a 3.6 (regra 7), sem outra mudança. Afeta apps: SIM, só na entrega: a partir da próxima alteração, cada app sai também em .zip.</w:t>
      </w:r>
    </w:p>
    <w:p>
      <w:pPr>
        <w:pStyle w:val="ListParagraph"/>
        <w:numPr>
          <w:ilvl w:val="0"/>
          <w:numId w:val="3"/>
        </w:numPr>
        <w:spacing w:after="40"/>
      </w:pPr>
      <w:r>
        <w:rPr>
          <w:rFonts w:ascii="Arial" w:cs="Arial" w:eastAsia="Arial" w:hAnsi="Arial"/>
          <w:sz w:val="22"/>
          <w:szCs w:val="22"/>
        </w:rPr>
        <w:t>v3.5: a versão dos Termos e da Política acompanha a do livro, mas a data de atualização só muda quando o texto muda de fato (regra 27); a data dos dois volta a 03/10/2026, que é a do último texto aprovado. Novo FenixCore.localidades.buscarPorCEPSemBanco(cep), que consulta o ViaCEP sem gravar no Firestore, para apps com o banco ainda desligado (regra 33 e core v3.5). A entrega passa a terminar com o Painel da biblioteca (Como entregar). Livro, core, templates e documentos legais sobem juntos para a 3.5 (regra 7). Afeta apps: SIM, só quem consulta CEP com o banco desligado: troca para buscarPorCEPSemBanco na próxima alteração.</w:t>
      </w:r>
    </w:p>
    <w:p>
      <w:pPr>
        <w:pStyle w:val="ListParagraph"/>
        <w:numPr>
          <w:ilvl w:val="0"/>
          <w:numId w:val="3"/>
        </w:numPr>
        <w:spacing w:after="40"/>
      </w:pPr>
      <w:r>
        <w:rPr>
          <w:rFonts w:ascii="Arial" w:cs="Arial" w:eastAsia="Arial" w:hAnsi="Arial"/>
          <w:sz w:val="22"/>
          <w:szCs w:val="22"/>
        </w:rPr>
        <w:t>v3.4: o `index.html` passa a ser o Painel da biblioteca, uma página que testa cada endereço oficial (core, templates, ícones, logos, Termos, Política e livro) e confere se todos estão na mesma versão (regras 11 e 24 e seção Endereços oficiais). O template de login deixa de ter cópia no `index.html` e fica só em `fenix-template-login.html`. Livro, core, templates e documentos legais sobem juntos para a 3.4 (regra 7). Afeta apps: não (nenhum app aponta para o `index.html`).</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Painel da biblioteca (testa cada endereço desta lista): https://fenicris-dev.github.io/Fenix-Core/ (arquivo index.html)</w:t>
      </w:r>
    </w:p>
    <w:p>
      <w:pPr>
        <w:pStyle w:val="ListParagraph"/>
        <w:numPr>
          <w:ilvl w:val="0"/>
          <w:numId w:val="3"/>
        </w:numPr>
        <w:spacing w:after="40"/>
      </w:pPr>
      <w:r>
        <w:rPr>
          <w:rFonts w:ascii="Arial" w:cs="Arial" w:eastAsia="Arial" w:hAnsi="Arial"/>
          <w:sz w:val="22"/>
          <w:szCs w:val="22"/>
        </w:rPr>
        <w:t>Template de login: https://fenicris-dev.github.io/Fenix-Core/fenix-template-login.html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Fênix-Logo-Silver.png, Fênix-Logo-Gray.png (o ê faz parte do nome desses dois arquivos; em endereço escreve-se %C3%AA)</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Guia da biblioteca: https://fenicris-dev.github.io/Fenix-Core/MD/fenix-guia-da-biblioteca.md e https://fenicris-dev.github.io/Fenix-Core/DOC/fenix-guia-da-biblioteca.docx</w:t>
      </w:r>
    </w:p>
    <w:p>
      <w:pPr>
        <w:pStyle w:val="ListParagraph"/>
        <w:numPr>
          <w:ilvl w:val="0"/>
          <w:numId w:val="3"/>
        </w:numPr>
        <w:spacing w:after="40"/>
      </w:pPr>
      <w:r>
        <w:rPr>
          <w:rFonts w:ascii="Arial" w:cs="Arial" w:eastAsia="Arial" w:hAnsi="Arial"/>
          <w:sz w:val="22"/>
          <w:szCs w:val="22"/>
        </w:rPr>
        <w:t>Regras do Firestore (proposta, arquivo-base): https://fenicris-dev.github.io/Fenix-Core/firestore.rules (raiz do repositório)</w:t>
      </w:r>
    </w:p>
    <w:p>
      <w:pPr>
        <w:pStyle w:val="ListParagraph"/>
        <w:numPr>
          <w:ilvl w:val="0"/>
          <w:numId w:val="3"/>
        </w:numPr>
        <w:spacing w:after="40"/>
      </w:pPr>
      <w:r>
        <w:rPr>
          <w:rFonts w:ascii="Arial" w:cs="Arial" w:eastAsia="Arial" w:hAnsi="Arial"/>
          <w:sz w:val="22"/>
          <w:szCs w:val="22"/>
        </w:rPr>
        <w:t>As cópias com a versão no nome (ex.: fenix-core-v3.9.js)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Atualize o Guia da biblioteca (fenix-guia-da-biblioteca): funções novas do core, regras novas do livro e a entrada do Changelog desta versão.</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o Livro das Regras e o Guia da biblioteca.</w:t>
      </w:r>
    </w:p>
    <w:p>
      <w:pPr>
        <w:pStyle w:val="ListParagraph"/>
        <w:numPr>
          <w:ilvl w:val="0"/>
          <w:numId w:val="3"/>
        </w:numPr>
        <w:spacing w:after="40"/>
      </w:pPr>
      <w:r>
        <w:rPr>
          <w:rFonts w:ascii="Arial" w:cs="Arial" w:eastAsia="Arial" w:hAnsi="Arial"/>
          <w:sz w:val="22"/>
          <w:szCs w:val="22"/>
        </w:rPr>
        <w:t>Depois de publicar, abra o Painel da biblioteca (index.html) e toque em "Testar tudo": nenhum item pode ficar em amarelo.</w:t>
      </w:r>
    </w:p>
    <w:p>
      <w:pPr>
        <w:pStyle w:val="ListParagraph"/>
        <w:numPr>
          <w:ilvl w:val="0"/>
          <w:numId w:val="3"/>
        </w:numPr>
        <w:spacing w:after="40"/>
      </w:pPr>
      <w:r>
        <w:rPr>
          <w:rFonts w:ascii="Arial" w:cs="Arial" w:eastAsia="Arial" w:hAnsi="Arial"/>
          <w:sz w:val="22"/>
          <w:szCs w:val="22"/>
        </w:rPr>
        <w:t>Se a entrega tiver mais de um arquivo (o app e suas cópias, o manual em MD e PDF, a biblioteca), entregue também um .zip com todos, com um LEIAME.txt dizendo o que vai em cada pasta.</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