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(v3.3)</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e o próprio Livro das Regras) é entregue sempre em duas cópias idênticas. (1) Cópia com a versão no nome, só para controle interno (ex.: </w:t>
      </w:r>
      <w:r>
        <w:rPr>
          <w:rFonts w:ascii="Courier New" w:cs="Courier New" w:eastAsia="Courier New" w:hAnsi="Courier New"/>
          <w:sz w:val="22"/>
          <w:szCs w:val="22"/>
          <w:shd w:fill="EEF1FA" w:val="clear"/>
        </w:rPr>
        <w:t>fenix-core-v3.3.js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fenix-termos-de-uso-v3.3.html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fenix-livro-das-regras-v3.3.docx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a cópia neutra do template de login e acompanha 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Fênix-Logo-Silver.png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Fênix-Logo-Gray.png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Endereços oficiais do template de login: https://fenicris-dev.github.io/Fenix-Core/fenix-template-login.html e uma cópia idêntica em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(https://fenicris-dev.github.io/Fenix-Core/). Quando o template mudar, suba a nova versão com nome versionado (ex.: </w:t>
      </w:r>
      <w:r>
        <w:rPr>
          <w:rFonts w:ascii="Courier New" w:cs="Courier New" w:eastAsia="Courier New" w:hAnsi="Courier New"/>
          <w:sz w:val="22"/>
          <w:szCs w:val="22"/>
          <w:shd w:fill="EEF1FA" w:val="clear"/>
        </w:rPr>
        <w:t>fenix-template-login-v3.4.html</w:t>
      </w:r>
      <w:r>
        <w:rPr>
          <w:rFonts w:ascii="Arial" w:cs="Arial" w:eastAsia="Arial" w:hAnsi="Arial"/>
          <w:sz w:val="22"/>
          <w:szCs w:val="22"/>
        </w:rPr>
        <w:t xml:space="preserve">, só para histórico) e atualize juntos 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 e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para as cópias não divergirem.</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e a data de atualização, e tem também a cópia com a versão no nome (ex.: </w:t>
      </w:r>
      <w:r>
        <w:rPr>
          <w:rFonts w:ascii="Courier New" w:cs="Courier New" w:eastAsia="Courier New" w:hAnsi="Courier New"/>
          <w:sz w:val="22"/>
          <w:szCs w:val="22"/>
          <w:shd w:fill="EEF1FA" w:val="clear"/>
        </w:rPr>
        <w:t xml:space="preserve">fenix-termos-de-uso-v3.3.html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fenix-template-onboarding-v3.3.html,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(TODOS os apps, novos, em atualização e antigos): tela azul Fênix cheia, com o ícone do app (a águia dos Fenix_Icone_*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FenixCore.localidades.buscarPorCEP(cep)</w:t>
      </w:r>
      <w:r>
        <w:rPr>
          <w:rFonts w:ascii="Arial" w:cs="Arial" w:eastAsia="Arial" w:hAnsi="Arial"/>
          <w:sz w:val="22"/>
          <w:szCs w:val="22"/>
        </w:rPr>
        <w:t xml:space="preserve"> (ViaCEP), e os campos continuam editáveis.</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R$ 0.000,00</w:t>
      </w:r>
      <w:r>
        <w:rPr>
          <w:rFonts w:ascii="Arial" w:cs="Arial" w:eastAsia="Arial" w:hAnsi="Arial"/>
          <w:sz w:val="22"/>
          <w:szCs w:val="22"/>
        </w:rPr>
        <w:t xml:space="preserve"> (ponto nos milhares, vírgula nos decimais), tanto na exibição quanto nos campos de digitação, enquanto o usuário digita.</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HH:mm</w:t>
      </w:r>
      <w:r>
        <w:rPr>
          <w:rFonts w:ascii="Arial" w:cs="Arial" w:eastAsia="Arial" w:hAnsi="Arial"/>
          <w:sz w:val="22"/>
          <w:szCs w:val="22"/>
        </w:rPr>
        <w:t>), na exibição e nos campos de digitação. Internamente, guarde as datas em formato ISO (</w:t>
      </w:r>
      <w:r>
        <w:rPr>
          <w:rFonts w:ascii="Courier New" w:cs="Courier New" w:eastAsia="Courier New" w:hAnsi="Courier New"/>
          <w:sz w:val="22"/>
          <w:szCs w:val="22"/>
          <w:shd w:fill="EEF1FA" w:val="clear"/>
        </w:rPr>
        <w:t>aaaa-mm-dd</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e 47 a 53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Template de login: https://fenicris-dev.github.io/Fenix-Core/fenix-template-login.html (cópia idêntica em https://fenicris-dev.github.io/Fenix-Core/index.html)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Fênix-Logo-Silver.png, Fênix-Logo-Gray.png (o ê faz parte do nome desses dois arquivos; em endereço escreve-se %C3%AA)</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As cópias com a versão no nome (ex.: fenix-core-v3.3.js)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e o Livro das Regras.</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