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F172A"/>
          <w:sz w:val="30"/>
        </w:rPr>
        <w:t>NETVISTA 3D | STUDENT SUBMISSION PROFORMA</w:t>
      </w:r>
    </w:p>
    <w:p>
      <w:pPr>
        <w:spacing w:before="0" w:after="120"/>
      </w:pPr>
      <w:r>
        <w:rPr>
          <w:rFonts w:ascii="Arial" w:hAnsi="Arial"/>
          <w:b/>
          <w:color w:val="2563EB"/>
          <w:sz w:val="22"/>
        </w:rPr>
        <w:t>ITUC201: Fundamentals of Computer Networks  |  Individual Assessment (20 marks)</w:t>
      </w:r>
    </w:p>
    <w:p>
      <w:pPr>
        <w:spacing w:before="0" w:after="280"/>
      </w:pPr>
      <w:r>
        <w:rPr>
          <w:rFonts w:ascii="Calibri" w:hAnsi="Calibri"/>
          <w:i/>
          <w:color w:val="64748B"/>
          <w:sz w:val="20"/>
        </w:rPr>
        <w:t>Complete this form and submit it with your supporting files through Microsoft Teams. Do not include learner-category labels.</w:t>
      </w:r>
    </w:p>
    <w:p>
      <w:pPr>
        <w:spacing w:before="160" w:after="80"/>
      </w:pPr>
      <w:r>
        <w:rPr>
          <w:rFonts w:ascii="Arial" w:hAnsi="Arial"/>
          <w:b/>
          <w:color w:val="0F172A"/>
          <w:sz w:val="24"/>
        </w:rPr>
        <w:t>A. Student and assignment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4968"/>
        <w:gridCol w:w="4968"/>
      </w:tblGrid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293B"/>
                <w:sz w:val="20"/>
              </w:rPr>
              <w:t>Field</w:t>
            </w:r>
          </w:p>
        </w:tc>
        <w:tc>
          <w:tcPr>
            <w:tcW w:type="dxa" w:w="6624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20"/>
              </w:rPr>
              <w:t>Student entry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34155"/>
                <w:sz w:val="19"/>
              </w:rPr>
              <w:t>Student name</w:t>
            </w:r>
          </w:p>
        </w:tc>
        <w:tc>
          <w:tcPr>
            <w:tcW w:type="dxa" w:w="66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20"/>
              </w:rPr>
              <w:t>Fenil Finava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34155"/>
                <w:sz w:val="19"/>
              </w:rPr>
              <w:t>Student ID / Enrollment no.</w:t>
            </w:r>
          </w:p>
        </w:tc>
        <w:tc>
          <w:tcPr>
            <w:tcW w:type="dxa" w:w="66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20"/>
              </w:rPr>
              <w:t>25CS011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34155"/>
                <w:sz w:val="19"/>
              </w:rPr>
              <w:t>Class / section</w:t>
            </w:r>
          </w:p>
        </w:tc>
        <w:tc>
          <w:tcPr>
            <w:tcW w:type="dxa" w:w="66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20"/>
              </w:rPr>
              <w:t>B.Tech Computer Science and Engineering (CSE)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34155"/>
                <w:sz w:val="19"/>
              </w:rPr>
              <w:t>Exact assigned topic</w:t>
            </w:r>
          </w:p>
        </w:tc>
        <w:tc>
          <w:tcPr>
            <w:tcW w:type="dxa" w:w="66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20"/>
              </w:rPr>
              <w:t>Single-Error Correction vs. Double-Error Catastrophic Failure in Hamming(7,4) Code: Mathematical Proof, Live Simulation, and Extended SECDED(8,4) Resolution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34155"/>
                <w:sz w:val="19"/>
              </w:rPr>
              <w:t>Tools / software used</w:t>
            </w:r>
          </w:p>
        </w:tc>
        <w:tc>
          <w:tcPr>
            <w:tcW w:type="dxa" w:w="66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20"/>
              </w:rPr>
              <w:t>Next.js 14, React, TypeScript, Tailwind CSS, Python 3.12, FastAPI, Uvicorn, Docker, Vercel</w:t>
            </w:r>
          </w:p>
        </w:tc>
      </w:tr>
    </w:tbl>
    <w:p>
      <w:pPr>
        <w:spacing w:after="80"/>
      </w:pPr>
    </w:p>
    <w:p>
      <w:pPr>
        <w:spacing w:before="120" w:after="80"/>
      </w:pPr>
      <w:r>
        <w:rPr>
          <w:rFonts w:ascii="Arial" w:hAnsi="Arial"/>
          <w:b/>
          <w:color w:val="0F172A"/>
          <w:sz w:val="24"/>
        </w:rPr>
        <w:t>B. Submission links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4968"/>
        <w:gridCol w:w="4968"/>
      </w:tblGrid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293B"/>
                <w:sz w:val="20"/>
              </w:rPr>
              <w:t>Submission item</w:t>
            </w:r>
          </w:p>
        </w:tc>
        <w:tc>
          <w:tcPr>
            <w:tcW w:type="dxa" w:w="6624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20"/>
              </w:rPr>
              <w:t>URL / location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34155"/>
                <w:sz w:val="19"/>
              </w:rPr>
              <w:t>YouTube video link (Unlisted/Public)</w:t>
            </w:r>
          </w:p>
        </w:tc>
        <w:tc>
          <w:tcPr>
            <w:tcW w:type="dxa" w:w="66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563EB"/>
                <w:sz w:val="19"/>
              </w:rPr>
              <w:t>https://youtu.be/0uLPAOMs5P8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34155"/>
                <w:sz w:val="19"/>
              </w:rPr>
              <w:t>Supporting file(s) attached in Teams</w:t>
            </w:r>
          </w:p>
        </w:tc>
        <w:tc>
          <w:tcPr>
            <w:tcW w:type="dxa" w:w="66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TECHNICAL_REPORT.docx (Comprehensive 11-Section Academic Technical Report)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34155"/>
                <w:sz w:val="19"/>
              </w:rPr>
              <w:t>OneDrive project folder / Online Links (if needed)</w:t>
            </w:r>
          </w:p>
        </w:tc>
        <w:tc>
          <w:tcPr>
            <w:tcW w:type="dxa" w:w="66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563EB"/>
                <w:sz w:val="19"/>
              </w:rPr>
              <w:t>• Live Web App: https://hammingerror.vercel.app/</w:t>
              <w:br/>
              <w:t>• GitHub Repo: https://github.com/fenilfinava/HammingCheck.git</w:t>
              <w:br/>
              <w:t>• Technical Report (Google Docs / Drive): https://docs.google.com/document/d/1yqhKHzvxN79DL_mxi11GJahKbGbqkS0k/edit?usp=drive_link&amp;ouid=102016978185087761272&amp;rtpof=true&amp;sd=true</w:t>
            </w:r>
          </w:p>
        </w:tc>
      </w:tr>
    </w:tbl>
    <w:p>
      <w:pPr>
        <w:spacing w:after="80"/>
      </w:pPr>
    </w:p>
    <w:p>
      <w:pPr>
        <w:spacing w:before="120" w:after="80"/>
      </w:pPr>
      <w:r>
        <w:rPr>
          <w:rFonts w:ascii="Arial" w:hAnsi="Arial"/>
          <w:b/>
          <w:color w:val="0F172A"/>
          <w:sz w:val="24"/>
        </w:rPr>
        <w:t>C. Required technical summary</w:t>
      </w:r>
    </w:p>
    <w:p>
      <w:pPr>
        <w:spacing w:before="80" w:after="40"/>
      </w:pPr>
      <w:r>
        <w:rPr>
          <w:rFonts w:ascii="Arial" w:hAnsi="Arial"/>
          <w:b/>
          <w:color w:val="334155"/>
          <w:sz w:val="20"/>
        </w:rPr>
        <w:t>Objective / problem addressed (1–2 sentences):</w:t>
      </w:r>
    </w:p>
    <w:p>
      <w:pPr>
        <w:spacing w:before="0" w:after="120"/>
        <w:ind w:left="216"/>
      </w:pPr>
      <w:r>
        <w:rPr>
          <w:rFonts w:ascii="Calibri" w:hAnsi="Calibri"/>
          <w:color w:val="0F172A"/>
          <w:sz w:val="20"/>
        </w:rPr>
        <w:t>To mathematically prove and interactively demonstrate the error-control dynamics of Hamming(7,4) code—establishing why single-bit errors are 100% corrected via unique non-zero syndromes, whereas double-bit errors cause catastrophic decoder aliasing (col_i(H) ⊕ col_j(H) = col_k(H)) leading to Silent Data Corruption (SDC).</w:t>
      </w:r>
    </w:p>
    <w:p>
      <w:pPr>
        <w:spacing w:before="80" w:after="40"/>
      </w:pPr>
      <w:r>
        <w:rPr>
          <w:rFonts w:ascii="Arial" w:hAnsi="Arial"/>
          <w:b/>
          <w:color w:val="334155"/>
          <w:sz w:val="20"/>
        </w:rPr>
        <w:t>Key result / demonstration / observation (1–2 sentences):</w:t>
      </w:r>
    </w:p>
    <w:p>
      <w:pPr>
        <w:spacing w:before="0" w:after="120"/>
        <w:ind w:left="216"/>
      </w:pPr>
      <w:r>
        <w:rPr>
          <w:rFonts w:ascii="Calibri" w:hAnsi="Calibri"/>
          <w:color w:val="0F172A"/>
          <w:sz w:val="20"/>
        </w:rPr>
        <w:t>Developed a full-stack interactive web simulator proving 100% single-error correction across all test vectors, while showing that double-bit errors mislead the decoder into miscorrecting an innocent third bit (increasing errors from 2 to 3); validated that Extended Hamming(8,4) SECDED expands d_min from 3 to 4, successfully detecting 100% of double errors without false inversion.</w:t>
      </w:r>
    </w:p>
    <w:p>
      <w:pPr>
        <w:spacing w:before="80" w:after="40"/>
      </w:pPr>
      <w:r>
        <w:rPr>
          <w:rFonts w:ascii="Arial" w:hAnsi="Arial"/>
          <w:b/>
          <w:color w:val="334155"/>
          <w:sz w:val="20"/>
        </w:rPr>
        <w:t>Connection to an ITUC201 theory or university-style examination question:</w:t>
      </w:r>
    </w:p>
    <w:p>
      <w:pPr>
        <w:spacing w:before="0" w:after="160"/>
        <w:ind w:left="216"/>
      </w:pPr>
      <w:r>
        <w:rPr>
          <w:rFonts w:ascii="Calibri" w:hAnsi="Calibri"/>
          <w:color w:val="0F172A"/>
          <w:sz w:val="20"/>
        </w:rPr>
        <w:t>Directly connects to Data Link Layer Error Detection &amp; Correction (Linear Block Codes) in ITUC201, addressing the standard university exam problem: "For message payload d = [1, 0, 1, 1], compute the 7-bit Hamming codeword, calculate syndrome vectors for (a) single flip at bit 3 and (b) double flip at bits 3 &amp; 5, explain why double error causes false correction, and show how SECDED resolves the issue."</w:t>
      </w:r>
    </w:p>
    <w:p>
      <w:pPr>
        <w:spacing w:before="120" w:after="80"/>
      </w:pPr>
      <w:r>
        <w:rPr>
          <w:rFonts w:ascii="Arial" w:hAnsi="Arial"/>
          <w:b/>
          <w:color w:val="0F172A"/>
          <w:sz w:val="24"/>
        </w:rPr>
        <w:t>D. Student checklist</w:t>
      </w:r>
    </w:p>
    <w:p>
      <w:pPr>
        <w:spacing w:before="20" w:after="40"/>
        <w:ind w:left="216"/>
      </w:pPr>
      <w:r>
        <w:rPr>
          <w:rFonts w:ascii="Segoe UI Symbol" w:hAnsi="Segoe UI Symbol"/>
          <w:b/>
          <w:color w:val="10B981"/>
          <w:sz w:val="22"/>
        </w:rPr>
        <w:t xml:space="preserve">☑  </w:t>
      </w:r>
      <w:r>
        <w:rPr>
          <w:rFonts w:ascii="Calibri" w:hAnsi="Calibri"/>
          <w:color w:val="0F172A"/>
          <w:sz w:val="20"/>
        </w:rPr>
        <w:t>My video explains my own work and contains an actual demonstration.</w:t>
      </w:r>
    </w:p>
    <w:p>
      <w:pPr>
        <w:spacing w:before="20" w:after="40"/>
        <w:ind w:left="216"/>
      </w:pPr>
      <w:r>
        <w:rPr>
          <w:rFonts w:ascii="Segoe UI Symbol" w:hAnsi="Segoe UI Symbol"/>
          <w:b/>
          <w:color w:val="10B981"/>
          <w:sz w:val="22"/>
        </w:rPr>
        <w:t xml:space="preserve">☑  </w:t>
      </w:r>
      <w:r>
        <w:rPr>
          <w:rFonts w:ascii="Calibri" w:hAnsi="Calibri"/>
          <w:color w:val="0F172A"/>
          <w:sz w:val="20"/>
        </w:rPr>
        <w:t>The YouTube URL opens successfully for a viewer who has the link.</w:t>
      </w:r>
    </w:p>
    <w:p>
      <w:pPr>
        <w:spacing w:before="20" w:after="40"/>
        <w:ind w:left="216"/>
      </w:pPr>
      <w:r>
        <w:rPr>
          <w:rFonts w:ascii="Segoe UI Symbol" w:hAnsi="Segoe UI Symbol"/>
          <w:b/>
          <w:color w:val="10B981"/>
          <w:sz w:val="22"/>
        </w:rPr>
        <w:t xml:space="preserve">☑  </w:t>
      </w:r>
      <w:r>
        <w:rPr>
          <w:rFonts w:ascii="Calibri" w:hAnsi="Calibri"/>
          <w:color w:val="0F172A"/>
          <w:sz w:val="20"/>
        </w:rPr>
        <w:t>All required original/editable files and the short report are attached or accessible.</w:t>
      </w:r>
    </w:p>
    <w:p>
      <w:pPr>
        <w:spacing w:before="20" w:after="40"/>
        <w:ind w:left="216"/>
      </w:pPr>
      <w:r>
        <w:rPr>
          <w:rFonts w:ascii="Segoe UI Symbol" w:hAnsi="Segoe UI Symbol"/>
          <w:b/>
          <w:color w:val="10B981"/>
          <w:sz w:val="22"/>
        </w:rPr>
        <w:t xml:space="preserve">☑  </w:t>
      </w:r>
      <w:r>
        <w:rPr>
          <w:rFonts w:ascii="Calibri" w:hAnsi="Calibri"/>
          <w:color w:val="0F172A"/>
          <w:sz w:val="20"/>
        </w:rPr>
        <w:t>Calculations/measurements and sources are correctly reported and referenced.</w:t>
      </w:r>
    </w:p>
    <w:p>
      <w:pPr>
        <w:spacing w:before="20" w:after="40"/>
        <w:ind w:left="216"/>
      </w:pPr>
      <w:r>
        <w:rPr>
          <w:rFonts w:ascii="Segoe UI Symbol" w:hAnsi="Segoe UI Symbol"/>
          <w:b/>
          <w:color w:val="10B981"/>
          <w:sz w:val="22"/>
        </w:rPr>
        <w:t xml:space="preserve">☑  </w:t>
      </w:r>
      <w:r>
        <w:rPr>
          <w:rFonts w:ascii="Calibri" w:hAnsi="Calibri"/>
          <w:color w:val="0F172A"/>
          <w:sz w:val="20"/>
        </w:rPr>
        <w:t>No passwords, personal records or confidential network information are exposed.</w:t>
      </w:r>
    </w:p>
    <w:p>
      <w:pPr>
        <w:spacing w:before="160" w:after="80"/>
      </w:pPr>
      <w:r>
        <w:rPr>
          <w:rFonts w:ascii="Arial" w:hAnsi="Arial"/>
          <w:b/>
          <w:color w:val="0F172A"/>
          <w:sz w:val="24"/>
        </w:rPr>
        <w:t>E. Declaration</w:t>
      </w:r>
    </w:p>
    <w:p>
      <w:pPr>
        <w:spacing w:before="0" w:after="200"/>
      </w:pPr>
      <w:r>
        <w:rPr>
          <w:rFonts w:ascii="Calibri" w:hAnsi="Calibri"/>
          <w:color w:val="334155"/>
          <w:sz w:val="20"/>
        </w:rPr>
        <w:t>I confirm that this is my individual work; any external resources and AI assistance have been appropriately acknowledged; the results are authentic; and the links/files will remain accessible for faculty evaluation.</w:t>
      </w:r>
    </w:p>
    <w:p>
      <w:pPr>
        <w:spacing w:before="120" w:after="0"/>
      </w:pPr>
      <w:r>
        <w:rPr>
          <w:rFonts w:ascii="Arial" w:hAnsi="Arial"/>
          <w:b/>
          <w:color w:val="0F172A"/>
          <w:sz w:val="20"/>
        </w:rPr>
        <w:t xml:space="preserve">Student signature / typed name: </w:t>
      </w:r>
      <w:r>
        <w:rPr>
          <w:rFonts w:ascii="Calibri" w:hAnsi="Calibri"/>
          <w:b/>
          <w:color w:val="1E3A8A"/>
          <w:sz w:val="21"/>
          <w:u w:val="single"/>
        </w:rPr>
        <w:t xml:space="preserve">Fenil Finava                                 </w:t>
      </w:r>
      <w:r>
        <w:rPr>
          <w:rFonts w:ascii="Arial" w:hAnsi="Arial"/>
          <w:b/>
          <w:color w:val="0F172A"/>
          <w:sz w:val="20"/>
        </w:rPr>
        <w:t xml:space="preserve">Date: </w:t>
      </w:r>
      <w:r>
        <w:rPr>
          <w:rFonts w:ascii="Calibri" w:hAnsi="Calibri"/>
          <w:b/>
          <w:color w:val="1E3A8A"/>
          <w:sz w:val="21"/>
          <w:u w:val="single"/>
        </w:rPr>
        <w:t>23 / 10 / 2026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