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</w:pPr>
    </w:p>
    <w:p>
      <w:pPr>
        <w:spacing w:after="200"/>
      </w:pPr>
    </w:p>
    <w:p>
      <w:pPr>
        <w:spacing w:after="200"/>
      </w:pPr>
    </w:p>
    <w:p>
      <w:pPr>
        <w:spacing w:after="200"/>
      </w:pPr>
    </w:p>
    <w:p>
      <w:pPr>
        <w:spacing w:after="200"/>
      </w:pPr>
    </w:p>
    <w:p>
      <w:pPr>
        <w:spacing w:after="200"/>
      </w:pPr>
    </w:p>
    <w:p>
      <w:pPr>
        <w:spacing w:after="200"/>
      </w:pPr>
    </w:p>
    <w:p>
      <w:pPr>
        <w:spacing w:after="200"/>
        <w:jc w:val="center"/>
      </w:pPr>
      <w:r>
        <w:rPr>
          <w:rFonts w:ascii="Microsoft YaHei" w:cs="Microsoft YaHei" w:eastAsia="Microsoft YaHei" w:hAnsi="Microsoft YaHei"/>
          <w:b/>
          <w:bCs/>
          <w:color w:val="1F4E79"/>
          <w:sz w:val="52"/>
          <w:szCs w:val="52"/>
        </w:rPr>
        <w:t xml:space="preserve">Serenity 信号权重评估报告</w:t>
      </w:r>
    </w:p>
    <w:p>
      <w:pPr>
        <w:spacing w:after="600"/>
        <w:jc w:val="center"/>
      </w:pPr>
      <w:r>
        <w:rPr>
          <w:rFonts w:ascii="Microsoft YaHei" w:cs="Microsoft YaHei" w:eastAsia="Microsoft YaHei" w:hAnsi="Microsoft YaHei"/>
          <w:color w:val="666666"/>
          <w:sz w:val="28"/>
          <w:szCs w:val="28"/>
        </w:rPr>
        <w:t xml:space="preserve">A股智能分析选股系统 v2.0</w:t>
      </w:r>
    </w:p>
    <w:p>
      <w:pPr>
        <w:spacing w:after="200"/>
      </w:pPr>
    </w:p>
    <w:p>
      <w:pPr>
        <w:spacing w:after="200"/>
      </w:pPr>
    </w:p>
    <w:p>
      <w:pPr>
        <w:spacing w:after="200"/>
      </w:pPr>
    </w:p>
    <w:p>
      <w:pPr>
        <w:spacing w:after="200"/>
      </w:pPr>
    </w:p>
    <w:p>
      <w:pPr>
        <w:spacing w:after="200"/>
        <w:jc w:val="center"/>
      </w:pPr>
      <w:r>
        <w:rPr>
          <w:rFonts w:ascii="Microsoft YaHei" w:cs="Microsoft YaHei" w:eastAsia="Microsoft YaHei" w:hAnsi="Microsoft YaHei"/>
          <w:color w:val="888888"/>
          <w:sz w:val="24"/>
          <w:szCs w:val="24"/>
        </w:rPr>
        <w:t xml:space="preserve">2026年6月8日</w:t>
      </w:r>
    </w:p>
    <w:p>
      <w:r>
        <w:br w:type="page"/>
      </w:r>
    </w:p>
    <w:p>
      <w:pPr>
        <w:spacing w:after="600" w:before="400"/>
        <w:jc w:val="center"/>
      </w:pPr>
      <w:r>
        <w:rPr>
          <w:rFonts w:ascii="Microsoft YaHei" w:cs="Microsoft YaHei" w:eastAsia="Microsoft YaHei" w:hAnsi="Microsoft YaHei"/>
          <w:b/>
          <w:bCs/>
          <w:color w:val="1F4E79"/>
          <w:sz w:val="36"/>
          <w:szCs w:val="36"/>
        </w:rPr>
        <w:t xml:space="preserve">目    录</w:t>
      </w:r>
    </w:p>
    <w:p>
      <w:pPr>
        <w:spacing w:after="200"/>
      </w:pPr>
    </w:p>
    <w:p>
      <w:pPr>
        <w:spacing w:after="200"/>
      </w:pPr>
    </w:p>
    <w:p>
      <w:pPr>
        <w:spacing w:after="120" w:line="360"/>
        <w:ind w:firstLine="48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33333"/>
          <w:sz w:val="22"/>
          <w:szCs w:val="22"/>
        </w:rPr>
        <w:t xml:space="preserve">第一章  评估背景与哲学</w:t>
      </w:r>
    </w:p>
    <w:p>
      <w:pPr>
        <w:spacing w:after="200"/>
      </w:pPr>
    </w:p>
    <w:p>
      <w:pPr>
        <w:spacing w:after="120" w:line="360"/>
        <w:ind w:firstLine="48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33333"/>
          <w:sz w:val="22"/>
          <w:szCs w:val="22"/>
        </w:rPr>
        <w:t xml:space="preserve">第二章  五维评估结果</w:t>
      </w:r>
    </w:p>
    <w:p>
      <w:pPr>
        <w:spacing w:after="200"/>
      </w:pPr>
    </w:p>
    <w:p>
      <w:pPr>
        <w:spacing w:after="120" w:line="360"/>
        <w:ind w:firstLine="48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33333"/>
          <w:sz w:val="22"/>
          <w:szCs w:val="22"/>
        </w:rPr>
        <w:t xml:space="preserve">第三章  三方案回测对比</w:t>
      </w:r>
    </w:p>
    <w:p>
      <w:pPr>
        <w:spacing w:after="200"/>
      </w:pPr>
    </w:p>
    <w:p>
      <w:pPr>
        <w:spacing w:after="120" w:line="360"/>
        <w:ind w:firstLine="48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33333"/>
          <w:sz w:val="22"/>
          <w:szCs w:val="22"/>
        </w:rPr>
        <w:t xml:space="preserve">第四章  Serenity推荐</w:t>
      </w:r>
    </w:p>
    <w:p>
      <w:pPr>
        <w:spacing w:after="200"/>
      </w:pPr>
    </w:p>
    <w:p>
      <w:pPr>
        <w:spacing w:after="120" w:line="360"/>
        <w:ind w:firstLine="48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33333"/>
          <w:sz w:val="22"/>
          <w:szCs w:val="22"/>
        </w:rPr>
        <w:t xml:space="preserve">第五章  总结</w:t>
      </w:r>
    </w:p>
    <w:p>
      <w:pPr>
        <w:spacing w:after="200"/>
      </w:pPr>
    </w:p>
    <w:p>
      <w:pPr>
        <w:spacing w:after="200"/>
      </w:pPr>
    </w:p>
    <w:p>
      <w:pPr>
        <w:spacing w:after="120" w:line="360"/>
        <w:jc w:val="center"/>
      </w:pPr>
      <w:r>
        <w:rPr>
          <w:rFonts w:ascii="Microsoft YaHei" w:cs="Microsoft YaHei" w:eastAsia="Microsoft YaHei" w:hAnsi="Microsoft YaHei"/>
          <w:b w:val="false"/>
          <w:bCs w:val="false"/>
          <w:color w:val="999999"/>
          <w:sz w:val="22"/>
          <w:szCs w:val="22"/>
        </w:rPr>
        <w:t xml:space="preserve">（此目录页为预留，请在Word中手动更新目录）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Microsoft YaHei" w:cs="Microsoft YaHei" w:eastAsia="Microsoft YaHei" w:hAnsi="Microsoft YaHei"/>
          <w:b/>
          <w:bCs/>
          <w:color w:val="1F4E79"/>
          <w:sz w:val="36"/>
          <w:szCs w:val="36"/>
        </w:rPr>
        <w:t xml:space="preserve">第一章  评估背景与哲学</w:t>
      </w:r>
    </w:p>
    <w:p>
      <w:pPr>
        <w:pStyle w:val="Heading2"/>
        <w:spacing w:after="150" w:before="300"/>
      </w:pPr>
      <w:r>
        <w:rPr>
          <w:rFonts w:ascii="Microsoft YaHei" w:cs="Microsoft YaHei" w:eastAsia="Microsoft YaHei" w:hAnsi="Microsoft YaHei"/>
          <w:b/>
          <w:bCs/>
          <w:color w:val="2E75B6"/>
          <w:sz w:val="28"/>
          <w:szCs w:val="28"/>
        </w:rPr>
        <w:t xml:space="preserve">1.1 Serenity交易哲学概述</w:t>
      </w:r>
    </w:p>
    <w:p>
      <w:pPr>
        <w:spacing w:after="120" w:line="360"/>
        <w:ind w:firstLine="48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33333"/>
          <w:sz w:val="22"/>
          <w:szCs w:val="22"/>
        </w:rPr>
        <w:t xml:space="preserve">Serenity交易哲学是本系统的核心理念，强调在波动市场中保持平静、理性和纪律性。它不是一套具体的技术指标，而是一种交易心态和决策框架。以下是其五大核心原则：</w:t>
      </w:r>
    </w:p>
    <w:p>
      <w:pPr>
        <w:spacing w:after="200"/>
      </w:pPr>
    </w:p>
    <w:p>
      <w:pPr>
        <w:spacing w:after="80" w:line="340"/>
        <w:ind w:left="480" w:hanging="360"/>
      </w:pPr>
      <w:r>
        <w:rPr>
          <w:rFonts w:ascii="Microsoft YaHei" w:cs="Microsoft YaHei" w:eastAsia="Microsoft YaHei" w:hAnsi="Microsoft YaHei"/>
          <w:b/>
          <w:bCs/>
          <w:color w:val="333333"/>
          <w:sz w:val="22"/>
          <w:szCs w:val="22"/>
        </w:rPr>
        <w:t xml:space="preserve">1. </w:t>
      </w: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不追涨杀跌：不因价格的短期波动而冲动交易，避免在市场情绪高涨时跟风买入，在恐慌性招伸时崩溃卖出。系统通过HMM趋势分析确保只在确定性较高的趋势中进行交易。</w:t>
      </w:r>
    </w:p>
    <w:p>
      <w:pPr>
        <w:spacing w:after="80" w:line="340"/>
        <w:ind w:left="480" w:hanging="360"/>
      </w:pPr>
      <w:r>
        <w:rPr>
          <w:rFonts w:ascii="Microsoft YaHei" w:cs="Microsoft YaHei" w:eastAsia="Microsoft YaHei" w:hAnsi="Microsoft YaHei"/>
          <w:b/>
          <w:bCs/>
          <w:color w:val="333333"/>
          <w:sz w:val="22"/>
          <w:szCs w:val="22"/>
        </w:rPr>
        <w:t xml:space="preserve">2. </w:t>
      </w: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耐心等待：优质交易机会是等出来的，不是创造出来的。当多层信号一致时，交易胜率显著提升，这验证了“耐心等待完美机会”的哲学。</w:t>
      </w:r>
    </w:p>
    <w:p>
      <w:pPr>
        <w:spacing w:after="80" w:line="340"/>
        <w:ind w:left="480" w:hanging="360"/>
      </w:pPr>
      <w:r>
        <w:rPr>
          <w:rFonts w:ascii="Microsoft YaHei" w:cs="Microsoft YaHei" w:eastAsia="Microsoft YaHei" w:hAnsi="Microsoft YaHei"/>
          <w:b/>
          <w:bCs/>
          <w:color w:val="333333"/>
          <w:sz w:val="22"/>
          <w:szCs w:val="22"/>
        </w:rPr>
        <w:t xml:space="preserve">3. </w:t>
      </w: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严格风控：每笔交易均设置10%止损，确保单笔损失可控。回测显示止损后77.3%的股票继续下跌，证明止损纪律的合理性。</w:t>
      </w:r>
    </w:p>
    <w:p>
      <w:pPr>
        <w:spacing w:after="80" w:line="340"/>
        <w:ind w:left="480" w:hanging="360"/>
      </w:pPr>
      <w:r>
        <w:rPr>
          <w:rFonts w:ascii="Microsoft YaHei" w:cs="Microsoft YaHei" w:eastAsia="Microsoft YaHei" w:hAnsi="Microsoft YaHei"/>
          <w:b/>
          <w:bCs/>
          <w:color w:val="333333"/>
          <w:sz w:val="22"/>
          <w:szCs w:val="22"/>
        </w:rPr>
        <w:t xml:space="preserve">4. </w:t>
      </w: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质量优于数量：不追求交易次数，而是关注每笔交易的质量。月均仅7.9笔交易的低频率策略，确保每笔交易都经过充分筛选。</w:t>
      </w:r>
    </w:p>
    <w:p>
      <w:pPr>
        <w:spacing w:after="80" w:line="340"/>
        <w:ind w:left="480" w:hanging="360"/>
      </w:pPr>
      <w:r>
        <w:rPr>
          <w:rFonts w:ascii="Microsoft YaHei" w:cs="Microsoft YaHei" w:eastAsia="Microsoft YaHei" w:hAnsi="Microsoft YaHei"/>
          <w:b/>
          <w:bCs/>
          <w:color w:val="333333"/>
          <w:sz w:val="22"/>
          <w:szCs w:val="22"/>
        </w:rPr>
        <w:t xml:space="preserve">5. </w:t>
      </w: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情绪中立（Emotion Neutrality）：交易决策不受连续亏损或连续盈利的影响。回测显示连亏3次后胜率55.6%与连盈3次后胜率58.6%差异不大，证明系统情绪化风险较低。</w:t>
      </w:r>
    </w:p>
    <w:p>
      <w:pPr>
        <w:spacing w:after="200"/>
      </w:pPr>
    </w:p>
    <w:p>
      <w:pPr>
        <w:pStyle w:val="Heading2"/>
        <w:spacing w:after="150" w:before="300"/>
      </w:pPr>
      <w:r>
        <w:rPr>
          <w:rFonts w:ascii="Microsoft YaHei" w:cs="Microsoft YaHei" w:eastAsia="Microsoft YaHei" w:hAnsi="Microsoft YaHei"/>
          <w:b/>
          <w:bCs/>
          <w:color w:val="2E75B6"/>
          <w:sz w:val="28"/>
          <w:szCs w:val="28"/>
        </w:rPr>
        <w:t xml:space="preserve">1.2 评估范围</w:t>
      </w:r>
    </w:p>
    <w:p>
      <w:pPr>
        <w:spacing w:after="120" w:line="360"/>
        <w:ind w:firstLine="48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33333"/>
          <w:sz w:val="22"/>
          <w:szCs w:val="22"/>
        </w:rPr>
        <w:t xml:space="preserve">本次评估覆盖当前系统的完整信号权重体系，包括以下核心组件：</w:t>
      </w:r>
    </w:p>
    <w:p>
      <w:pPr>
        <w:spacing w:after="200"/>
      </w:pPr>
    </w:p>
    <w:p>
      <w:pPr>
        <w:spacing w:after="120" w:line="360"/>
        <w:jc w:val="left"/>
      </w:pPr>
      <w:r>
        <w:rPr>
          <w:rFonts w:ascii="Microsoft YaHei" w:cs="Microsoft YaHei" w:eastAsia="Microsoft YaHei" w:hAnsi="Microsoft YaHei"/>
          <w:b/>
          <w:bCs/>
          <w:color w:val="333333"/>
          <w:sz w:val="22"/>
          <w:szCs w:val="22"/>
        </w:rPr>
        <w:t xml:space="preserve">Layer 1 HMM趋势分析：</w:t>
      </w:r>
    </w:p>
    <w:p>
      <w:pPr>
        <w:spacing w:after="80" w:line="340"/>
        <w:ind w:left="480" w:hanging="240"/>
      </w:pP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• </w:t>
      </w: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买入阈值：up_probability ≥ 0.60（严格）/ 0.50（宽松）</w:t>
      </w:r>
    </w:p>
    <w:p>
      <w:pPr>
        <w:spacing w:after="80" w:line="340"/>
        <w:ind w:left="480" w:hanging="240"/>
      </w:pP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• </w:t>
      </w: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卖出阈值：up_probability ≤ 0.50</w:t>
      </w:r>
    </w:p>
    <w:p>
      <w:pPr>
        <w:spacing w:after="200"/>
      </w:pPr>
    </w:p>
    <w:p>
      <w:pPr>
        <w:spacing w:after="120" w:line="360"/>
        <w:jc w:val="left"/>
      </w:pPr>
      <w:r>
        <w:rPr>
          <w:rFonts w:ascii="Microsoft YaHei" w:cs="Microsoft YaHei" w:eastAsia="Microsoft YaHei" w:hAnsi="Microsoft YaHei"/>
          <w:b/>
          <w:bCs/>
          <w:color w:val="333333"/>
          <w:sz w:val="22"/>
          <w:szCs w:val="22"/>
        </w:rPr>
        <w:t xml:space="preserve">Layer 2 技术面三因子：</w:t>
      </w:r>
    </w:p>
    <w:p>
      <w:pPr>
        <w:spacing w:after="80" w:line="340"/>
        <w:ind w:left="480" w:hanging="240"/>
      </w:pP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• </w:t>
      </w: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趋势跟踪因子（Trend Following）：权重 0.3</w:t>
      </w:r>
    </w:p>
    <w:p>
      <w:pPr>
        <w:spacing w:after="80" w:line="340"/>
        <w:ind w:left="480" w:hanging="240"/>
      </w:pP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• </w:t>
      </w: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多因子综合因子（Multi-Factor）：权重 0.4</w:t>
      </w:r>
    </w:p>
    <w:p>
      <w:pPr>
        <w:spacing w:after="80" w:line="340"/>
        <w:ind w:left="480" w:hanging="240"/>
      </w:pP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• </w:t>
      </w: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量价因子（Volume-Price）：权重 0.3</w:t>
      </w:r>
    </w:p>
    <w:p>
      <w:pPr>
        <w:spacing w:after="200"/>
      </w:pPr>
    </w:p>
    <w:p>
      <w:pPr>
        <w:spacing w:after="120" w:line="360"/>
        <w:jc w:val="left"/>
      </w:pPr>
      <w:r>
        <w:rPr>
          <w:rFonts w:ascii="Microsoft YaHei" w:cs="Microsoft YaHei" w:eastAsia="Microsoft YaHei" w:hAnsi="Microsoft YaHei"/>
          <w:b/>
          <w:bCs/>
          <w:color w:val="333333"/>
          <w:sz w:val="22"/>
          <w:szCs w:val="22"/>
        </w:rPr>
        <w:t xml:space="preserve">Layer 2→1 联动权重：</w:t>
      </w:r>
    </w:p>
    <w:p>
      <w:pPr>
        <w:spacing w:after="80" w:line="340"/>
        <w:ind w:left="480" w:hanging="240"/>
      </w:pP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• </w:t>
      </w: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固定加分：+0.1（当Layer 2信号与Layer 1一致时额外加分）</w:t>
      </w:r>
    </w:p>
    <w:p>
      <w:pPr>
        <w:spacing w:after="200"/>
      </w:pPr>
    </w:p>
    <w:p>
      <w:pPr>
        <w:spacing w:after="120" w:line="360"/>
        <w:jc w:val="left"/>
      </w:pPr>
      <w:r>
        <w:rPr>
          <w:rFonts w:ascii="Microsoft YaHei" w:cs="Microsoft YaHei" w:eastAsia="Microsoft YaHei" w:hAnsi="Microsoft YaHei"/>
          <w:b/>
          <w:bCs/>
          <w:color w:val="333333"/>
          <w:sz w:val="22"/>
          <w:szCs w:val="22"/>
        </w:rPr>
        <w:t xml:space="preserve">回测参数：</w:t>
      </w:r>
    </w:p>
    <w:p>
      <w:pPr>
        <w:spacing w:after="80" w:line="340"/>
        <w:ind w:left="480" w:hanging="240"/>
      </w:pP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• </w:t>
      </w: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止损线：10%</w:t>
      </w:r>
    </w:p>
    <w:p>
      <w:pPr>
        <w:spacing w:after="80" w:line="340"/>
        <w:ind w:left="480" w:hanging="240"/>
      </w:pP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• </w:t>
      </w: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止盈线：15%</w:t>
      </w:r>
    </w:p>
    <w:p>
      <w:pPr>
        <w:spacing w:after="80" w:line="340"/>
        <w:ind w:left="480" w:hanging="240"/>
      </w:pP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• </w:t>
      </w: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最大持有天数：10天</w:t>
      </w:r>
    </w:p>
    <w:p>
      <w:pPr>
        <w:spacing w:after="80" w:line="340"/>
        <w:ind w:left="480" w:hanging="240"/>
      </w:pP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• </w:t>
      </w: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最大持仓股数：8只</w:t>
      </w:r>
    </w:p>
    <w:p>
      <w:pPr>
        <w:spacing w:after="80" w:line="340"/>
        <w:ind w:left="480" w:hanging="240"/>
      </w:pP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• </w:t>
      </w: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单股仓位：15%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Microsoft YaHei" w:cs="Microsoft YaHei" w:eastAsia="Microsoft YaHei" w:hAnsi="Microsoft YaHei"/>
          <w:b/>
          <w:bCs/>
          <w:color w:val="1F4E79"/>
          <w:sz w:val="36"/>
          <w:szCs w:val="36"/>
        </w:rPr>
        <w:t xml:space="preserve">第二章  五维评估结果</w:t>
      </w:r>
    </w:p>
    <w:p>
      <w:pPr>
        <w:pStyle w:val="Heading2"/>
        <w:spacing w:after="150" w:before="300"/>
      </w:pPr>
      <w:r>
        <w:rPr>
          <w:rFonts w:ascii="Microsoft YaHei" w:cs="Microsoft YaHei" w:eastAsia="Microsoft YaHei" w:hAnsi="Microsoft YaHei"/>
          <w:b/>
          <w:bCs/>
          <w:color w:val="2E75B6"/>
          <w:sz w:val="28"/>
          <w:szCs w:val="28"/>
        </w:rPr>
        <w:t xml:space="preserve">2.1 信号一致性分析</w:t>
      </w:r>
    </w:p>
    <w:p>
      <w:pPr>
        <w:spacing w:after="120" w:line="360"/>
        <w:ind w:firstLine="48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33333"/>
          <w:sz w:val="22"/>
          <w:szCs w:val="22"/>
        </w:rPr>
        <w:t xml:space="preserve">信号一致性是衡量多层信号是否共同指向相同方向的重要指标。回测结果显示：</w:t>
      </w:r>
    </w:p>
    <w:p>
      <w:pPr>
        <w:spacing w:after="200"/>
      </w:pPr>
    </w:p>
    <w:p>
      <w:pPr>
        <w:spacing w:after="80" w:line="340"/>
        <w:ind w:left="480" w:hanging="240"/>
      </w:pP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• </w:t>
      </w: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三层全一致：胜率62.2%，共74笔交易</w:t>
      </w:r>
    </w:p>
    <w:p>
      <w:pPr>
        <w:spacing w:after="80" w:line="340"/>
        <w:ind w:left="480" w:hanging="240"/>
      </w:pP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• </w:t>
      </w: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两层一致：胜率58.8%，共68笔交易</w:t>
      </w:r>
    </w:p>
    <w:p>
      <w:pPr>
        <w:spacing w:after="200"/>
      </w:pPr>
    </w:p>
    <w:p>
      <w:pPr>
        <w:spacing w:after="120" w:line="360"/>
        <w:ind w:firstLine="480"/>
        <w:jc w:val="left"/>
      </w:pPr>
      <w:r>
        <w:rPr>
          <w:rFonts w:ascii="Microsoft YaHei" w:cs="Microsoft YaHei" w:eastAsia="Microsoft YaHei" w:hAnsi="Microsoft YaHei"/>
          <w:b/>
          <w:bCs/>
          <w:color w:val="333333"/>
          <w:sz w:val="22"/>
          <w:szCs w:val="22"/>
        </w:rPr>
        <w:t xml:space="preserve">结论：一致性越高，收益越好。三层全一致的胜率比两层一致高3.4个百分点，这充分验证了Serenity“耐心等待”的原则——当多个信号共同指向买入时，交易成功率显著提高。</w:t>
      </w:r>
    </w:p>
    <w:p>
      <w:pPr>
        <w:spacing w:after="200"/>
      </w:pPr>
    </w:p>
    <w:p>
      <w:pPr>
        <w:pStyle w:val="Heading2"/>
        <w:spacing w:after="150" w:before="300"/>
      </w:pPr>
      <w:r>
        <w:rPr>
          <w:rFonts w:ascii="Microsoft YaHei" w:cs="Microsoft YaHei" w:eastAsia="Microsoft YaHei" w:hAnsi="Microsoft YaHei"/>
          <w:b/>
          <w:bCs/>
          <w:color w:val="2E75B6"/>
          <w:sz w:val="28"/>
          <w:szCs w:val="28"/>
        </w:rPr>
        <w:t xml:space="preserve">2.2 趋势强度过滤</w:t>
      </w:r>
    </w:p>
    <w:p>
      <w:pPr>
        <w:spacing w:after="120" w:line="360"/>
        <w:ind w:firstLine="48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33333"/>
          <w:sz w:val="22"/>
          <w:szCs w:val="22"/>
        </w:rPr>
        <w:t xml:space="preserve">当前系统所有交易均发生在“强”趋势下，共计142笔，胜率60.6%。这表明HMM趋势过滤已在生效，系统能够有效识别并回避弱趋势环境下的交易。</w:t>
      </w:r>
    </w:p>
    <w:p>
      <w:pPr>
        <w:spacing w:after="200"/>
      </w:pPr>
    </w:p>
    <w:p>
      <w:pPr>
        <w:spacing w:after="120" w:line="360"/>
        <w:ind w:firstLine="480"/>
        <w:jc w:val="left"/>
      </w:pPr>
      <w:r>
        <w:rPr>
          <w:rFonts w:ascii="Microsoft YaHei" w:cs="Microsoft YaHei" w:eastAsia="Microsoft YaHei" w:hAnsi="Microsoft YaHei"/>
          <w:b/>
          <w:bCs/>
          <w:color w:val="2E75B6"/>
          <w:sz w:val="22"/>
          <w:szCs w:val="22"/>
        </w:rPr>
        <w:t xml:space="preserve">Serenity评价：符合“不追涨杀跌”原则。系统仅在趋势明确时进入市场，避免了在横盘或下跌趋势中的无效交易。</w:t>
      </w:r>
    </w:p>
    <w:p>
      <w:pPr>
        <w:spacing w:after="200"/>
      </w:pPr>
    </w:p>
    <w:p>
      <w:pPr>
        <w:pStyle w:val="Heading2"/>
        <w:spacing w:after="150" w:before="300"/>
      </w:pPr>
      <w:r>
        <w:rPr>
          <w:rFonts w:ascii="Microsoft YaHei" w:cs="Microsoft YaHei" w:eastAsia="Microsoft YaHei" w:hAnsi="Microsoft YaHei"/>
          <w:b/>
          <w:bCs/>
          <w:color w:val="2E75B6"/>
          <w:sz w:val="28"/>
          <w:szCs w:val="28"/>
        </w:rPr>
        <w:t xml:space="preserve">2.3 止损纪律评估</w:t>
      </w:r>
    </w:p>
    <w:p>
      <w:pPr>
        <w:spacing w:after="120" w:line="360"/>
        <w:ind w:firstLine="48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33333"/>
          <w:sz w:val="22"/>
          <w:szCs w:val="22"/>
        </w:rPr>
        <w:t xml:space="preserve">回测数据显示，触发止损后77.3%的股票继续下跌，证明10%的止损设置是合理的。它既能有效限制单笔损失，又不会因止损过紧而在正常波动中被误踢出局。</w:t>
      </w:r>
    </w:p>
    <w:p>
      <w:pPr>
        <w:spacing w:after="200"/>
      </w:pPr>
    </w:p>
    <w:p>
      <w:pPr>
        <w:spacing w:after="120" w:line="360"/>
        <w:ind w:firstLine="480"/>
        <w:jc w:val="left"/>
      </w:pPr>
      <w:r>
        <w:rPr>
          <w:rFonts w:ascii="Microsoft YaHei" w:cs="Microsoft YaHei" w:eastAsia="Microsoft YaHei" w:hAnsi="Microsoft YaHei"/>
          <w:b/>
          <w:bCs/>
          <w:color w:val="2E75B6"/>
          <w:sz w:val="22"/>
          <w:szCs w:val="22"/>
        </w:rPr>
        <w:t xml:space="preserve">Serenity评价：纪律执行良好，符合“严格风控”原则。系统能够在预定止损点果断离场，体现了良好的执行纪律。</w:t>
      </w:r>
    </w:p>
    <w:p>
      <w:pPr>
        <w:spacing w:after="200"/>
      </w:pPr>
    </w:p>
    <w:p>
      <w:pPr>
        <w:pStyle w:val="Heading2"/>
        <w:spacing w:after="150" w:before="300"/>
      </w:pPr>
      <w:r>
        <w:rPr>
          <w:rFonts w:ascii="Microsoft YaHei" w:cs="Microsoft YaHei" w:eastAsia="Microsoft YaHei" w:hAnsi="Microsoft YaHei"/>
          <w:b/>
          <w:bCs/>
          <w:color w:val="2E75B6"/>
          <w:sz w:val="28"/>
          <w:szCs w:val="28"/>
        </w:rPr>
        <w:t xml:space="preserve">2.4 交易频率与质量</w:t>
      </w:r>
    </w:p>
    <w:p>
      <w:pPr>
        <w:spacing w:after="120" w:line="360"/>
        <w:ind w:firstLine="48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33333"/>
          <w:sz w:val="22"/>
          <w:szCs w:val="22"/>
        </w:rPr>
        <w:t xml:space="preserve">系统月均产生7.9笔交易，属于低频率策略。在低频率月份（交易数低于平均），胜率为57.3%，表明交易质量与频率并无明显负相关。</w:t>
      </w:r>
    </w:p>
    <w:p>
      <w:pPr>
        <w:spacing w:after="200"/>
      </w:pPr>
    </w:p>
    <w:p>
      <w:pPr>
        <w:spacing w:after="120" w:line="360"/>
        <w:ind w:firstLine="480"/>
        <w:jc w:val="left"/>
      </w:pPr>
      <w:r>
        <w:rPr>
          <w:rFonts w:ascii="Microsoft YaHei" w:cs="Microsoft YaHei" w:eastAsia="Microsoft YaHei" w:hAnsi="Microsoft YaHei"/>
          <w:b/>
          <w:bCs/>
          <w:color w:val="2E75B6"/>
          <w:sz w:val="22"/>
          <w:szCs w:val="22"/>
        </w:rPr>
        <w:t xml:space="preserve">Serenity评价：交易频率适中，符合“质量优于数量”原则。系统不追求频繁交易，而是在信号明确时才出手，这正是Serenity哲学所倡导的。</w:t>
      </w:r>
    </w:p>
    <w:p>
      <w:pPr>
        <w:spacing w:after="200"/>
      </w:pPr>
    </w:p>
    <w:p>
      <w:pPr>
        <w:pStyle w:val="Heading2"/>
        <w:spacing w:after="150" w:before="300"/>
      </w:pPr>
      <w:r>
        <w:rPr>
          <w:rFonts w:ascii="Microsoft YaHei" w:cs="Microsoft YaHei" w:eastAsia="Microsoft YaHei" w:hAnsi="Microsoft YaHei"/>
          <w:b/>
          <w:bCs/>
          <w:color w:val="2E75B6"/>
          <w:sz w:val="28"/>
          <w:szCs w:val="28"/>
        </w:rPr>
        <w:t xml:space="preserve">2.5 连续亏损/盈利分析</w:t>
      </w:r>
    </w:p>
    <w:p>
      <w:pPr>
        <w:spacing w:after="120" w:line="360"/>
        <w:ind w:firstLine="48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33333"/>
          <w:sz w:val="22"/>
          <w:szCs w:val="22"/>
        </w:rPr>
        <w:t xml:space="preserve">连亏3次后的下一笔交易胜率为55.6%，而连盈3次后的下一笔胜率为58.6%。两者差异仅为3个百分点，说明系统在连续亏损后并未出现明显的情绪化偏差（即“报复性交易”或“过度保守”）。</w:t>
      </w:r>
    </w:p>
    <w:p>
      <w:pPr>
        <w:spacing w:after="200"/>
      </w:pPr>
    </w:p>
    <w:p>
      <w:pPr>
        <w:spacing w:after="120" w:line="360"/>
        <w:ind w:firstLine="480"/>
        <w:jc w:val="left"/>
      </w:pPr>
      <w:r>
        <w:rPr>
          <w:rFonts w:ascii="Microsoft YaHei" w:cs="Microsoft YaHei" w:eastAsia="Microsoft YaHei" w:hAnsi="Microsoft YaHei"/>
          <w:b/>
          <w:bCs/>
          <w:color w:val="2E75B6"/>
          <w:sz w:val="22"/>
          <w:szCs w:val="22"/>
        </w:rPr>
        <w:t xml:space="preserve">Serenity评价：符合“情绪中立（Emotion Neutrality）”原则。系统的交易决策不受前序交易结果的显著影响，保持了良好的情绪稳定性。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Microsoft YaHei" w:cs="Microsoft YaHei" w:eastAsia="Microsoft YaHei" w:hAnsi="Microsoft YaHei"/>
          <w:b/>
          <w:bCs/>
          <w:color w:val="1F4E79"/>
          <w:sz w:val="36"/>
          <w:szCs w:val="36"/>
        </w:rPr>
        <w:t xml:space="preserve">第三章  三方案回测对比</w:t>
      </w:r>
    </w:p>
    <w:p>
      <w:pPr>
        <w:pStyle w:val="Heading2"/>
        <w:spacing w:after="150" w:before="300"/>
      </w:pPr>
      <w:r>
        <w:rPr>
          <w:rFonts w:ascii="Microsoft YaHei" w:cs="Microsoft YaHei" w:eastAsia="Microsoft YaHei" w:hAnsi="Microsoft YaHei"/>
          <w:b/>
          <w:bCs/>
          <w:color w:val="2E75B6"/>
          <w:sz w:val="28"/>
          <w:szCs w:val="28"/>
        </w:rPr>
        <w:t xml:space="preserve">3.1 方案定义</w:t>
      </w:r>
    </w:p>
    <w:p>
      <w:pPr>
        <w:spacing w:after="200"/>
      </w:pPr>
    </w:p>
    <w:p>
      <w:pPr>
        <w:spacing w:after="120" w:line="360"/>
        <w:jc w:val="left"/>
      </w:pPr>
      <w:r>
        <w:rPr>
          <w:rFonts w:ascii="Microsoft YaHei" w:cs="Microsoft YaHei" w:eastAsia="Microsoft YaHei" w:hAnsi="Microsoft YaHei"/>
          <w:b/>
          <w:bCs/>
          <w:color w:val="333333"/>
          <w:sz w:val="22"/>
          <w:szCs w:val="22"/>
        </w:rPr>
        <w:t xml:space="preserve">方案A（保守型）：</w:t>
      </w:r>
    </w:p>
    <w:p>
      <w:pPr>
        <w:spacing w:after="80" w:line="340"/>
        <w:ind w:left="480" w:hanging="240"/>
      </w:pP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• </w:t>
      </w: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要求三层信号全一致才触发买入</w:t>
      </w:r>
    </w:p>
    <w:p>
      <w:pPr>
        <w:spacing w:after="80" w:line="340"/>
        <w:ind w:left="480" w:hanging="240"/>
      </w:pP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• </w:t>
      </w: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趋势过滤：仅在“强”或“中”趋势下交易</w:t>
      </w:r>
    </w:p>
    <w:p>
      <w:pPr>
        <w:spacing w:after="80" w:line="340"/>
        <w:ind w:left="480" w:hanging="240"/>
      </w:pP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• </w:t>
      </w: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引入冷却期机制：连续亏损后暂停交易</w:t>
      </w:r>
    </w:p>
    <w:p>
      <w:pPr>
        <w:spacing w:after="200"/>
      </w:pPr>
    </w:p>
    <w:p>
      <w:pPr>
        <w:spacing w:after="120" w:line="360"/>
        <w:jc w:val="left"/>
      </w:pPr>
      <w:r>
        <w:rPr>
          <w:rFonts w:ascii="Microsoft YaHei" w:cs="Microsoft YaHei" w:eastAsia="Microsoft YaHei" w:hAnsi="Microsoft YaHei"/>
          <w:b/>
          <w:bCs/>
          <w:color w:val="333333"/>
          <w:sz w:val="22"/>
          <w:szCs w:val="22"/>
        </w:rPr>
        <w:t xml:space="preserve">方案B（平衡型）：</w:t>
      </w:r>
    </w:p>
    <w:p>
      <w:pPr>
        <w:spacing w:after="80" w:line="340"/>
        <w:ind w:left="480" w:hanging="240"/>
      </w:pP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• </w:t>
      </w: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要求两层信号一致即可触发买入</w:t>
      </w:r>
    </w:p>
    <w:p>
      <w:pPr>
        <w:spacing w:after="80" w:line="340"/>
        <w:ind w:left="480" w:hanging="240"/>
      </w:pP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• </w:t>
      </w: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量价因子作为加分项（而非必要条件）</w:t>
      </w:r>
    </w:p>
    <w:p>
      <w:pPr>
        <w:spacing w:after="80" w:line="340"/>
        <w:ind w:left="480" w:hanging="240"/>
      </w:pP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• </w:t>
      </w: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弱趋势时仓位减半</w:t>
      </w:r>
    </w:p>
    <w:p>
      <w:pPr>
        <w:spacing w:after="80" w:line="340"/>
        <w:ind w:left="480" w:hanging="240"/>
      </w:pP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• </w:t>
      </w: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引入冷却期机制</w:t>
      </w:r>
    </w:p>
    <w:p>
      <w:pPr>
        <w:spacing w:after="200"/>
      </w:pPr>
    </w:p>
    <w:p>
      <w:pPr>
        <w:spacing w:after="120" w:line="360"/>
        <w:jc w:val="left"/>
      </w:pPr>
      <w:r>
        <w:rPr>
          <w:rFonts w:ascii="Microsoft YaHei" w:cs="Microsoft YaHei" w:eastAsia="Microsoft YaHei" w:hAnsi="Microsoft YaHei"/>
          <w:b/>
          <w:bCs/>
          <w:color w:val="333333"/>
          <w:sz w:val="22"/>
          <w:szCs w:val="22"/>
        </w:rPr>
        <w:t xml:space="preserve">方案C（基准）：</w:t>
      </w:r>
    </w:p>
    <w:p>
      <w:pPr>
        <w:spacing w:after="80" w:line="340"/>
        <w:ind w:left="480" w:hanging="240"/>
      </w:pP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• </w:t>
      </w: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当前系统参数不变，作为对照基准</w:t>
      </w:r>
    </w:p>
    <w:p>
      <w:pPr>
        <w:spacing w:after="200"/>
      </w:pPr>
    </w:p>
    <w:p>
      <w:pPr>
        <w:pStyle w:val="Heading2"/>
        <w:spacing w:after="150" w:before="300"/>
      </w:pPr>
      <w:r>
        <w:rPr>
          <w:rFonts w:ascii="Microsoft YaHei" w:cs="Microsoft YaHei" w:eastAsia="Microsoft YaHei" w:hAnsi="Microsoft YaHei"/>
          <w:b/>
          <w:bCs/>
          <w:color w:val="2E75B6"/>
          <w:sz w:val="28"/>
          <w:szCs w:val="28"/>
        </w:rPr>
        <w:t xml:space="preserve">3.2 回测结果对比</w:t>
      </w:r>
    </w:p>
    <w:p>
      <w:pPr>
        <w:spacing w:after="120" w:line="360"/>
        <w:ind w:firstLine="48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33333"/>
          <w:sz w:val="22"/>
          <w:szCs w:val="22"/>
        </w:rPr>
        <w:t xml:space="preserve">下表展示了三种方案在相同回测期内的核心指标对比：</w:t>
      </w:r>
    </w:p>
    <w:p>
      <w:pPr>
        <w:spacing w:after="200"/>
      </w:pPr>
    </w:p>
    <w:tbl>
      <w:tblPr>
        <w:tblW w:type="pct" w:w="100%"/>
        <w:tblBorders>
          <w:top w:val="single" w:color="AAAAAA" w:sz="1"/>
          <w:left w:val="single" w:color="AAAAAA" w:sz="1"/>
          <w:bottom w:val="single" w:color="AAAAAA" w:sz="1"/>
          <w:right w:val="single" w:color="AAAAAA" w:sz="1"/>
          <w:insideH w:val="single" w:color="AAAAAA" w:sz="1"/>
          <w:insideV w:val="single" w:color="AAAAAA" w:sz="1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25%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color="1F4E79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指标</w:t>
            </w:r>
          </w:p>
        </w:tc>
        <w:tc>
          <w:tcPr>
            <w:tcW w:type="pct" w:w="25%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color="1F4E79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方案C（基准）</w:t>
            </w:r>
          </w:p>
        </w:tc>
        <w:tc>
          <w:tcPr>
            <w:tcW w:type="pct" w:w="25%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color="1F4E79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方案A（保守）</w:t>
            </w:r>
          </w:p>
        </w:tc>
        <w:tc>
          <w:tcPr>
            <w:tcW w:type="pct" w:w="25%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color="1F4E79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方案B（平衡）</w:t>
            </w:r>
          </w:p>
        </w:tc>
      </w:tr>
      <w:tr>
        <w:tc>
          <w:tcPr>
            <w:tcW w:type="pct" w:w="25%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总收益率</w:t>
            </w:r>
          </w:p>
        </w:tc>
        <w:tc>
          <w:tcPr>
            <w:tcW w:type="pct" w:w="25%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49.03%</w:t>
            </w:r>
          </w:p>
        </w:tc>
        <w:tc>
          <w:tcPr>
            <w:tcW w:type="pct" w:w="25%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40.56%</w:t>
            </w:r>
          </w:p>
        </w:tc>
        <w:tc>
          <w:tcPr>
            <w:tcW w:type="pct" w:w="25%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46.26%</w:t>
            </w:r>
          </w:p>
        </w:tc>
      </w:tr>
      <w:tr>
        <w:tc>
          <w:tcPr>
            <w:tcW w:type="pct" w:w="25%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夏普比率</w:t>
            </w:r>
          </w:p>
        </w:tc>
        <w:tc>
          <w:tcPr>
            <w:tcW w:type="pct" w:w="25%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2.52</w:t>
            </w:r>
          </w:p>
        </w:tc>
        <w:tc>
          <w:tcPr>
            <w:tcW w:type="pct" w:w="25%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2.59</w:t>
            </w:r>
          </w:p>
        </w:tc>
        <w:tc>
          <w:tcPr>
            <w:tcW w:type="pct" w:w="25%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4FD" w:color="E8F4FD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333333"/>
                <w:sz w:val="20"/>
                <w:szCs w:val="20"/>
              </w:rPr>
              <w:t xml:space="preserve">2.65</w:t>
            </w:r>
          </w:p>
        </w:tc>
      </w:tr>
      <w:tr>
        <w:tc>
          <w:tcPr>
            <w:tcW w:type="pct" w:w="25%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最大回撤</w:t>
            </w:r>
          </w:p>
        </w:tc>
        <w:tc>
          <w:tcPr>
            <w:tcW w:type="pct" w:w="25%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7.24%</w:t>
            </w:r>
          </w:p>
        </w:tc>
        <w:tc>
          <w:tcPr>
            <w:tcW w:type="pct" w:w="25%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6.06%</w:t>
            </w:r>
          </w:p>
        </w:tc>
        <w:tc>
          <w:tcPr>
            <w:tcW w:type="pct" w:w="25%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4FD" w:color="E8F4FD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6.20%</w:t>
            </w:r>
          </w:p>
        </w:tc>
      </w:tr>
      <w:tr>
        <w:tc>
          <w:tcPr>
            <w:tcW w:type="pct" w:w="25%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胜率</w:t>
            </w:r>
          </w:p>
        </w:tc>
        <w:tc>
          <w:tcPr>
            <w:tcW w:type="pct" w:w="25%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60.56%</w:t>
            </w:r>
          </w:p>
        </w:tc>
        <w:tc>
          <w:tcPr>
            <w:tcW w:type="pct" w:w="25%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57.89%</w:t>
            </w:r>
          </w:p>
        </w:tc>
        <w:tc>
          <w:tcPr>
            <w:tcW w:type="pct" w:w="25%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4FD" w:color="E8F4FD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333333"/>
                <w:sz w:val="20"/>
                <w:szCs w:val="20"/>
              </w:rPr>
              <w:t xml:space="preserve">61.27%</w:t>
            </w:r>
          </w:p>
        </w:tc>
      </w:tr>
      <w:tr>
        <w:tc>
          <w:tcPr>
            <w:tcW w:type="pct" w:w="25%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盈亏比</w:t>
            </w:r>
          </w:p>
        </w:tc>
        <w:tc>
          <w:tcPr>
            <w:tcW w:type="pct" w:w="25%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1.99</w:t>
            </w:r>
          </w:p>
        </w:tc>
        <w:tc>
          <w:tcPr>
            <w:tcW w:type="pct" w:w="25%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2.37</w:t>
            </w:r>
          </w:p>
        </w:tc>
        <w:tc>
          <w:tcPr>
            <w:tcW w:type="pct" w:w="25%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2.02</w:t>
            </w:r>
          </w:p>
        </w:tc>
      </w:tr>
      <w:tr>
        <w:tc>
          <w:tcPr>
            <w:tcW w:type="pct" w:w="25%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交易数</w:t>
            </w:r>
          </w:p>
        </w:tc>
        <w:tc>
          <w:tcPr>
            <w:tcW w:type="pct" w:w="25%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142</w:t>
            </w:r>
          </w:p>
        </w:tc>
        <w:tc>
          <w:tcPr>
            <w:tcW w:type="pct" w:w="25%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95</w:t>
            </w:r>
          </w:p>
        </w:tc>
        <w:tc>
          <w:tcPr>
            <w:tcW w:type="pct" w:w="25%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142</w:t>
            </w:r>
          </w:p>
        </w:tc>
      </w:tr>
    </w:tbl>
    <w:p>
      <w:pPr>
        <w:spacing w:after="200"/>
      </w:pPr>
    </w:p>
    <w:p>
      <w:pPr>
        <w:spacing w:after="120" w:line="360"/>
        <w:ind w:firstLine="48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33333"/>
          <w:sz w:val="22"/>
          <w:szCs w:val="22"/>
        </w:rPr>
        <w:t xml:space="preserve">表中蓝色高亮行为方案B的优势指标。可以看出，方案B在夏普比率、最大回撤和胜率三项关键指标上均表现优异，是风险调整后收益最优的方案。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Microsoft YaHei" w:cs="Microsoft YaHei" w:eastAsia="Microsoft YaHei" w:hAnsi="Microsoft YaHei"/>
          <w:b/>
          <w:bCs/>
          <w:color w:val="1F4E79"/>
          <w:sz w:val="36"/>
          <w:szCs w:val="36"/>
        </w:rPr>
        <w:t xml:space="preserve">第四章  Serenity推荐</w:t>
      </w:r>
    </w:p>
    <w:p>
      <w:pPr>
        <w:pStyle w:val="Heading2"/>
        <w:spacing w:after="150" w:before="300"/>
      </w:pPr>
      <w:r>
        <w:rPr>
          <w:rFonts w:ascii="Microsoft YaHei" w:cs="Microsoft YaHei" w:eastAsia="Microsoft YaHei" w:hAnsi="Microsoft YaHei"/>
          <w:b/>
          <w:bCs/>
          <w:color w:val="2E75B6"/>
          <w:sz w:val="28"/>
          <w:szCs w:val="28"/>
        </w:rPr>
        <w:t xml:space="preserve">4.1 推荐方案B（平衡型）</w:t>
      </w:r>
    </w:p>
    <w:p>
      <w:pPr>
        <w:spacing w:after="120" w:line="360"/>
        <w:ind w:firstLine="48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33333"/>
          <w:sz w:val="22"/>
          <w:szCs w:val="22"/>
        </w:rPr>
        <w:t xml:space="preserve">综合三方案回测结果，Serenity推荐采用方案B（平衡型）作为优化方向。主要依据如下：</w:t>
      </w:r>
    </w:p>
    <w:p>
      <w:pPr>
        <w:spacing w:after="200"/>
      </w:pPr>
    </w:p>
    <w:p>
      <w:pPr>
        <w:spacing w:after="80" w:line="340"/>
        <w:ind w:left="480" w:hanging="240"/>
      </w:pP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• </w:t>
      </w: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夏普比率最高（2.65），表明风险调整后收益最优</w:t>
      </w:r>
    </w:p>
    <w:p>
      <w:pPr>
        <w:spacing w:after="80" w:line="340"/>
        <w:ind w:left="480" w:hanging="240"/>
      </w:pP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• </w:t>
      </w: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最大回撤显著降低（6.20% vs 7.24%），风险控制能力增强</w:t>
      </w:r>
    </w:p>
    <w:p>
      <w:pPr>
        <w:spacing w:after="80" w:line="340"/>
        <w:ind w:left="480" w:hanging="240"/>
      </w:pP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• </w:t>
      </w: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胜率最优（61.27%），交易质量提升</w:t>
      </w:r>
    </w:p>
    <w:p>
      <w:pPr>
        <w:spacing w:after="80" w:line="340"/>
        <w:ind w:left="480" w:hanging="240"/>
      </w:pP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• </w:t>
      </w: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交易数不变（142笔），不会因信号过滤而错失机会</w:t>
      </w:r>
    </w:p>
    <w:p>
      <w:pPr>
        <w:spacing w:after="200"/>
      </w:pPr>
    </w:p>
    <w:p>
      <w:pPr>
        <w:pStyle w:val="Heading2"/>
        <w:spacing w:after="150" w:before="300"/>
      </w:pPr>
      <w:r>
        <w:rPr>
          <w:rFonts w:ascii="Microsoft YaHei" w:cs="Microsoft YaHei" w:eastAsia="Microsoft YaHei" w:hAnsi="Microsoft YaHei"/>
          <w:b/>
          <w:bCs/>
          <w:color w:val="2E75B6"/>
          <w:sz w:val="28"/>
          <w:szCs w:val="28"/>
        </w:rPr>
        <w:t xml:space="preserve">4.2 具体优化建议</w:t>
      </w:r>
    </w:p>
    <w:p>
      <w:pPr>
        <w:spacing w:after="200"/>
      </w:pPr>
    </w:p>
    <w:p>
      <w:pPr>
        <w:spacing w:after="80" w:line="340"/>
        <w:ind w:left="480" w:hanging="360"/>
      </w:pPr>
      <w:r>
        <w:rPr>
          <w:rFonts w:ascii="Microsoft YaHei" w:cs="Microsoft YaHei" w:eastAsia="Microsoft YaHei" w:hAnsi="Microsoft YaHei"/>
          <w:b/>
          <w:bCs/>
          <w:color w:val="333333"/>
          <w:sz w:val="22"/>
          <w:szCs w:val="22"/>
        </w:rPr>
        <w:t xml:space="preserve">1. </w:t>
      </w: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信号阈值：买入阈值从0.60提高到0.65，更严格地筛选交易机会，提高信号质量。</w:t>
      </w:r>
    </w:p>
    <w:p>
      <w:pPr>
        <w:spacing w:after="80" w:line="340"/>
        <w:ind w:left="480" w:hanging="360"/>
      </w:pPr>
      <w:r>
        <w:rPr>
          <w:rFonts w:ascii="Microsoft YaHei" w:cs="Microsoft YaHei" w:eastAsia="Microsoft YaHei" w:hAnsi="Microsoft YaHei"/>
          <w:b/>
          <w:bCs/>
          <w:color w:val="333333"/>
          <w:sz w:val="22"/>
          <w:szCs w:val="22"/>
        </w:rPr>
        <w:t xml:space="preserve">2. </w:t>
      </w: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趋势过滤：弱趋势时仓位减半，在不确定性较高的市场环境中降低风险敢口。</w:t>
      </w:r>
    </w:p>
    <w:p>
      <w:pPr>
        <w:spacing w:after="80" w:line="340"/>
        <w:ind w:left="480" w:hanging="360"/>
      </w:pPr>
      <w:r>
        <w:rPr>
          <w:rFonts w:ascii="Microsoft YaHei" w:cs="Microsoft YaHei" w:eastAsia="Microsoft YaHei" w:hAnsi="Microsoft YaHei"/>
          <w:b/>
          <w:bCs/>
          <w:color w:val="333333"/>
          <w:sz w:val="22"/>
          <w:szCs w:val="22"/>
        </w:rPr>
        <w:t xml:space="preserve">3. </w:t>
      </w: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冷却机制：连续亏损3次后暂停1个交易日，避免情绪化交易和市场环境恶化时的连续损失。</w:t>
      </w:r>
    </w:p>
    <w:p>
      <w:pPr>
        <w:spacing w:after="80" w:line="340"/>
        <w:ind w:left="480" w:hanging="360"/>
      </w:pPr>
      <w:r>
        <w:rPr>
          <w:rFonts w:ascii="Microsoft YaHei" w:cs="Microsoft YaHei" w:eastAsia="Microsoft YaHei" w:hAnsi="Microsoft YaHei"/>
          <w:b/>
          <w:bCs/>
          <w:color w:val="333333"/>
          <w:sz w:val="22"/>
          <w:szCs w:val="22"/>
        </w:rPr>
        <w:t xml:space="preserve">4. </w:t>
      </w: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量价因子：从必要条件改为加分项（+5%概率），增加信号的灵活性，避免因过严格的量价要求而错失好的交易机会。</w:t>
      </w:r>
    </w:p>
    <w:p>
      <w:pPr>
        <w:spacing w:after="80" w:line="340"/>
        <w:ind w:left="480" w:hanging="360"/>
      </w:pPr>
      <w:r>
        <w:rPr>
          <w:rFonts w:ascii="Microsoft YaHei" w:cs="Microsoft YaHei" w:eastAsia="Microsoft YaHei" w:hAnsi="Microsoft YaHei"/>
          <w:b/>
          <w:bCs/>
          <w:color w:val="333333"/>
          <w:sz w:val="22"/>
          <w:szCs w:val="22"/>
        </w:rPr>
        <w:t xml:space="preserve">5. </w:t>
      </w: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止损保持10%不变，回测已证明该设置的合理性。</w:t>
      </w:r>
    </w:p>
    <w:p>
      <w:pPr>
        <w:spacing w:after="200"/>
      </w:pPr>
    </w:p>
    <w:p>
      <w:pPr>
        <w:pStyle w:val="Heading2"/>
        <w:spacing w:after="150" w:before="300"/>
      </w:pPr>
      <w:r>
        <w:rPr>
          <w:rFonts w:ascii="Microsoft YaHei" w:cs="Microsoft YaHei" w:eastAsia="Microsoft YaHei" w:hAnsi="Microsoft YaHei"/>
          <w:b/>
          <w:bCs/>
          <w:color w:val="2E75B6"/>
          <w:sz w:val="28"/>
          <w:szCs w:val="28"/>
        </w:rPr>
        <w:t xml:space="preserve">4.3 不建议的修改</w:t>
      </w:r>
    </w:p>
    <w:p>
      <w:pPr>
        <w:spacing w:after="200"/>
      </w:pPr>
    </w:p>
    <w:p>
      <w:pPr>
        <w:spacing w:after="120" w:line="360"/>
        <w:jc w:val="left"/>
      </w:pPr>
      <w:r>
        <w:rPr>
          <w:rFonts w:ascii="Microsoft YaHei" w:cs="Microsoft YaHei" w:eastAsia="Microsoft YaHei" w:hAnsi="Microsoft YaHei"/>
          <w:b/>
          <w:bCs/>
          <w:color w:val="CC0000"/>
          <w:sz w:val="22"/>
          <w:szCs w:val="22"/>
        </w:rPr>
        <w:t xml:space="preserve">不要将止损收紧到5%：</w:t>
      </w:r>
    </w:p>
    <w:p>
      <w:pPr>
        <w:spacing w:after="120" w:line="360"/>
        <w:ind w:firstLine="48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33333"/>
          <w:sz w:val="22"/>
          <w:szCs w:val="22"/>
        </w:rPr>
        <w:t xml:space="preserve">之前的测试显示，5%止损会导致57.7%的交易触发止损出场，过于紧密的止损会显著降低胜率和盈利能力。</w:t>
      </w:r>
    </w:p>
    <w:p>
      <w:pPr>
        <w:spacing w:after="200"/>
      </w:pPr>
    </w:p>
    <w:p>
      <w:pPr>
        <w:spacing w:after="120" w:line="360"/>
        <w:jc w:val="left"/>
      </w:pPr>
      <w:r>
        <w:rPr>
          <w:rFonts w:ascii="Microsoft YaHei" w:cs="Microsoft YaHei" w:eastAsia="Microsoft YaHei" w:hAnsi="Microsoft YaHei"/>
          <w:b/>
          <w:bCs/>
          <w:color w:val="CC0000"/>
          <w:sz w:val="22"/>
          <w:szCs w:val="22"/>
        </w:rPr>
        <w:t xml:space="preserve">不要将买入阈值提高到0.70以上：</w:t>
      </w:r>
    </w:p>
    <w:p>
      <w:pPr>
        <w:spacing w:after="120" w:line="360"/>
        <w:ind w:firstLine="48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33333"/>
          <w:sz w:val="22"/>
          <w:szCs w:val="22"/>
        </w:rPr>
        <w:t xml:space="preserve">过高的阈值会导致信号过少，缩小交易机会，在回测期内可能无法产生足够的样本量来验证策略有效性。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Microsoft YaHei" w:cs="Microsoft YaHei" w:eastAsia="Microsoft YaHei" w:hAnsi="Microsoft YaHei"/>
          <w:b/>
          <w:bCs/>
          <w:color w:val="1F4E79"/>
          <w:sz w:val="36"/>
          <w:szCs w:val="36"/>
        </w:rPr>
        <w:t xml:space="preserve">第五章  总结</w:t>
      </w:r>
    </w:p>
    <w:p>
      <w:pPr>
        <w:spacing w:after="200"/>
      </w:pPr>
    </w:p>
    <w:p>
      <w:pPr>
        <w:spacing w:after="120" w:line="360"/>
        <w:ind w:firstLine="48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33333"/>
          <w:sz w:val="22"/>
          <w:szCs w:val="22"/>
        </w:rPr>
        <w:t xml:space="preserve">通过对当前A股智能分析选股系统的全面评估，我们得出以下结论：</w:t>
      </w:r>
    </w:p>
    <w:p>
      <w:pPr>
        <w:spacing w:after="200"/>
      </w:pPr>
    </w:p>
    <w:p>
      <w:pPr>
        <w:spacing w:after="80" w:line="340"/>
        <w:ind w:left="480" w:hanging="360"/>
      </w:pPr>
      <w:r>
        <w:rPr>
          <w:rFonts w:ascii="Microsoft YaHei" w:cs="Microsoft YaHei" w:eastAsia="Microsoft YaHei" w:hAnsi="Microsoft YaHei"/>
          <w:b/>
          <w:bCs/>
          <w:color w:val="333333"/>
          <w:sz w:val="22"/>
          <w:szCs w:val="22"/>
        </w:rPr>
        <w:t xml:space="preserve">1. </w:t>
      </w: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当前系统整体符合Serenity交易哲学。五大核心原则均在系统中得到了体现，从趋势过滤到止损纪律，从低频交易到情绪中立，系统设计与哲学理念高度一致。</w:t>
      </w:r>
    </w:p>
    <w:p>
      <w:pPr>
        <w:spacing w:after="80" w:line="340"/>
        <w:ind w:left="480" w:hanging="360"/>
      </w:pPr>
      <w:r>
        <w:rPr>
          <w:rFonts w:ascii="Microsoft YaHei" w:cs="Microsoft YaHei" w:eastAsia="Microsoft YaHei" w:hAnsi="Microsoft YaHei"/>
          <w:b/>
          <w:bCs/>
          <w:color w:val="333333"/>
          <w:sz w:val="22"/>
          <w:szCs w:val="22"/>
        </w:rPr>
        <w:t xml:space="preserve">2. </w:t>
      </w: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五维评估中四项表现良好，一项有优化空间。趋势强度过滤、止损纪律、交易频率和情绪中立四项均达标，信号一致性方面仍有优化余地。</w:t>
      </w:r>
    </w:p>
    <w:p>
      <w:pPr>
        <w:spacing w:after="80" w:line="340"/>
        <w:ind w:left="480" w:hanging="360"/>
      </w:pPr>
      <w:r>
        <w:rPr>
          <w:rFonts w:ascii="Microsoft YaHei" w:cs="Microsoft YaHei" w:eastAsia="Microsoft YaHei" w:hAnsi="Microsoft YaHei"/>
          <w:b/>
          <w:bCs/>
          <w:color w:val="333333"/>
          <w:sz w:val="22"/>
          <w:szCs w:val="22"/>
        </w:rPr>
        <w:t xml:space="preserve">3. </w:t>
      </w: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方案B平衡型在风险调整后收益最优。夏普比率2.65、最大回撤6.20%、胜率61.27%，各项关键指标均优于基准方案。</w:t>
      </w:r>
    </w:p>
    <w:p>
      <w:pPr>
        <w:spacing w:after="80" w:line="340"/>
        <w:ind w:left="480" w:hanging="360"/>
      </w:pPr>
      <w:r>
        <w:rPr>
          <w:rFonts w:ascii="Microsoft YaHei" w:cs="Microsoft YaHei" w:eastAsia="Microsoft YaHei" w:hAnsi="Microsoft YaHei"/>
          <w:b/>
          <w:bCs/>
          <w:color w:val="333333"/>
          <w:sz w:val="22"/>
          <w:szCs w:val="22"/>
        </w:rPr>
        <w:t xml:space="preserve">4. </w:t>
      </w: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建议逐步实施方案B的优化参数。可以分阶段推出，先实施冷却机制和量价因子调整，再逐步提高信号阈值和引入趋势仓位管理。</w:t>
      </w:r>
    </w:p>
    <w:p>
      <w:pPr>
        <w:spacing w:after="200"/>
      </w:pPr>
    </w:p>
    <w:p>
      <w:pPr>
        <w:spacing w:after="200"/>
      </w:pPr>
    </w:p>
    <w:p>
      <w:pPr>
        <w:spacing w:after="120" w:line="360"/>
        <w:jc w:val="center"/>
      </w:pPr>
      <w:r>
        <w:rPr>
          <w:rFonts w:ascii="Microsoft YaHei" w:cs="Microsoft YaHei" w:eastAsia="Microsoft YaHei" w:hAnsi="Microsoft YaHei"/>
          <w:b w:val="false"/>
          <w:bCs w:val="false"/>
          <w:color w:val="999999"/>
          <w:sz w:val="22"/>
          <w:szCs w:val="22"/>
        </w:rPr>
        <w:t xml:space="preserve">—— 报告完——</w:t>
      </w:r>
    </w:p>
    <w:sectPr>
      <w:footerReference w:type="default" r:id="rId7"/>
      <w:pgSz w:w="11908" w:h="16833" w:orient="portrait"/>
      <w:pgMar w:top="1440" w:right="1800" w:bottom="1440" w:left="18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Microsoft YaHei" w:cs="Microsoft YaHei" w:eastAsia="Microsoft YaHei" w:hAnsi="Microsoft YaHei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color w:val="333333"/>
        <w:sz w:val="22"/>
        <w:szCs w:val="22"/>
      </w:rPr>
    </w:rPrDefault>
    <w:pPrDefault>
      <w:pPr>
        <w:spacing w:line="36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200" w:before="400"/>
    </w:pPr>
    <w:rPr>
      <w:rFonts w:ascii="Microsoft YaHei" w:cs="Microsoft YaHei" w:eastAsia="Microsoft YaHei" w:hAnsi="Microsoft YaHei"/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50" w:before="300"/>
    </w:pPr>
    <w:rPr>
      <w:rFonts w:ascii="Microsoft YaHei" w:cs="Microsoft YaHei" w:eastAsia="Microsoft YaHei" w:hAnsi="Microsoft YaHei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2026-06-07T17:34:43.067Z</dcterms:created>
  <dcterms:modified xsi:type="dcterms:W3CDTF">2026-06-07T17:34:43.068Z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