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B1D3A" w:val="clear"/>
            <w:tcMar>
              <w:top w:type="dxa" w:w="400"/>
              <w:left w:type="dxa" w:w="460"/>
              <w:bottom w:type="dxa" w:w="320"/>
              <w:right w:type="dxa" w:w="46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00"/>
                <w:szCs w:val="100"/>
              </w:rPr>
              <w:t xml:space="preserve">FeoSync</w:t>
            </w:r>
          </w:p>
          <w:p>
            <w:pPr>
              <w:spacing w:before="0" w:after="120"/>
            </w:pPr>
            <w:r>
              <w:rPr>
                <w:rFonts w:ascii="Calibri" w:cs="Calibri" w:eastAsia="Calibri" w:hAnsi="Calibri"/>
                <w:i/>
                <w:iCs/>
                <w:color w:val="00B4A2"/>
                <w:sz w:val="30"/>
                <w:szCs w:val="30"/>
              </w:rPr>
              <w:t xml:space="preserve">"Synchronisez votre voix digitale"</w:t>
            </w:r>
          </w:p>
          <w:p>
            <w:r>
              <w:rPr>
                <w:rFonts w:ascii="Calibri" w:cs="Calibri" w:eastAsia="Calibri" w:hAnsi="Calibri"/>
                <w:color w:val="1A3A6B"/>
                <w:sz w:val="22"/>
                <w:szCs w:val="22"/>
              </w:rPr>
              <w:t xml:space="preserve">━━━━━━━━━━━━━━━━━━━━━━━━━━━━━━━━━━━━━━━━</w:t>
            </w:r>
          </w:p>
          <w:p>
            <w:pPr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8"/>
                <w:szCs w:val="28"/>
              </w:rPr>
              <w:t xml:space="preserve">BUSINESS PLAN  ·  MADAGASCAR  ·  2025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9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8FAFC" w:val="clear"/>
            <w:tcMar>
              <w:top w:type="dxa" w:w="260"/>
              <w:left w:type="dxa" w:w="360"/>
              <w:bottom w:type="dxa" w:w="26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B1D3A"/>
                <w:sz w:val="28"/>
                <w:szCs w:val="28"/>
              </w:rPr>
              <w:t xml:space="preserve">Plateforme SaaS d'automatisation marketing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B1D3A"/>
                <w:sz w:val="28"/>
                <w:szCs w:val="28"/>
              </w:rPr>
              <w:t xml:space="preserve">pour PME malgaches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color w:val="64748B"/>
                <w:sz w:val="21"/>
                <w:szCs w:val="21"/>
              </w:rPr>
              <w:t xml:space="preserve">Facebook &amp; WhatsApp Business  ·  IA Générative (Gemini)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color w:val="64748B"/>
                <w:sz w:val="21"/>
                <w:szCs w:val="21"/>
              </w:rPr>
              <w:t xml:space="preserve">Publication automatique  ·  Analytics temps réel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30" w:after="3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00B4A2"/>
                <w:sz w:val="20"/>
                <w:szCs w:val="20"/>
              </w:rPr>
              <w:t xml:space="preserve">▸  Version 1.0  </w:t>
            </w: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· Document confidentiel · 2025</w:t>
            </w:r>
          </w:p>
        </w:tc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0B4A2" w:val="clear"/>
            <w:tcMar>
              <w:top w:type="dxa" w:w="260"/>
              <w:left w:type="dxa" w:w="280"/>
              <w:bottom w:type="dxa" w:w="260"/>
              <w:right w:type="dxa" w:w="280"/>
            </w:tcMar>
          </w:tcPr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INDICATEURS CLÉS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E0F5F3"/>
                <w:sz w:val="18"/>
                <w:szCs w:val="18"/>
              </w:rPr>
              <w:t xml:space="preserve">────────────────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4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52"/>
                <w:szCs w:val="52"/>
              </w:rPr>
              <w:t xml:space="preserve">90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clients objectif M12</w:t>
            </w:r>
          </w:p>
          <w:p>
            <w:pPr>
              <w:spacing w:before="4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4,2M Ar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color w:val="E0F5F3"/>
                <w:sz w:val="19"/>
                <w:szCs w:val="19"/>
              </w:rPr>
              <w:t xml:space="preserve">MRR estimé mois 12</w:t>
            </w:r>
          </w:p>
          <w:p>
            <w:pPr>
              <w:spacing w:before="4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32"/>
                <w:szCs w:val="32"/>
              </w:rPr>
              <w:t xml:space="preserve">Mois 10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Point d'équilibre</w:t>
            </w:r>
          </w:p>
          <w:p>
            <w:pPr>
              <w:spacing w:before="4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15M Ar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E0F5F3"/>
                <w:sz w:val="19"/>
                <w:szCs w:val="19"/>
              </w:rPr>
              <w:t xml:space="preserve">investissement initial</w:t>
            </w:r>
          </w:p>
        </w:tc>
      </w:tr>
    </w:tbl>
    <w:p>
      <w:pPr>
        <w:spacing w:before="30" w:after="30"/>
      </w:pPr>
      <w:r>
        <w:t xml:space="preserve"/>
      </w:r>
    </w:p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B1D3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01  ·  Charte Graphique FeoSync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Identité visuelle conçue pour positionner FeoSync comme la référence SaaS marketing à Madagascar : moderne, accessible, premium.</w:t>
      </w:r>
    </w:p>
    <w:p>
      <w:pPr>
        <w:spacing w:before="30" w:after="30"/>
      </w:pPr>
      <w:r>
        <w:t xml:space="preserve"/>
      </w:r>
    </w:p>
    <w:p>
      <w:pPr>
        <w:pBdr>
          <w:left w:val="single" w:color="00B4A2" w:sz="18" w:space="10"/>
        </w:pBdr>
        <w:spacing w:before="260" w:after="1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Philosophie de marque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FEO  =  « voix » en malgache — la plateforme qui amplifie la voix digitale des PME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SYNC  =  synchronisation — cohérence, régularité, automatisation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Ton de communication : professionnel mais accessible, ambitieux mais ancré localement</w:t>
      </w:r>
    </w:p>
    <w:p>
      <w:pPr>
        <w:spacing w:before="30" w:after="30"/>
      </w:pPr>
      <w:r>
        <w:t xml:space="preserve"/>
      </w:r>
    </w:p>
    <w:p>
      <w:pPr>
        <w:pBdr>
          <w:left w:val="single" w:color="00B4A2" w:sz="18" w:space="10"/>
        </w:pBdr>
        <w:spacing w:before="260" w:after="1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Palette de couleurs officielle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0"/>
        <w:gridCol w:w="2440"/>
        <w:gridCol w:w="2440"/>
        <w:gridCol w:w="244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B1D3A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jc w:val="center"/>
            </w:pPr>
          </w:p>
        </w:tc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0B4A2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jc w:val="center"/>
            </w:pPr>
          </w:p>
        </w:tc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E8A020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jc w:val="center"/>
            </w:pPr>
          </w:p>
        </w:tc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8FAFC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jc w:val="center"/>
            </w:pP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D3A"/>
                <w:sz w:val="20"/>
                <w:szCs w:val="20"/>
              </w:rPr>
              <w:t xml:space="preserve">Midnight Navy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#0B1D3A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Autorité · Confiance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6D"/>
                <w:sz w:val="20"/>
                <w:szCs w:val="20"/>
              </w:rPr>
              <w:t xml:space="preserve">Teal Jade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#00B4A2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Digital · Fraîcheur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Or Malgache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#E8A020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Premium · Chaleur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Cloud White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#F8FAFC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Espace · Clarté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left w:val="single" w:color="00B4A2" w:sz="18" w:space="10"/>
        </w:pBdr>
        <w:spacing w:before="260" w:after="1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Typographie &amp; Usage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3260"/>
        <w:gridCol w:w="3240"/>
      </w:tblGrid>
      <w:tr>
        <w:trPr>
          <w:tblHeader/>
        </w:trPr>
        <w:tc>
          <w:tcPr>
            <w:tcW w:type="dxa" w:w="32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32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Police / Style</w:t>
            </w:r>
          </w:p>
        </w:tc>
        <w:tc>
          <w:tcPr>
            <w:tcW w:type="dxa" w:w="324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Utilisation</w:t>
            </w:r>
          </w:p>
        </w:tc>
      </w:tr>
      <w:tr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Logotype "FeoSync"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Calibri Bold 48pt · Navy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En-têtes, couverture, communications</w:t>
            </w:r>
          </w:p>
        </w:tc>
      </w:tr>
      <w:tr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Tagline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Calibri Italic 18pt · Teal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Sous-titre, signature email, cartes</w:t>
            </w:r>
          </w:p>
        </w:tc>
      </w:tr>
      <w:tr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Titres de section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Calibri Bold 30pt · Navy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Rapports, présentations, dashboard</w:t>
            </w:r>
          </w:p>
        </w:tc>
      </w:tr>
      <w:tr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Corps de texte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Calibri Regular 11pt · Slate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Tous supports imprimés &amp; numériques</w:t>
            </w:r>
          </w:p>
        </w:tc>
      </w:tr>
      <w:tr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Données chiffrées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Calibri Bold · Or Malgache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KPIs, prix, métriques importantes</w:t>
            </w:r>
          </w:p>
        </w:tc>
      </w:tr>
      <w:tr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Interface utilisateur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Calibri / Inter UI · 14-16pt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Application web, dashboard client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left w:val="single" w:color="00B4A2" w:sz="18" w:space="10"/>
        </w:pBdr>
        <w:spacing w:before="260" w:after="1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Éléments graphiques &amp; Applications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4880"/>
      </w:tblGrid>
      <w:tr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D3A"/>
                <w:sz w:val="22"/>
                <w:szCs w:val="22"/>
              </w:rPr>
              <w:t xml:space="preserve">🎨  Icône &amp; Logo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Onde sonore stylisée (FEO = voix) se transformant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 cercles synchronisés (SYNC). Formes épurées,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dégradé Navy→Teal. Déclinaison icône app ronde.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5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D3A"/>
                <w:sz w:val="22"/>
                <w:szCs w:val="22"/>
              </w:rPr>
              <w:t xml:space="preserve">📐  Grille &amp; Mise en page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Mise en page structurée sur grille 12 colonnes.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Marges généreuses (40px mobile, 80px desktop).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Sections alternant Navy foncé et Cloud White.</w:t>
            </w:r>
          </w:p>
        </w:tc>
      </w:tr>
      <w:tr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D3A"/>
                <w:sz w:val="22"/>
                <w:szCs w:val="22"/>
              </w:rPr>
              <w:t xml:space="preserve">📱  Interface App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Sidebar Navy, contenu Cloud White, accents Teal.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Boutons CTA : fond Teal, survol Navy foncé.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Badges plans : Vert (Starter), Teal (Business), Or (Agency).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D3A"/>
                <w:sz w:val="22"/>
                <w:szCs w:val="22"/>
              </w:rPr>
              <w:t xml:space="preserve">🖼️  Templates Posts IA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Format 1080×1080 JPEG. Zone logo client en bas gauche.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Watermark discret "Propulsé par FeoSync" pied de page.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10 templates sectoriels inclus au lancement.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B1D3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02  ·  Résumé Exécutif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Borders>
              <w:top w:val="single" w:color="00B4A2" w:sz="8"/>
              <w:left w:val="single" w:color="00B4A2" w:sz="8"/>
              <w:bottom w:val="single" w:color="00B4A2" w:sz="2"/>
              <w:right w:val="single" w:color="00B4A2" w:sz="2"/>
            </w:tcBorders>
            <w:shd w:fill="E0F5F3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1D3A"/>
                <w:sz w:val="23"/>
                <w:szCs w:val="23"/>
              </w:rPr>
              <w:t xml:space="preserve">FeoSync: plateforme SaaS qui automatise la presence digitale PME sur Facebook et WhatsApp Business. IA generative Gemini 2.0 Flash + scheduleur cron + analytics temps reel = publication 7j/7 sans intervention humaine.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left w:val="single" w:color="00B4A2" w:sz="18" w:space="10"/>
        </w:pBdr>
        <w:spacing w:before="260" w:after="1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Proposition de valeur unique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3260"/>
        <w:gridCol w:w="3240"/>
      </w:tblGrid>
      <w:tr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0B1D3A"/>
                <w:sz w:val="22"/>
                <w:szCs w:val="22"/>
              </w:rPr>
              <w:t xml:space="preserve">⚡  Automatisation totale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Publication 7j/7 via règles cron configurables. Zéro intervention manuelle après setup initial.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5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0B1D3A"/>
                <w:sz w:val="22"/>
                <w:szCs w:val="22"/>
              </w:rPr>
              <w:t xml:space="preserve">🤖  IA Made for Madagascar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Gemini 2.0 Flash génère visuels + légendes adaptés au contexte culturel et sectoriel malgache.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0B1D3A"/>
                <w:sz w:val="22"/>
                <w:szCs w:val="22"/>
              </w:rPr>
              <w:t xml:space="preserve">📊  Analytics actionnable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Dashboard temps réel, rapports hebdomadaires automatiques, heatmaps des meilleurs horaires.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left w:val="single" w:color="00B4A2" w:sz="18" w:space="10"/>
        </w:pBdr>
        <w:spacing w:before="260" w:after="1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Chiffres clés du projet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3260"/>
        <w:gridCol w:w="3240"/>
      </w:tblGrid>
      <w:tr>
        <w:trPr>
          <w:tblHeader/>
        </w:trPr>
        <w:tc>
          <w:tcPr>
            <w:tcW w:type="dxa" w:w="32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Tarification</w:t>
            </w:r>
          </w:p>
        </w:tc>
        <w:tc>
          <w:tcPr>
            <w:tcW w:type="dxa" w:w="32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24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Rentabilité</w:t>
            </w:r>
          </w:p>
        </w:tc>
      </w:tr>
      <w:tr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Starter : 29 149 Ar/mois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VPS Hetzner : 12 EUR/mois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Break-even : mois 10</w:t>
            </w:r>
          </w:p>
        </w:tc>
      </w:tr>
      <w:tr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Business : 59 149 Ar/mois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Coût IA : ~0,77 USD/100 clients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MRR M12 : ~4,2M Ar</w:t>
            </w:r>
          </w:p>
        </w:tc>
      </w:tr>
      <w:tr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Agency : 89 149 Ar/mois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Marge brute &gt;90% à 90+ clients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Investissement : 15M Ar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B1D3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03  ·  Analyse du Marché — Madagascar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left w:val="single" w:color="00B4A2" w:sz="18" w:space="10"/>
        </w:pBdr>
        <w:spacing w:before="260" w:after="1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Contexte digital malgache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0"/>
        <w:gridCol w:w="2440"/>
        <w:gridCol w:w="2440"/>
        <w:gridCol w:w="2440"/>
      </w:tblGrid>
      <w:tr>
        <w:tc>
          <w:tcPr>
            <w:tcW w:type="dxa" w:w="2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00B4A2"/>
                <w:sz w:val="32"/>
                <w:szCs w:val="32"/>
              </w:rPr>
              <w:t xml:space="preserve">10M+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utilisateurs Facebook à Madagascar</w:t>
            </w:r>
          </w:p>
        </w:tc>
        <w:tc>
          <w:tcPr>
            <w:tcW w:type="dxa" w:w="2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5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00B4A2"/>
                <w:sz w:val="32"/>
                <w:szCs w:val="32"/>
              </w:rPr>
              <w:t xml:space="preserve">68%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trafic internet via mobile uniquement</w:t>
            </w:r>
          </w:p>
        </w:tc>
        <w:tc>
          <w:tcPr>
            <w:tcW w:type="dxa" w:w="2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00B4A2"/>
                <w:sz w:val="32"/>
                <w:szCs w:val="32"/>
              </w:rPr>
              <w:t xml:space="preserve">15 000+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PME actives sur les réseaux sociaux</w:t>
            </w:r>
          </w:p>
        </w:tc>
        <w:tc>
          <w:tcPr>
            <w:tcW w:type="dxa" w:w="2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32"/>
                <w:szCs w:val="32"/>
              </w:rPr>
              <w:t xml:space="preserve">0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concurrent local direct identifié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left w:val="single" w:color="00B4A2" w:sz="18" w:space="10"/>
        </w:pBdr>
        <w:spacing w:before="260" w:after="1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Segments cibles prioritaires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800"/>
        <w:gridCol w:w="1880"/>
        <w:gridCol w:w="1880"/>
      </w:tblGrid>
      <w:tr>
        <w:trPr>
          <w:tblHeader/>
        </w:trPr>
        <w:tc>
          <w:tcPr>
            <w:tcW w:type="dxa" w:w="2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Volume estimé</w:t>
            </w:r>
          </w:p>
        </w:tc>
        <w:tc>
          <w:tcPr>
            <w:tcW w:type="dxa" w:w="1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 recommandé</w:t>
            </w:r>
          </w:p>
        </w:tc>
        <w:tc>
          <w:tcPr>
            <w:tcW w:type="dxa" w:w="188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Douleur principale</w:t>
            </w:r>
          </w:p>
        </w:tc>
        <w:tc>
          <w:tcPr>
            <w:tcW w:type="dxa" w:w="188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Potentiel MRR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Restaurants &amp; Fast-food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~2 000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🔵 Business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Menus quotidiens à publier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~118M Ar/an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Commerces &amp; Boutiques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~4 000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🟢 Starter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Irrégularité des posts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~70M Ar/an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Hôtels &amp; Tourisme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~800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🔵 Business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Contenus multilingues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~57M Ar/an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Agences communication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~150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🟡 Agency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Gestion multi-clients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~16M Ar/an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Cliniques &amp; Médecins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~500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🔵 Business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Image professionnelle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~36M Ar/an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Auto-entrepreneurs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~3 000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🟢 Starter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Manque de temps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~105M Ar/an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left w:val="single" w:color="00B4A2" w:sz="18" w:space="10"/>
        </w:pBdr>
        <w:spacing w:before="260" w:after="1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Positionnement concurrentiel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280"/>
        <w:gridCol w:w="1880"/>
      </w:tblGrid>
      <w:tr>
        <w:trPr>
          <w:tblHeader/>
        </w:trPr>
        <w:tc>
          <w:tcPr>
            <w:tcW w:type="dxa" w:w="2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2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Prix mensuel</w:t>
            </w:r>
          </w:p>
        </w:tc>
        <w:tc>
          <w:tcPr>
            <w:tcW w:type="dxa" w:w="228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Adapté Madagascar</w:t>
            </w:r>
          </w:p>
        </w:tc>
        <w:tc>
          <w:tcPr>
            <w:tcW w:type="dxa" w:w="188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FeoSync (Starter)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29 149 Ar (~6,5 EUR)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 Oui — Ariary, FR/MG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🚀 Nouveau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Buffer (Free)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 — limité 3 canaux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⚠️ Partiel — anglais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🌍 International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Hootsuite (Pro)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~49 USD (~222k Ar)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❌ Non — trop cher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🌍 International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Gestion manuelle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 (mais 1-2h/jour)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 Oui — mais épuisant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📉 Statu quo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Agence externe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300 000–1M Ar/mois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 Oui — trop coûteux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💸 Hors budget PME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B1D3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04  ·  Analyse SWOT — FeoSync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Analyse stratégique approfondie dans le contexte spécifique du marché numérique malgache — 2025</w:t>
      </w:r>
    </w:p>
    <w:p>
      <w:pPr>
        <w:spacing w:before="30" w:after="3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488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5966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  ·  FORCES  (Strengths)</w:t>
            </w:r>
          </w:p>
        </w:tc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07A6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O  ·  OPPORTUNITÉS  (Opportunities)</w:t>
            </w:r>
          </w:p>
        </w:tc>
      </w:tr>
      <w:tr>
        <w:tc>
          <w:tcPr>
            <w:tcBorders>
              <w:top w:val="single" w:color="059669" w:sz="4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Aucun concurrent direct sur le marché local malgache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Coût infrastructure ultra-faible : 12 EUR/mois pour 300+ clients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Marge brute opérationnelle de +90% dès 90 clients actifs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IA Gemini 2.0 Flash — 15x moins chère que DALL-E 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Stack technique moderne &amp; scalable V1→V4 documentée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Tarification en Ariary — frictions zéro pour les PME locales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Revenus SaaS récurrents = cash-flow prévisible et stable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Équipe technique complète (Python/TypeScript/Java)</w:t>
            </w:r>
          </w:p>
        </w:tc>
        <w:tc>
          <w:tcPr>
            <w:tcBorders>
              <w:top w:val="single" w:color="007A6D" w:sz="4"/>
              <w:left w:val="single" w:color="CBD5E1" w:sz="1"/>
              <w:bottom w:val="single" w:color="CBD5E1" w:sz="1"/>
              <w:right w:val="single" w:color="CBD5E1" w:sz="1"/>
            </w:tcBorders>
            <w:shd w:fill="E0F5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Explosion PME sur Facebook à Madagascar (+40%/an)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WhatsApp Business très utilisé dans le commerce local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Digitisation accélérée post-COVID : e-commerce, livraison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Tourisme en reprise : 200 000+ visiteurs/an — contenu clé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Expansion régionale : Comores, Réunion, Mayotte, Maurice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Partenariats potentiels : incubateurs FIARO, GEM, CCI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Meta Business Suite de plus en plus complexe → sous-traitance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Croissance TikTok &amp; Instagram — extension naturelle en V2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DC26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W  ·  FAIBLESSES  (Weaknesses)</w:t>
            </w:r>
          </w:p>
        </w:tc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D9770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T  ·  MENACES  (Threats)</w:t>
            </w:r>
          </w:p>
        </w:tc>
      </w:tr>
      <w:tr>
        <w:tc>
          <w:tcPr>
            <w:tcBorders>
              <w:top w:val="single" w:color="DC2626" w:sz="4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Notoriété nulle au démarrage — acquisition difficile M1-M2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Dépendance à l'API Meta (restrictions fréquentes)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Nécessité d'une Meta App Review avant usage commercial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Équipe de 2 développeurs seulement en V1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Connectivité internet instable en province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Résistance culturelle à la digitalisation dans certains secteurs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Churn potentiellement élevé si ROI non démontré rapidement</w:t>
            </w:r>
          </w:p>
        </w:tc>
        <w:tc>
          <w:tcPr>
            <w:tcBorders>
              <w:top w:val="single" w:color="D97706" w:sz="4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Changements politiques API Meta/WhatsApp sans préavis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Entrée de concurrents régionaux (Maurice, Afrique du Sud)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Fluctuations EUR/Ariary impactant les coûts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Instabilité politique ou économique à Madagascar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Évolution des algorithmes Facebook réduisant la portée organique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Copie du produit par des acteurs locaux moins structurés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Dépréciation de l'accès WhatsApp Business API (coûts Meta)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left w:val="single" w:color="00B4A2" w:sz="18" w:space="10"/>
        </w:pBdr>
        <w:spacing w:before="260" w:after="1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Stratégies issues de la matrice SWOT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0"/>
        <w:gridCol w:w="3660"/>
        <w:gridCol w:w="3660"/>
      </w:tblGrid>
      <w:tr>
        <w:trPr>
          <w:tblHeader/>
        </w:trPr>
        <w:tc>
          <w:tcPr>
            <w:tcW w:type="dxa" w:w="244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Quadrant</w:t>
            </w:r>
          </w:p>
        </w:tc>
        <w:tc>
          <w:tcPr>
            <w:tcW w:type="dxa" w:w="36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Levier stratégique</w:t>
            </w:r>
          </w:p>
        </w:tc>
        <w:tc>
          <w:tcPr>
            <w:tcW w:type="dxa" w:w="36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Actions prioritaires</w:t>
            </w:r>
          </w:p>
        </w:tc>
      </w:tr>
      <w:tr>
        <w:tc>
          <w:tcPr>
            <w:tcW w:type="dxa" w:w="2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 × O — Offensive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S'imposer avant les concurrents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Lancement agressif T1 · Cibler les agences (effet levier) · Construire la référence marché dès M3</w:t>
            </w:r>
          </w:p>
        </w:tc>
      </w:tr>
      <w:tr>
        <w:tc>
          <w:tcPr>
            <w:tcW w:type="dxa" w:w="2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 × T — Défensive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Réduire la dépendance Meta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Architecture multi-plateforme V2 · Veille API hebdomadaire · Fonds de trésorerie sécurité 3 mois</w:t>
            </w:r>
          </w:p>
        </w:tc>
      </w:tr>
      <w:tr>
        <w:tc>
          <w:tcPr>
            <w:tcW w:type="dxa" w:w="2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 × O — Développement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Prouver le ROI rapidement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Période essai 14 jours gratuits · Cas clients concrets · Onboarding guidé en malgache/français</w:t>
            </w:r>
          </w:p>
        </w:tc>
      </w:tr>
      <w:tr>
        <w:tc>
          <w:tcPr>
            <w:tcW w:type="dxa" w:w="2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 × T — Survie/Pivot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Sécuriser l'activité cœur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Diversifier vers TikTok/Instagram · Contrats annuels prépayés · SLA documentés pour grandes agences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B1D3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05  ·  Modèle de Revenus &amp; Plans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left w:val="single" w:color="00B4A2" w:sz="18" w:space="10"/>
        </w:pBdr>
        <w:spacing w:before="260" w:after="1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Plans d'abonnement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80"/>
        <w:gridCol w:w="3280"/>
      </w:tblGrid>
      <w:tr>
        <w:tc>
          <w:tcPr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4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8"/>
                <w:szCs w:val="28"/>
              </w:rPr>
              <w:t xml:space="preserve">STARTER</w:t>
            </w:r>
          </w:p>
          <w:p>
            <w:pPr>
              <w:spacing w:before="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D3A"/>
                <w:sz w:val="64"/>
                <w:szCs w:val="64"/>
              </w:rPr>
              <w:t xml:space="preserve">29 149</w:t>
            </w:r>
          </w:p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Ariary / mois  (~6,5 EUR)</w:t>
            </w:r>
          </w:p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9"/>
                <w:szCs w:val="19"/>
              </w:rPr>
              <w:t xml:space="preserve">Auto-entrepreneurs · Petits commerces</w:t>
            </w:r>
          </w:p>
        </w:tc>
        <w:tc>
          <w:tcPr>
            <w:tcBorders>
              <w:top w:val="single" w:color="00B4A2" w:sz="2"/>
              <w:left w:val="single" w:color="00B4A2" w:sz="2"/>
              <w:bottom w:val="single" w:color="00B4A2" w:sz="2"/>
              <w:right w:val="single" w:color="00B4A2" w:sz="2"/>
            </w:tcBorders>
            <w:shd w:fill="E0F5F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4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6D"/>
                <w:sz w:val="28"/>
                <w:szCs w:val="28"/>
              </w:rPr>
              <w:t xml:space="preserve">BUSINESS</w:t>
            </w:r>
          </w:p>
          <w:p>
            <w:pPr>
              <w:spacing w:before="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D3A"/>
                <w:sz w:val="64"/>
                <w:szCs w:val="64"/>
              </w:rPr>
              <w:t xml:space="preserve">59 149</w:t>
            </w:r>
          </w:p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Ariary / mois  (~13,1 EUR)</w:t>
            </w:r>
          </w:p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9"/>
                <w:szCs w:val="19"/>
              </w:rPr>
              <w:t xml:space="preserve">Restaurants · PME · Hôtels</w:t>
            </w:r>
          </w:p>
        </w:tc>
        <w:tc>
          <w:tcPr>
            <w:tcBorders>
              <w:top w:val="single" w:color="E8A020" w:sz="4"/>
              <w:left w:val="single" w:color="E8A020" w:sz="2"/>
              <w:bottom w:val="single" w:color="E8A020" w:sz="2"/>
              <w:right w:val="single" w:color="E8A020" w:sz="2"/>
            </w:tcBorders>
            <w:shd w:fill="FEF9E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4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8"/>
                <w:szCs w:val="28"/>
              </w:rPr>
              <w:t xml:space="preserve">AGENCY</w:t>
            </w:r>
          </w:p>
          <w:p>
            <w:pPr>
              <w:spacing w:before="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D3A"/>
                <w:sz w:val="64"/>
                <w:szCs w:val="64"/>
              </w:rPr>
              <w:t xml:space="preserve">89 149</w:t>
            </w:r>
          </w:p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Ariary / mois  (~19,8 EUR)</w:t>
            </w:r>
          </w:p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9"/>
                <w:szCs w:val="19"/>
              </w:rPr>
              <w:t xml:space="preserve">Agences · Multi-clients · Enterprise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120"/>
        <w:gridCol w:w="2120"/>
        <w:gridCol w:w="2120"/>
      </w:tblGrid>
      <w:tr>
        <w:trPr>
          <w:tblHeader/>
        </w:trPr>
        <w:tc>
          <w:tcPr>
            <w:tcW w:type="dxa" w:w="3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Fonctionnalité incluse</w:t>
            </w:r>
          </w:p>
        </w:tc>
        <w:tc>
          <w:tcPr>
            <w:tcW w:type="dxa" w:w="212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🟢 Starter</w:t>
            </w:r>
          </w:p>
        </w:tc>
        <w:tc>
          <w:tcPr>
            <w:tcW w:type="dxa" w:w="212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🔵 Business</w:t>
            </w:r>
          </w:p>
        </w:tc>
        <w:tc>
          <w:tcPr>
            <w:tcW w:type="dxa" w:w="212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🟡 Agency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Pages Facebook gérées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 pages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 pages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Illimité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Posts programmés / mois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30 posts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100 posts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Illimité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Générations IA / mois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 générations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50 générations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200 générations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✔  Inclus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✔  Inclus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Analytics avancés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✔  Inclus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✔  Inclus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Rapports email automatiques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✔  Inclus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✔  Inclus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Mode B — prompt libre IA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✔  Inclus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✔  Inclus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Templates graphiques custom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✔  Inclus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Support client prioritaire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✔  Inclus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Gestion multi-clients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✔  Inclus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left w:val="single" w:color="00B4A2" w:sz="18" w:space="10"/>
        </w:pBdr>
        <w:spacing w:before="260" w:after="1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Revenus complémentaires (upsell)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80"/>
        <w:gridCol w:w="3280"/>
      </w:tblGrid>
      <w:tr>
        <w:trPr>
          <w:tblHeader/>
        </w:trPr>
        <w:tc>
          <w:tcPr>
            <w:tcW w:type="dxa" w:w="3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8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Prix unitaire</w:t>
            </w:r>
          </w:p>
        </w:tc>
        <w:tc>
          <w:tcPr>
            <w:tcW w:type="dxa" w:w="328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Potentiel mensuel (M12)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Crédits IA additionnels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5 000 Ar / 20 générations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~100 000 Ar/mois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Templates premium sectoriels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10 000–25 000 Ar/pack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~80 000 Ar/mois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Formation &amp; onboarding perso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50 000 Ar / session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~100 000 Ar/mois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Parrainage (commissions agences)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15% du 1er mois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~50 000 Ar/mois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B1D3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06  ·  Investissement Nécessaire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L'investissement couvre le développement complet (10 semaines · 5 sprints), le lancement commercial et la montée en charge jusqu'au point d'équilibre au mois 10.</w:t>
      </w:r>
    </w:p>
    <w:p>
      <w:pPr>
        <w:spacing w:before="30" w:after="30"/>
      </w:pPr>
      <w:r>
        <w:t xml:space="preserve"/>
      </w:r>
    </w:p>
    <w:p>
      <w:pPr>
        <w:pBdr>
          <w:left w:val="single" w:color="00B4A2" w:sz="18" w:space="10"/>
        </w:pBdr>
        <w:spacing w:before="260" w:after="1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Répartition de l'investissement initial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400"/>
        <w:gridCol w:w="2360"/>
      </w:tblGrid>
      <w:tr>
        <w:trPr>
          <w:tblHeader/>
        </w:trPr>
        <w:tc>
          <w:tcPr>
            <w:tcW w:type="dxa" w:w="5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Poste de dépense</w:t>
            </w:r>
          </w:p>
        </w:tc>
        <w:tc>
          <w:tcPr>
            <w:tcW w:type="dxa" w:w="2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Montant (Ariary)</w:t>
            </w:r>
          </w:p>
        </w:tc>
        <w:tc>
          <w:tcPr>
            <w:tcW w:type="dxa" w:w="23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Équivalent EUR</w:t>
            </w:r>
          </w:p>
        </w:tc>
      </w:tr>
      <w:tr>
        <w:tc>
          <w:tcPr>
            <w:gridSpan w:val="3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B4A2"/>
                <w:sz w:val="22"/>
                <w:szCs w:val="22"/>
              </w:rPr>
              <w:t xml:space="preserve">PHASE 1 — Développement · M1–M2  (10 semaines · 5 sprints)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Dev A + Dev B — salaires × 2 mois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4 000 000 Ar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~888 EUR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VPS Hetzner CX31 × 2 mois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140 000 Ar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~31 EUR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Enregistrement société &amp; statuts légaux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300 000 Ar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~67 EUR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Nom de domaine feosync.mg + SSL (1 an)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80 000 Ar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~18 EUR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Comptes développeurs Meta + Google AI Studio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60 000 Ar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~13 EUR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Licences outils dev &amp; design (Figma, etc.)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120 000 Ar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~27 EUR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Conception identité visuelle &amp; templates graphiques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300 000 Ar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~67 EUR</w:t>
            </w:r>
          </w:p>
        </w:tc>
      </w:tr>
      <w:tr>
        <w:tc>
          <w:tcPr>
            <w:gridSpan w:val="3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B4A2"/>
                <w:sz w:val="22"/>
                <w:szCs w:val="22"/>
              </w:rPr>
              <w:t xml:space="preserve">PHASE 2 — Lancement &amp; Croissance · M3–M6  (objectif : 28 clients)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Dev A + Dev B — salaires × 4 mois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8 000 000 Ar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~1 778 EUR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Marketing digital — Facebook Ads × 4 mois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1 600 000 Ar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~355 EUR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Infrastructure VPS + IA × 4 mois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320 000 Ar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~71 EUR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Supports marketing (flyers, démo vidéo, pitch deck)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200 000 Ar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~44 EUR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Divers &amp; imprévus × 6 mois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600 000 Ar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~133 EUR</w:t>
            </w:r>
          </w:p>
        </w:tc>
      </w:tr>
      <w:tr>
        <w:tc>
          <w:tcPr>
            <w:gridSpan w:val="3"/>
            <w:tcBorders>
              <w:top w:val="single" w:color="007A6D" w:sz="1"/>
              <w:left w:val="single" w:color="007A6D" w:sz="1"/>
              <w:bottom w:val="single" w:color="007A6D" w:sz="1"/>
              <w:right w:val="single" w:color="007A6D" w:sz="1"/>
            </w:tcBorders>
            <w:shd w:fill="E0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6D"/>
                <w:sz w:val="22"/>
                <w:szCs w:val="22"/>
              </w:rPr>
              <w:t xml:space="preserve">RÉSERVE DE TRÉSORERIE (fonds de roulement · 3 mois de sécurité)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Couverture 3 mois de charges fixes en cas d'aléa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2 280 000 Ar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~506 EUR</w:t>
            </w:r>
          </w:p>
        </w:tc>
      </w:tr>
      <w:tr>
        <w:tc>
          <w:tcPr>
            <w:tcBorders>
              <w:top w:val="single" w:color="0B1D3A" w:sz="2"/>
              <w:left w:val="single" w:color="0B1D3A" w:sz="2"/>
              <w:bottom w:val="single" w:color="0B1D3A" w:sz="2"/>
              <w:right w:val="single" w:color="0B1D3A" w:sz="2"/>
            </w:tcBorders>
            <w:shd w:fill="0B1D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TOTAL INVESTISSEMENT</w:t>
            </w:r>
          </w:p>
        </w:tc>
        <w:tc>
          <w:tcPr>
            <w:tcBorders>
              <w:top w:val="single" w:color="0B1D3A" w:sz="2"/>
              <w:left w:val="single" w:color="0B1D3A" w:sz="2"/>
              <w:bottom w:val="single" w:color="0B1D3A" w:sz="2"/>
              <w:right w:val="single" w:color="0B1D3A" w:sz="2"/>
            </w:tcBorders>
            <w:shd w:fill="E8A0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D3A"/>
                <w:sz w:val="26"/>
                <w:szCs w:val="26"/>
              </w:rPr>
              <w:t xml:space="preserve">18 000 000 Ar</w:t>
            </w:r>
          </w:p>
        </w:tc>
        <w:tc>
          <w:tcPr>
            <w:tcBorders>
              <w:top w:val="single" w:color="0B1D3A" w:sz="2"/>
              <w:left w:val="single" w:color="0B1D3A" w:sz="2"/>
              <w:bottom w:val="single" w:color="0B1D3A" w:sz="2"/>
              <w:right w:val="single" w:color="0B1D3A" w:sz="2"/>
            </w:tcBorders>
            <w:shd w:fill="E8A0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D3A"/>
                <w:sz w:val="26"/>
                <w:szCs w:val="26"/>
              </w:rPr>
              <w:t xml:space="preserve">~4 000 EUR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left w:val="single" w:color="00B4A2" w:sz="18" w:space="10"/>
        </w:pBdr>
        <w:spacing w:before="260" w:after="1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Allocation des fonds (%)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960"/>
        <w:gridCol w:w="1960"/>
        <w:gridCol w:w="1960"/>
        <w:gridCol w:w="1960"/>
      </w:tblGrid>
      <w:tr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00B4A2"/>
                <w:sz w:val="28"/>
                <w:szCs w:val="28"/>
              </w:rPr>
              <w:t xml:space="preserve">66,7 %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Salaires équipe
(12 mois)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5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00B4A2"/>
                <w:sz w:val="28"/>
                <w:szCs w:val="28"/>
              </w:rPr>
              <w:t xml:space="preserve">8,9 %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Marketing
&amp; acquisition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00B4A2"/>
                <w:sz w:val="28"/>
                <w:szCs w:val="28"/>
              </w:rPr>
              <w:t xml:space="preserve">7,6 %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Infrastructure
&amp; outils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00B4A2"/>
                <w:sz w:val="28"/>
                <w:szCs w:val="28"/>
              </w:rPr>
              <w:t xml:space="preserve">4,2 %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Juridique
&amp; administratif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8"/>
                <w:szCs w:val="28"/>
              </w:rPr>
              <w:t xml:space="preserve">12,6 %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Réserve
trésorerie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left w:val="single" w:color="00B4A2" w:sz="18" w:space="10"/>
        </w:pBdr>
        <w:spacing w:before="260" w:after="1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Retour sur investissement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Les revenus récurrents démarrent dès le mois 3 avec les premiers clients beta payants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Le capital investi est récupéré progressivement entre le mois 10 et le mois 15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À 150 clients (horizon M18) : MRR ~6,5M Ar · charges ~2,4M Ar → bénéfice net ~4,1M Ar/mois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ROI total sur 24 mois : ×3,2 le capital initial investi (hypothèse conservatrice)</w:t>
      </w:r>
    </w:p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B1D3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07  ·  Bilan Financier — Mois 1 à Mois 12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left w:val="single" w:color="00B4A2" w:sz="18" w:space="10"/>
        </w:pBdr>
        <w:spacing w:before="260" w:after="1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7.1 Hypothèses financières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4880"/>
      </w:tblGrid>
      <w:tr>
        <w:trPr>
          <w:tblHeader/>
        </w:trPr>
        <w:tc>
          <w:tcPr>
            <w:tcW w:type="dxa" w:w="488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488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 retenue</w:t>
            </w:r>
          </w:p>
        </w:tc>
      </w:tr>
      <w:tr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Salaire Dev A (mensuel)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1 000 000 Ar (~222 EUR)</w:t>
            </w:r>
          </w:p>
        </w:tc>
      </w:tr>
      <w:tr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Salaire Dev B (mensuel)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1 000 000 Ar (~222 EUR)</w:t>
            </w:r>
          </w:p>
        </w:tc>
      </w:tr>
      <w:tr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Infrastructure : VPS + IA + email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80 000 Ar/mois (~18 EUR)</w:t>
            </w:r>
          </w:p>
        </w:tc>
      </w:tr>
      <w:tr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Budget marketing M1–M2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600 000 Ar/mois</w:t>
            </w:r>
          </w:p>
        </w:tc>
      </w:tr>
      <w:tr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Budget marketing M3–M6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350 000–450 000 Ar/mois</w:t>
            </w:r>
          </w:p>
        </w:tc>
      </w:tr>
      <w:tr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Budget marketing M7–M12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200 000–250 000 Ar/mois</w:t>
            </w:r>
          </w:p>
        </w:tc>
      </w:tr>
      <w:tr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Divers (compta, abonnements, frais)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100 000 Ar/mois</w:t>
            </w:r>
          </w:p>
        </w:tc>
      </w:tr>
      <w:tr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Taux de churn mensuel estimé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~5% (diminue avec l'adoption)</w:t>
            </w:r>
          </w:p>
        </w:tc>
      </w:tr>
      <w:tr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Mix clients cible M12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53% Starter · 33% Business · 13% Agency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left w:val="single" w:color="00B4A2" w:sz="18" w:space="10"/>
        </w:pBdr>
        <w:spacing w:before="260" w:after="1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7.2 Évolution du portefeuille clients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</w:tblGrid>
      <w:tr>
        <w:trPr>
          <w:tblHeader/>
        </w:trPr>
        <w:tc>
          <w:tcPr>
            <w:tcW w:type="dxa" w:w="8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42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M1</w:t>
            </w:r>
          </w:p>
        </w:tc>
        <w:tc>
          <w:tcPr>
            <w:tcW w:type="dxa" w:w="742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M2</w:t>
            </w:r>
          </w:p>
        </w:tc>
        <w:tc>
          <w:tcPr>
            <w:tcW w:type="dxa" w:w="742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M3</w:t>
            </w:r>
          </w:p>
        </w:tc>
        <w:tc>
          <w:tcPr>
            <w:tcW w:type="dxa" w:w="742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M4</w:t>
            </w:r>
          </w:p>
        </w:tc>
        <w:tc>
          <w:tcPr>
            <w:tcW w:type="dxa" w:w="742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M5</w:t>
            </w:r>
          </w:p>
        </w:tc>
        <w:tc>
          <w:tcPr>
            <w:tcW w:type="dxa" w:w="742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M6</w:t>
            </w:r>
          </w:p>
        </w:tc>
        <w:tc>
          <w:tcPr>
            <w:tcW w:type="dxa" w:w="742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M7</w:t>
            </w:r>
          </w:p>
        </w:tc>
        <w:tc>
          <w:tcPr>
            <w:tcW w:type="dxa" w:w="742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M8</w:t>
            </w:r>
          </w:p>
        </w:tc>
        <w:tc>
          <w:tcPr>
            <w:tcW w:type="dxa" w:w="742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M9</w:t>
            </w:r>
          </w:p>
        </w:tc>
        <w:tc>
          <w:tcPr>
            <w:tcW w:type="dxa" w:w="742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M10</w:t>
            </w:r>
          </w:p>
        </w:tc>
        <w:tc>
          <w:tcPr>
            <w:tcW w:type="dxa" w:w="742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M11</w:t>
            </w:r>
          </w:p>
        </w:tc>
        <w:tc>
          <w:tcPr>
            <w:tcW w:type="dxa" w:w="742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M12</w:t>
            </w:r>
          </w:p>
        </w:tc>
      </w:tr>
      <w:tr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12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16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21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27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33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40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48</w:t>
            </w:r>
          </w:p>
        </w:tc>
      </w:tr>
      <w:tr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7A6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Business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5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5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5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5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5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5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5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5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12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5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16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5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20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5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25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5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Agency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D3A"/>
                <w:sz w:val="19"/>
                <w:szCs w:val="19"/>
              </w:rPr>
              <w:t xml:space="preserve">0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D3A"/>
                <w:sz w:val="19"/>
                <w:szCs w:val="19"/>
              </w:rPr>
              <w:t xml:space="preserve">0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D3A"/>
                <w:sz w:val="19"/>
                <w:szCs w:val="19"/>
              </w:rPr>
              <w:t xml:space="preserve">3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D3A"/>
                <w:sz w:val="19"/>
                <w:szCs w:val="19"/>
              </w:rPr>
              <w:t xml:space="preserve">8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D3A"/>
                <w:sz w:val="19"/>
                <w:szCs w:val="19"/>
              </w:rPr>
              <w:t xml:space="preserve">14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D3A"/>
                <w:sz w:val="19"/>
                <w:szCs w:val="19"/>
              </w:rPr>
              <w:t xml:space="preserve">21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D3A"/>
                <w:sz w:val="19"/>
                <w:szCs w:val="19"/>
              </w:rPr>
              <w:t xml:space="preserve">29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D3A"/>
                <w:sz w:val="19"/>
                <w:szCs w:val="19"/>
              </w:rPr>
              <w:t xml:space="preserve">38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D3A"/>
                <w:sz w:val="19"/>
                <w:szCs w:val="19"/>
              </w:rPr>
              <w:t xml:space="preserve">49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D3A"/>
                <w:sz w:val="19"/>
                <w:szCs w:val="19"/>
              </w:rPr>
              <w:t xml:space="preserve">61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D3A"/>
                <w:sz w:val="19"/>
                <w:szCs w:val="19"/>
              </w:rPr>
              <w:t xml:space="preserve">75</w:t>
            </w:r>
          </w:p>
        </w:tc>
        <w:tc>
          <w:tcPr>
            <w:tcW w:type="dxa" w:w="7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D3A"/>
                <w:sz w:val="19"/>
                <w:szCs w:val="19"/>
              </w:rPr>
              <w:t xml:space="preserve">90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left w:val="single" w:color="00B4A2" w:sz="18" w:space="10"/>
        </w:pBdr>
        <w:spacing w:before="260" w:after="1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7.3 Compte de résultat prévisionnel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</w:tblGrid>
      <w:tr>
        <w:trPr>
          <w:tblHeader/>
        </w:trPr>
        <w:tc>
          <w:tcPr>
            <w:tcW w:type="dxa" w:w="1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Ligne</w:t>
            </w:r>
          </w:p>
        </w:tc>
        <w:tc>
          <w:tcPr>
            <w:tcW w:type="dxa" w:w="715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M1</w:t>
            </w:r>
          </w:p>
        </w:tc>
        <w:tc>
          <w:tcPr>
            <w:tcW w:type="dxa" w:w="715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M2</w:t>
            </w:r>
          </w:p>
        </w:tc>
        <w:tc>
          <w:tcPr>
            <w:tcW w:type="dxa" w:w="715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M3</w:t>
            </w:r>
          </w:p>
        </w:tc>
        <w:tc>
          <w:tcPr>
            <w:tcW w:type="dxa" w:w="715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M4</w:t>
            </w:r>
          </w:p>
        </w:tc>
        <w:tc>
          <w:tcPr>
            <w:tcW w:type="dxa" w:w="715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M5</w:t>
            </w:r>
          </w:p>
        </w:tc>
        <w:tc>
          <w:tcPr>
            <w:tcW w:type="dxa" w:w="715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M6</w:t>
            </w:r>
          </w:p>
        </w:tc>
        <w:tc>
          <w:tcPr>
            <w:tcW w:type="dxa" w:w="715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M7</w:t>
            </w:r>
          </w:p>
        </w:tc>
        <w:tc>
          <w:tcPr>
            <w:tcW w:type="dxa" w:w="715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M8</w:t>
            </w:r>
          </w:p>
        </w:tc>
        <w:tc>
          <w:tcPr>
            <w:tcW w:type="dxa" w:w="715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M9</w:t>
            </w:r>
          </w:p>
        </w:tc>
        <w:tc>
          <w:tcPr>
            <w:tcW w:type="dxa" w:w="715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M10</w:t>
            </w:r>
          </w:p>
        </w:tc>
        <w:tc>
          <w:tcPr>
            <w:tcW w:type="dxa" w:w="715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M11</w:t>
            </w:r>
          </w:p>
        </w:tc>
        <w:tc>
          <w:tcPr>
            <w:tcW w:type="dxa" w:w="715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M12</w:t>
            </w:r>
          </w:p>
        </w:tc>
      </w:tr>
      <w:tr>
        <w:tc>
          <w:tcPr>
            <w:gridSpan w:val="13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REVENUS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 Total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117k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353k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648k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972k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1355k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1768k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2268k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2858k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3536k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4243k</w:t>
            </w:r>
          </w:p>
        </w:tc>
      </w:tr>
      <w:tr>
        <w:tc>
          <w:tcPr>
            <w:gridSpan w:val="13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CHARGES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Salaires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2 000k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2 000k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2 000k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2 000k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2 000k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2 000k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2 000k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2 000k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2 000k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2 000k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2 000k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2 000k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Infra+IA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80k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80k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80k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80k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80k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80k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80k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80k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80k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80k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80k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80k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Marketing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600k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600k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450k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450k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350k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350k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250k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250k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250k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200k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200k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200k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Divers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100k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100k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100k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100k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100k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100k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100k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100k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100k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100k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100k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100k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Σ Charges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2780k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2780k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2630k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2630k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2530k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2530k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2430k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2430k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2430k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2380k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2380k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2380k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RÉSULTAT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-2780 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-2780 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-2513 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-2277 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-1882 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-1558 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-1075 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-662 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-162 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+478 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+1156 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+1863 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CUMULÉ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-2780 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-5560 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-8073 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-10349 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-12231 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-13789 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-14864 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-15526 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-15688 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-15210 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-14054 k</w:t>
            </w:r>
          </w:p>
        </w:tc>
        <w:tc>
          <w:tcPr>
            <w:tcW w:type="dxa" w:w="7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-12190 k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Valeurs en milliers d'Ariary (k). Résultat mensuel positif à partir du mois 10. Retour cumulé à l'équilibre : fin mois 10.</w:t>
      </w:r>
    </w:p>
    <w:p>
      <w:pPr>
        <w:spacing w:before="30" w:after="30"/>
      </w:pPr>
      <w:r>
        <w:t xml:space="preserve"/>
      </w:r>
    </w:p>
    <w:p>
      <w:pPr>
        <w:pBdr>
          <w:left w:val="single" w:color="00B4A2" w:sz="18" w:space="10"/>
        </w:pBdr>
        <w:spacing w:before="260" w:after="1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7.4 Détail mensuel complet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1300"/>
        <w:gridCol w:w="1300"/>
        <w:gridCol w:w="1300"/>
        <w:gridCol w:w="1400"/>
        <w:gridCol w:w="1380"/>
        <w:gridCol w:w="1380"/>
      </w:tblGrid>
      <w:tr>
        <w:trPr>
          <w:tblHeader/>
        </w:trPr>
        <w:tc>
          <w:tcPr>
            <w:tcW w:type="dxa" w:w="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Mois</w:t>
            </w:r>
          </w:p>
        </w:tc>
        <w:tc>
          <w:tcPr>
            <w:tcW w:type="dxa" w:w="9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Clients</w:t>
            </w:r>
          </w:p>
        </w:tc>
        <w:tc>
          <w:tcPr>
            <w:tcW w:type="dxa" w:w="13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Revenu</w:t>
            </w:r>
          </w:p>
        </w:tc>
        <w:tc>
          <w:tcPr>
            <w:tcW w:type="dxa" w:w="13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Charges</w:t>
            </w:r>
          </w:p>
        </w:tc>
        <w:tc>
          <w:tcPr>
            <w:tcW w:type="dxa" w:w="13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Cumulé</w:t>
            </w:r>
          </w:p>
        </w:tc>
        <w:tc>
          <w:tcPr>
            <w:tcW w:type="dxa" w:w="138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Rev/client</w:t>
            </w:r>
          </w:p>
        </w:tc>
        <w:tc>
          <w:tcPr>
            <w:tcW w:type="dxa" w:w="138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 k Ar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2780 k Ar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-2780 k Ar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-2780 k Ar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🔨 Dev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 k Ar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2780 k Ar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-2780 k Ar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-5560 k Ar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🔨 Dev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117 k Ar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2630 k Ar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-2513 k Ar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-8073 k Ar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39 149 Ar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📈 Croissance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353 k Ar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2630 k Ar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-2277 k Ar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-10349 k Ar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44 149 Ar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📈 Croissance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648 k Ar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2530 k Ar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-1882 k Ar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-12231 k Ar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46 292 Ar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📈 Croissance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M6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21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972 k Ar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2530 k Ar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-1558 k Ar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-13789 k Ar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46 292 Ar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📈 Croissance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M7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29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1355 k Ar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2430 k Ar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-1075 k Ar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-14864 k Ar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46 735 Ar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📈 Croissance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M8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38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1768 k Ar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2430 k Ar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-662 k Ar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-15526 k Ar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46 517 Ar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📈 Croissance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M9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49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2268 k Ar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2430 k Ar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-162 k Ar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-15688 k Ar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46 292 Ar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📈 Croissance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M10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61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2858 k Ar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2380 k Ar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+478 k Ar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-15210 k Ar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46 854 Ar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 Bénéfice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M11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75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3536 k Ar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2380 k Ar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+1156 k Ar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-14054 k Ar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47 149 Ar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 Bénéfice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M12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4243 k Ar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2380 k Ar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+1863 k Ar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-12190 k Ar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47 149 Ar</w:t>
            </w:r>
          </w:p>
        </w:tc>
        <w:tc>
          <w:tcPr>
            <w:tcW w:type="dxa" w:w="1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 Bénéfice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B1D3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08  ·  Plan Marketing &amp; Acquisition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left w:val="single" w:color="00B4A2" w:sz="18" w:space="10"/>
        </w:pBdr>
        <w:spacing w:before="260" w:after="1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Stratégie Go-to-Market — 3 piliers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3260"/>
        <w:gridCol w:w="3240"/>
      </w:tblGrid>
      <w:tr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0B1D3A"/>
                <w:sz w:val="23"/>
                <w:szCs w:val="23"/>
              </w:rPr>
              <w:t xml:space="preserve">Pilier 1 — Preuve sociale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M1–M3 · Budget : 400k Ar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10 clients pilotes beta gratuits (restaurants Tana)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Before/after documenté : avant vs. après 30 jours FeoSync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Témoignages vidéo et captures engagement réseaux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Étude de cas publiée sur le blog FeoSync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5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0B1D3A"/>
                <w:sz w:val="23"/>
                <w:szCs w:val="23"/>
              </w:rPr>
              <w:t xml:space="preserve">Pilier 2 — Digital owned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M2–M12 · Budget : 2,4M Ar total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Page Facebook FeoSync : posts démo hebdomadaires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Facebook Ads ciblées : Antananarivo, intérêts commerce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YouTube/Reels : tutoriels en Malgache + Français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Newsletter mensuelle : best practices marketing digital MG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0B1D3A"/>
                <w:sz w:val="23"/>
                <w:szCs w:val="23"/>
              </w:rPr>
              <w:t xml:space="preserve">Pilier 3 — Partenariats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M3–M12 · Budget : 500k Ar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GEM, CCI Madagascar, FIARO — démarchage associations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Programme parrainage : 1 mois offert par client amené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Plan agence : commission 15% sur 6 premiers mois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Présence : Forum Entrepreneuriat, DevFest Antananarivo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left w:val="single" w:color="00B4A2" w:sz="18" w:space="10"/>
        </w:pBdr>
        <w:spacing w:before="260" w:after="1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Objectifs acquisition par trimestre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280"/>
        <w:gridCol w:w="2280"/>
      </w:tblGrid>
      <w:tr>
        <w:trPr>
          <w:tblHeader/>
        </w:trPr>
        <w:tc>
          <w:tcPr>
            <w:tcW w:type="dxa" w:w="1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Trimestre</w:t>
            </w:r>
          </w:p>
        </w:tc>
        <w:tc>
          <w:tcPr>
            <w:tcW w:type="dxa" w:w="2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2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Objectif clients</w:t>
            </w:r>
          </w:p>
        </w:tc>
        <w:tc>
          <w:tcPr>
            <w:tcW w:type="dxa" w:w="228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Budget marketing</w:t>
            </w:r>
          </w:p>
        </w:tc>
        <w:tc>
          <w:tcPr>
            <w:tcW w:type="dxa" w:w="228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CAC cible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M1–M3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 clients beta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1 800 000 Ar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360 000 Ar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M4–M6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28 clients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1 150 000 Ar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51 000 Ar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M7–M9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62 clients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750 000 Ar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22 000 Ar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M10–M12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90 clients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600 000 Ar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21 000 Ar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CAC T1 élevé : coût de construction de la notoriété initiale et de la preuve sociale — investissement fondateur.</w:t>
      </w:r>
    </w:p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B1D3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09  ·  Roadmap, KPIs &amp; Gestion des Risques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left w:val="single" w:color="00B4A2" w:sz="18" w:space="10"/>
        </w:pBdr>
        <w:spacing w:before="260" w:after="1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Roadmap technique &amp; commerciale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4560"/>
        <w:gridCol w:w="2400"/>
      </w:tblGrid>
      <w:tr>
        <w:trPr>
          <w:tblHeader/>
        </w:trPr>
        <w:tc>
          <w:tcPr>
            <w:tcW w:type="dxa" w:w="11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17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Livrables principaux</w:t>
            </w:r>
          </w:p>
        </w:tc>
        <w:tc>
          <w:tcPr>
            <w:tcW w:type="dxa" w:w="2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Objectif business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M1–M2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🔨 Sprint 1–3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 JWT + OAuth Meta · PostgreSQL · Celery scheduler · Éditeur posts · 2 templates Pillow · Publication FB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 client — produit beta fonctionnel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🚀 Beta launch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Génération IA Gemini Mode A · WhatsApp messaging · WebSocket RT · Meta App Review soumise · Dashboard Next.js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 clients pilotes (gratuits)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M4–M5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💰 Lancement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Mode B prompt libre · Avis clients · Calendar éditorial · Analytics complet · Templates upload custom · Tests E2E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18 clients payants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M6–M8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📈 Croissance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Multi-pages · Rapports email auto · Heatmap horaires · Onboarding guidé · Programme parrainage lancé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55 clients payants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M9–M10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⚖️ Break-even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Stabilisation UX · Dashboard Agency · First partenariat agence signé · Contrats annuels introduits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62–75 clients — équilibre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M11–M12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 Bénéficiaire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Roadmap V2 : Instagram + TikTok · Recrutement 3e dev envisagé · Expansion régionale évaluée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90 clients — bénéfice net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left w:val="single" w:color="00B4A2" w:sz="18" w:space="10"/>
        </w:pBdr>
        <w:spacing w:before="260" w:after="1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Indicateurs de performance (KPIs)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90"/>
        <w:gridCol w:w="1590"/>
        <w:gridCol w:w="1590"/>
        <w:gridCol w:w="1590"/>
      </w:tblGrid>
      <w:tr>
        <w:trPr>
          <w:tblHeader/>
        </w:trPr>
        <w:tc>
          <w:tcPr>
            <w:tcW w:type="dxa" w:w="3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59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M3</w:t>
            </w:r>
          </w:p>
        </w:tc>
        <w:tc>
          <w:tcPr>
            <w:tcW w:type="dxa" w:w="159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M6</w:t>
            </w:r>
          </w:p>
        </w:tc>
        <w:tc>
          <w:tcPr>
            <w:tcW w:type="dxa" w:w="159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M9</w:t>
            </w:r>
          </w:p>
        </w:tc>
        <w:tc>
          <w:tcPr>
            <w:tcW w:type="dxa" w:w="159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M12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Clients actifs (payants)</w:t>
            </w:r>
          </w:p>
        </w:tc>
        <w:tc>
          <w:tcPr>
            <w:tcW w:type="dxa" w:w="15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5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28</w:t>
            </w:r>
          </w:p>
        </w:tc>
        <w:tc>
          <w:tcPr>
            <w:tcW w:type="dxa" w:w="15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62</w:t>
            </w:r>
          </w:p>
        </w:tc>
        <w:tc>
          <w:tcPr>
            <w:tcW w:type="dxa" w:w="15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MRR (Revenu récurrent mensuel)</w:t>
            </w:r>
          </w:p>
        </w:tc>
        <w:tc>
          <w:tcPr>
            <w:tcW w:type="dxa" w:w="15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~117k Ar</w:t>
            </w:r>
          </w:p>
        </w:tc>
        <w:tc>
          <w:tcPr>
            <w:tcW w:type="dxa" w:w="15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~915k Ar</w:t>
            </w:r>
          </w:p>
        </w:tc>
        <w:tc>
          <w:tcPr>
            <w:tcW w:type="dxa" w:w="15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~2 268k Ar</w:t>
            </w:r>
          </w:p>
        </w:tc>
        <w:tc>
          <w:tcPr>
            <w:tcW w:type="dxa" w:w="15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~4 243k Ar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Taux de churn mensuel</w:t>
            </w:r>
          </w:p>
        </w:tc>
        <w:tc>
          <w:tcPr>
            <w:tcW w:type="dxa" w:w="15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 12%</w:t>
            </w:r>
          </w:p>
        </w:tc>
        <w:tc>
          <w:tcPr>
            <w:tcW w:type="dxa" w:w="15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 8%</w:t>
            </w:r>
          </w:p>
        </w:tc>
        <w:tc>
          <w:tcPr>
            <w:tcW w:type="dxa" w:w="15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 5%</w:t>
            </w:r>
          </w:p>
        </w:tc>
        <w:tc>
          <w:tcPr>
            <w:tcW w:type="dxa" w:w="15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 4%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Posts publiés via FeoSync</w:t>
            </w:r>
          </w:p>
        </w:tc>
        <w:tc>
          <w:tcPr>
            <w:tcW w:type="dxa" w:w="15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~300/mois</w:t>
            </w:r>
          </w:p>
        </w:tc>
        <w:tc>
          <w:tcPr>
            <w:tcW w:type="dxa" w:w="15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~2 800/mois</w:t>
            </w:r>
          </w:p>
        </w:tc>
        <w:tc>
          <w:tcPr>
            <w:tcW w:type="dxa" w:w="15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~6 000/mois</w:t>
            </w:r>
          </w:p>
        </w:tc>
        <w:tc>
          <w:tcPr>
            <w:tcW w:type="dxa" w:w="15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~10 000/mois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NPS (satisfaction client)</w:t>
            </w:r>
          </w:p>
        </w:tc>
        <w:tc>
          <w:tcPr>
            <w:tcW w:type="dxa" w:w="15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 (mesure)</w:t>
            </w:r>
          </w:p>
        </w:tc>
        <w:tc>
          <w:tcPr>
            <w:tcW w:type="dxa" w:w="15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&gt; 35</w:t>
            </w:r>
          </w:p>
        </w:tc>
        <w:tc>
          <w:tcPr>
            <w:tcW w:type="dxa" w:w="15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&gt; 45</w:t>
            </w:r>
          </w:p>
        </w:tc>
        <w:tc>
          <w:tcPr>
            <w:tcW w:type="dxa" w:w="15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&gt; 55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CAC moyen (tendance)</w:t>
            </w:r>
          </w:p>
        </w:tc>
        <w:tc>
          <w:tcPr>
            <w:tcW w:type="dxa" w:w="15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360k Ar</w:t>
            </w:r>
          </w:p>
        </w:tc>
        <w:tc>
          <w:tcPr>
            <w:tcW w:type="dxa" w:w="15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51k Ar</w:t>
            </w:r>
          </w:p>
        </w:tc>
        <w:tc>
          <w:tcPr>
            <w:tcW w:type="dxa" w:w="15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22k Ar</w:t>
            </w:r>
          </w:p>
        </w:tc>
        <w:tc>
          <w:tcPr>
            <w:tcW w:type="dxa" w:w="15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21k Ar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left w:val="single" w:color="00B4A2" w:sz="18" w:space="10"/>
        </w:pBdr>
        <w:spacing w:before="260" w:after="100"/>
      </w:pPr>
      <w:r>
        <w:rPr>
          <w:rFonts w:ascii="Calibri" w:cs="Calibri" w:eastAsia="Calibri" w:hAnsi="Calibri"/>
          <w:b/>
          <w:bCs/>
          <w:color w:val="0B1D3A"/>
          <w:sz w:val="30"/>
          <w:szCs w:val="30"/>
        </w:rPr>
        <w:t xml:space="preserve">Matrice des risques &amp; mitigations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Risque identifié</w:t>
            </w:r>
          </w:p>
        </w:tc>
        <w:tc>
          <w:tcPr>
            <w:tcW w:type="dxa" w:w="1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Probab.</w:t>
            </w:r>
          </w:p>
        </w:tc>
        <w:tc>
          <w:tcPr>
            <w:tcW w:type="dxa" w:w="1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 de mitigation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Changement politique API Meta/WhatsApp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⚠️ Moyen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🔴 Élevé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Architecture multi-plateforme V2 · Veille hebdo API · Clauses contractuelles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Acquisition clients plus lente que prévu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⚠️ Moyen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🟡 Moyen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Essai 14 jours gratuits · Démo en présentiel · Parrainage client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Meta App Review refusée ou retardée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🔵 Faible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🔴 Élevé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Initier la demande dès Sprint 2 · Compte développeur test séparé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Départ d'un développeur clé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🔵 Faible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🔴 Élevé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Documentation complète · Code review croisée · Contrat de vesting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Concurrence internationale soudaine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⚠️ Moyen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🟡 Moyen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Positionnement local exclusif · Prix Ariary · Support Malgache/FR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Fluctuations EUR/Ariary (coûts infra)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🟢 Élevé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🟢 Faible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Révision tarifaire annuelle · Contrats Hetzner libellés en EUR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Borders>
              <w:top w:val="single" w:color="00B4A2" w:sz="4"/>
              <w:left w:val="single" w:color="00B4A2" w:sz="4"/>
              <w:bottom w:val="single" w:color="00B4A2" w:sz="4"/>
              <w:right w:val="single" w:color="00B4A2" w:sz="4"/>
            </w:tcBorders>
            <w:shd w:fill="0B1D3A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A2"/>
                <w:sz w:val="30"/>
                <w:szCs w:val="30"/>
              </w:rPr>
              <w:t xml:space="preserve">FeoSync  ·  "Synchronisez votre voix digitale"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EEF2F7"/>
                <w:sz w:val="20"/>
                <w:szCs w:val="20"/>
              </w:rPr>
              <w:t xml:space="preserve">Business Plan Madagascar 2025  ·  Document confidentiel  ·  Équipe FeoSync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40" w:hanging="320"/>
      </w:pPr>
      <w:rPr>
        <w:rFonts w:ascii="Calibri" w:cs="Calibri" w:eastAsia="Calibri" w:hAnsi="Calibri"/>
        <w:color w:val="00B4A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60" w:hanging="320"/>
      </w:pPr>
      <w:rPr>
        <w:rFonts w:ascii="Calibri" w:cs="Calibri" w:eastAsia="Calibri" w:hAnsi="Calibri"/>
        <w:color w:val="64748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Calibri" w:cs="Calibri" w:eastAsia="Calibri" w:hAnsi="Calibri"/>
      <w:b/>
      <w:bCs/>
      <w:color w:val="0B1D3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007A6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2026-03-03T07:42:22.990Z</dcterms:created>
  <dcterms:modified xsi:type="dcterms:W3CDTF">2026-03-03T07:42:23.037Z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