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59E66F0"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能源模块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——创新技术</w:t>
      </w:r>
    </w:p>
    <w:p w14:paraId="BF3391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电解水制氢与氢能供热技术创新路径分析</w:t>
      </w:r>
    </w:p>
    <w:p w14:paraId="57CDEE47">
      <w:pPr>
        <w:pStyle w:val="style0"/>
        <w:rPr/>
      </w:pPr>
    </w:p>
    <w:p w14:paraId="F530E7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氢能作为零碳二次能源，其“制取-储存-应用”技术链是能源转型的核心。以下围绕电解水制氢与氢能供热两大方向，结合最新技术进展与产业化瓶颈展开分析。</w:t>
      </w:r>
    </w:p>
    <w:p w14:paraId="34098FF8">
      <w:pPr>
        <w:pStyle w:val="style0"/>
        <w:rPr/>
      </w:pPr>
    </w:p>
    <w:p w14:paraId="D30980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p w14:paraId="0259F01E">
      <w:pPr>
        <w:pStyle w:val="style0"/>
        <w:rPr/>
      </w:pPr>
    </w:p>
    <w:p w14:paraId="6C14AD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一、电解水制氢技术：绿氢制备的关键路径</w:t>
      </w:r>
    </w:p>
    <w:p w14:paraId="8B6617B8">
      <w:pPr>
        <w:pStyle w:val="style0"/>
        <w:rPr/>
      </w:pPr>
    </w:p>
    <w:p w14:paraId="1F0588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电解水制氢通过电能驱动水分子分解，实现“电-氢”转化，其技术成熟度与能效直接决定绿氢经济性。当前主流技术路线对比如下：</w:t>
      </w:r>
    </w:p>
    <w:p w14:paraId="6219303E">
      <w:pPr>
        <w:pStyle w:val="style0"/>
        <w:rPr/>
      </w:pPr>
    </w:p>
    <w:p w14:paraId="4674BF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碱性电解水技术</w:t>
      </w:r>
    </w:p>
    <w:p w14:paraId="A52985CA">
      <w:pPr>
        <w:pStyle w:val="style0"/>
        <w:rPr/>
      </w:pPr>
    </w:p>
    <w:p w14:paraId="C6E8D8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原理与特点：以氢氧化钾溶液为电解质，在直流电作用下生成氢气与氧气，技术成熟度高、成本较低，适用于大规模制氢。</w:t>
      </w:r>
    </w:p>
    <w:p w14:paraId="E7C19829">
      <w:pPr>
        <w:pStyle w:val="style0"/>
        <w:rPr/>
      </w:pPr>
    </w:p>
    <w:p w14:paraId="AAEE45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能效与瓶颈：转化效率约60%-75%，能耗为4.3–5 kWh/Nm³ H₂。但启停响应慢（需数十分钟），且碱液具腐蚀性，需配套脱碱工艺，氢气纯度受限。</w:t>
      </w:r>
    </w:p>
    <w:p w14:paraId="6ECE795F">
      <w:pPr>
        <w:pStyle w:val="style0"/>
        <w:rPr/>
      </w:pPr>
    </w:p>
    <w:p w14:paraId="4AFF6C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创新方向：</w:t>
      </w:r>
    </w:p>
    <w:p w14:paraId="62A8F481">
      <w:pPr>
        <w:pStyle w:val="style0"/>
        <w:rPr/>
      </w:pPr>
    </w:p>
    <w:p w14:paraId="96EC1B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新型镍基催化剂提升电极抗腐蚀性，延长电解槽寿命（如2025年中科院严雅团队开发的碱性海水制氢催化剂）。</w:t>
      </w:r>
    </w:p>
    <w:p w14:paraId="1F3ECB5B">
      <w:pPr>
        <w:pStyle w:val="style0"/>
        <w:rPr/>
      </w:pPr>
    </w:p>
    <w:p w14:paraId="B2C559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8MW级稳暂态检测平台通过气液分离优化与压力差控制策略，拓展负载调节范围。</w:t>
      </w:r>
    </w:p>
    <w:p w14:paraId="27C1F9BF">
      <w:pPr>
        <w:pStyle w:val="style0"/>
        <w:rPr/>
      </w:pPr>
    </w:p>
    <w:p w14:paraId="A7B46D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质子交换膜电解技术</w:t>
      </w:r>
    </w:p>
    <w:p w14:paraId="333C8F44">
      <w:pPr>
        <w:pStyle w:val="style0"/>
        <w:rPr/>
      </w:pPr>
    </w:p>
    <w:p w14:paraId="0C6739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原理与特点：采用全氟磺酸固态膜为电解质，直接电解纯水，电流密度可达碱性法的5–10倍，响应速度达秒级，适合波动性可再生能源（如光伏、风电）耦合。</w:t>
      </w:r>
    </w:p>
    <w:p w14:paraId="CA275E6D">
      <w:pPr>
        <w:pStyle w:val="style0"/>
        <w:rPr/>
      </w:pPr>
    </w:p>
    <w:p w14:paraId="7AB539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能效与瓶颈：效率达75%-85%，但依赖铂等贵金属催化剂（铂载量0.5–2 mg/cm²），成本高昂。PEM膜在长期运行后可能出现性能衰减（3万小时后衰减15%–20%）。</w:t>
      </w:r>
    </w:p>
    <w:p w14:paraId="A46EE55A">
      <w:pPr>
        <w:pStyle w:val="style0"/>
        <w:rPr/>
      </w:pPr>
    </w:p>
    <w:p w14:paraId="A84D0A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创新案例：华电“华瀚-200型”PEM电解槽已在高寒地区实现商业化，单堆产氢量提升至兆瓦级，采用分级预紧力压装技术改善气密性。</w:t>
      </w:r>
    </w:p>
    <w:p w14:paraId="C3C480EC">
      <w:pPr>
        <w:pStyle w:val="style0"/>
        <w:rPr/>
      </w:pPr>
    </w:p>
    <w:p w14:paraId="AC15BC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固体氧化物电解技术</w:t>
      </w:r>
    </w:p>
    <w:p w14:paraId="FE51CA9F">
      <w:pPr>
        <w:pStyle w:val="style0"/>
        <w:rPr/>
      </w:pPr>
    </w:p>
    <w:p w14:paraId="0755AD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原理与特点：在700–1000℃高温下工作，部分电能由热能替代，理论效率超90%，但材料需耐受热应力与氢脆问题。</w:t>
      </w:r>
    </w:p>
    <w:p w14:paraId="8E14DA30">
      <w:pPr>
        <w:pStyle w:val="style0"/>
        <w:rPr/>
      </w:pPr>
    </w:p>
    <w:p w14:paraId="4DDE7D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应用前景：适合与核能、工业余热耦合，尚处于实验室向工程示范过渡阶段。</w:t>
      </w:r>
    </w:p>
    <w:p w14:paraId="59DFBFC6">
      <w:pPr>
        <w:pStyle w:val="style0"/>
        <w:rPr/>
      </w:pPr>
    </w:p>
    <w:p w14:paraId="8A0C7F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技术经济性分析：</w:t>
      </w:r>
    </w:p>
    <w:p w14:paraId="E213B9CA">
      <w:pPr>
        <w:pStyle w:val="style0"/>
        <w:rPr/>
      </w:pPr>
    </w:p>
    <w:p w14:paraId="1A528D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电价是制氢成本核心因素。当电价低于0.15元/kWh时，绿氢可与灰氢竞争（目前电解水制氢成本约21元/kg H₂）。</w:t>
      </w:r>
    </w:p>
    <w:p w14:paraId="B1CCDB65">
      <w:pPr>
        <w:pStyle w:val="style0"/>
        <w:rPr/>
      </w:pPr>
    </w:p>
    <w:p w14:paraId="146F02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PEM技术通过规模化生产与催化剂替代（如非贵金属材料）有望加速降本。</w:t>
      </w:r>
    </w:p>
    <w:p w14:paraId="C639585C">
      <w:pPr>
        <w:pStyle w:val="style0"/>
        <w:rPr/>
      </w:pPr>
    </w:p>
    <w:p w14:paraId="13E559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p w14:paraId="93C55C6A">
      <w:pPr>
        <w:pStyle w:val="style0"/>
        <w:rPr/>
      </w:pPr>
    </w:p>
    <w:p w14:paraId="A1E047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二、氢能燃烧供热技术：工业脱碳的突破口</w:t>
      </w:r>
    </w:p>
    <w:p w14:paraId="F7A263F9">
      <w:pPr>
        <w:pStyle w:val="style0"/>
        <w:rPr/>
      </w:pPr>
    </w:p>
    <w:p w14:paraId="212C22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氢能供热通过直接燃烧或催化燃烧释放热能，替代化石燃料，重点需解决安全性与氮氧化物控制问题。</w:t>
      </w:r>
    </w:p>
    <w:p w14:paraId="0FA6C58B">
      <w:pPr>
        <w:pStyle w:val="style0"/>
        <w:rPr/>
      </w:pPr>
    </w:p>
    <w:p w14:paraId="A2A1AE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直接燃烧技术</w:t>
      </w:r>
    </w:p>
    <w:p w14:paraId="5DA24BAF">
      <w:pPr>
        <w:pStyle w:val="style0"/>
        <w:rPr/>
      </w:pPr>
    </w:p>
    <w:p w14:paraId="C46219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应用场景：燃气轮机掺氢发电、工业窑炉燃料替代（如水泥煅烧、钢铁加热）。</w:t>
      </w:r>
    </w:p>
    <w:p w14:paraId="2C5A7F1B">
      <w:pPr>
        <w:pStyle w:val="style0"/>
        <w:rPr/>
      </w:pPr>
    </w:p>
    <w:p w14:paraId="04AB44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技术挑战：</w:t>
      </w:r>
    </w:p>
    <w:p w14:paraId="7F22ECAE">
      <w:pPr>
        <w:pStyle w:val="style0"/>
        <w:rPr/>
      </w:pPr>
    </w:p>
    <w:p w14:paraId="2D657D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安全性：氢气爆炸范围宽（4%–75%），火焰传播速度极快（为汽油的7.72倍），易引发回火。</w:t>
      </w:r>
    </w:p>
    <w:p w14:paraId="CFAE8EB7">
      <w:pPr>
        <w:pStyle w:val="style0"/>
        <w:rPr/>
      </w:pPr>
    </w:p>
    <w:p w14:paraId="021D9B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污染控制：火焰温度超2000℃时生成大量热力型NOx，需优化燃烧器设计以降低局部氧浓度。</w:t>
      </w:r>
    </w:p>
    <w:p w14:paraId="BC74FF05">
      <w:pPr>
        <w:pStyle w:val="style0"/>
        <w:rPr/>
      </w:pPr>
    </w:p>
    <w:p w14:paraId="C3839A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案例进展：</w:t>
      </w:r>
    </w:p>
    <w:p w14:paraId="EE9FA296">
      <w:pPr>
        <w:pStyle w:val="style0"/>
        <w:rPr/>
      </w:pPr>
    </w:p>
    <w:p w14:paraId="4F7C94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英国H21项目将20%掺氢天然气用于城市供暖。</w:t>
      </w:r>
    </w:p>
    <w:p w14:paraId="DCBD6124">
      <w:pPr>
        <w:pStyle w:val="style0"/>
        <w:rPr/>
      </w:pPr>
    </w:p>
    <w:p w14:paraId="D825F7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中国华能集团在燃煤锅炉中实现30%掺氨燃烧（氨为氢载体），碳排放削减超20%。</w:t>
      </w:r>
    </w:p>
    <w:p w14:paraId="C739F246">
      <w:pPr>
        <w:pStyle w:val="style0"/>
        <w:rPr/>
      </w:pPr>
    </w:p>
    <w:p w14:paraId="D3D3EC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催化燃烧技术</w:t>
      </w:r>
    </w:p>
    <w:p w14:paraId="C567A4A2">
      <w:pPr>
        <w:pStyle w:val="style0"/>
        <w:rPr/>
      </w:pPr>
    </w:p>
    <w:p w14:paraId="E4DC92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原理与特点：氢气在催化剂表面无焰氧化，反应温度低于585℃（氢自燃点），从根本上避免NOx生成与回火风险。</w:t>
      </w:r>
    </w:p>
    <w:p w14:paraId="671D04AD">
      <w:pPr>
        <w:pStyle w:val="style0"/>
        <w:rPr/>
      </w:pPr>
    </w:p>
    <w:p w14:paraId="4A19EA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系统构成：包括进气混合模块、催化反应模块（Pt/Pd基催化剂）、换热模块及尾气处理模块，热效率可达90%以上。</w:t>
      </w:r>
    </w:p>
    <w:p w14:paraId="499AF762">
      <w:pPr>
        <w:pStyle w:val="style0"/>
        <w:rPr/>
      </w:pPr>
    </w:p>
    <w:p w14:paraId="E2F45E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优势：</w:t>
      </w:r>
    </w:p>
    <w:p w14:paraId="3765BC9C">
      <w:pPr>
        <w:pStyle w:val="style0"/>
        <w:rPr/>
      </w:pPr>
    </w:p>
    <w:p w14:paraId="BE5D98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安全性高：无明火，反应温度可控，适用于密闭空间（如住宅供暖）。</w:t>
      </w:r>
    </w:p>
    <w:p w14:paraId="C908C57C">
      <w:pPr>
        <w:pStyle w:val="style0"/>
        <w:rPr/>
      </w:pPr>
    </w:p>
    <w:p w14:paraId="FA03F5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兼容现有设施：可直接替代天然气锅炉，无需大幅改造管网。</w:t>
      </w:r>
    </w:p>
    <w:p w14:paraId="F1F13E67">
      <w:pPr>
        <w:pStyle w:val="style0"/>
        <w:rPr/>
      </w:pPr>
    </w:p>
    <w:p w14:paraId="774489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分布式供热创新：</w:t>
      </w:r>
    </w:p>
    <w:p w14:paraId="D1FE7E76">
      <w:pPr>
        <w:pStyle w:val="style0"/>
        <w:rPr/>
      </w:pPr>
    </w:p>
    <w:p w14:paraId="2A4E08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日本ENE-FARM项目推广家用燃料电池热电联供，固体氧化物燃料电池效率超90%。</w:t>
      </w:r>
    </w:p>
    <w:p w14:paraId="F7CEB3A5">
      <w:pPr>
        <w:pStyle w:val="style0"/>
        <w:rPr/>
      </w:pPr>
    </w:p>
    <w:p w14:paraId="6A8353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中国“氢进万家”计划在社区部署PEM燃料电池，实现供电-供热一体化。</w:t>
      </w:r>
    </w:p>
    <w:p w14:paraId="6E7978D5">
      <w:pPr>
        <w:pStyle w:val="style0"/>
        <w:rPr/>
      </w:pPr>
    </w:p>
    <w:p w14:paraId="662AFF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p w14:paraId="536AFE01">
      <w:pPr>
        <w:pStyle w:val="style0"/>
        <w:rPr/>
      </w:pPr>
    </w:p>
    <w:p w14:paraId="920A70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三、技术链整合与未来趋势</w:t>
      </w:r>
    </w:p>
    <w:p w14:paraId="FF96B35D">
      <w:pPr>
        <w:pStyle w:val="style0"/>
        <w:rPr/>
      </w:pPr>
    </w:p>
    <w:p w14:paraId="4BBFBC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系统耦合优化</w:t>
      </w:r>
    </w:p>
    <w:p w14:paraId="E49C8F73">
      <w:pPr>
        <w:pStyle w:val="style0"/>
        <w:rPr/>
      </w:pPr>
    </w:p>
    <w:p w14:paraId="28D04C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风光发电-电解制氢-氢储能-供热形成闭环，解决可再生能源消纳问题。例如，青海德令哈项目将光伏与PEM电解槽直接耦合，降低输配电损耗。</w:t>
      </w:r>
    </w:p>
    <w:p w14:paraId="DC2277D5">
      <w:pPr>
        <w:pStyle w:val="style0"/>
        <w:rPr/>
      </w:pPr>
    </w:p>
    <w:p w14:paraId="3DABDB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高温固体氧化物电解与工业余热结合，提升整体能效。</w:t>
      </w:r>
    </w:p>
    <w:p w14:paraId="8317778C">
      <w:pPr>
        <w:pStyle w:val="style0"/>
        <w:rPr/>
      </w:pPr>
    </w:p>
    <w:p w14:paraId="1B50F4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政策与标准化需求</w:t>
      </w:r>
    </w:p>
    <w:p w14:paraId="6A6864E6">
      <w:pPr>
        <w:pStyle w:val="style0"/>
        <w:rPr/>
      </w:pPr>
    </w:p>
    <w:p w14:paraId="4269CE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需建立氢能供热安全标准（如掺氢比例上限、材料抗氢脆性能），目前中国仍缺专项法规。</w:t>
      </w:r>
    </w:p>
    <w:p w14:paraId="AE6CC880">
      <w:pPr>
        <w:pStyle w:val="style0"/>
        <w:rPr/>
      </w:pPr>
    </w:p>
    <w:p w14:paraId="DE478B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补贴重点应转向绿氢制备与管网改造，如欧盟要求2030年新装锅炉需支持20%掺氢。</w:t>
      </w:r>
    </w:p>
    <w:p w14:paraId="846DE223">
      <w:pPr>
        <w:pStyle w:val="style0"/>
        <w:rPr/>
      </w:pPr>
    </w:p>
    <w:p w14:paraId="A05E57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前沿探索方向</w:t>
      </w:r>
    </w:p>
    <w:p w14:paraId="94BF6F20">
      <w:pPr>
        <w:pStyle w:val="style0"/>
        <w:rPr/>
      </w:pPr>
    </w:p>
    <w:p w14:paraId="EB7041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光催化制氢：利用太阳能直接分解水，避免电能转换损失，但催化剂效率待突破。</w:t>
      </w:r>
    </w:p>
    <w:p w14:paraId="69A59AC5">
      <w:pPr>
        <w:pStyle w:val="style0"/>
        <w:rPr/>
      </w:pPr>
    </w:p>
    <w:p w14:paraId="E0B57B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氢储运创新：液态有机氢载体、金属氢化物储氢降低运输风险。</w:t>
      </w:r>
    </w:p>
    <w:p w14:paraId="C7D3C7C4">
      <w:pPr>
        <w:pStyle w:val="style0"/>
        <w:rPr/>
      </w:pPr>
    </w:p>
    <w:p w14:paraId="5EB9FC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p w14:paraId="B0073A0C">
      <w:pPr>
        <w:pStyle w:val="style0"/>
        <w:rPr/>
      </w:pPr>
    </w:p>
    <w:p w14:paraId="2E6396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结论</w:t>
      </w:r>
    </w:p>
    <w:p w14:paraId="E89ABBCF">
      <w:pPr>
        <w:pStyle w:val="style0"/>
        <w:rPr/>
      </w:pPr>
    </w:p>
    <w:p w14:paraId="F1E4D42F">
      <w:pPr>
        <w:pStyle w:val="style0"/>
        <w:rPr/>
      </w:pPr>
      <w:r>
        <w:rPr>
          <w:rFonts w:hint="eastAsia"/>
          <w:lang w:eastAsia="zh-CN"/>
        </w:rPr>
        <w:t>电解水制氢与氢能供热技术已从示范走向规模化应用，但成本、材料耐久性及基础设施仍是主要瓶颈。未来需通过电氢耦合系统设计、催化剂创新及政策驱动，构建零碳氢能生态，支撑工业、建筑等领域的深度脱碳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1613</Words>
  <Characters>1722</Characters>
  <Application>WPS Office</Application>
  <Paragraphs>110</Paragraphs>
  <CharactersWithSpaces>1730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2025-10-12T15:43:22Z</dcterms:created>
  <dc:creator>PKK110</dc:creator>
  <lastModifiedBy>PKK110</lastModifiedBy>
  <dcterms:modified xsi:type="dcterms:W3CDTF">2025-10-12T15:51:36Z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31619b24e3464413b93a9739039d2f54_21</vt:lpwstr>
  </property>
</Properties>
</file>