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CFAA1" w14:textId="0915B728" w:rsidR="001D0CF6" w:rsidRPr="00D273C8" w:rsidRDefault="00784B6E" w:rsidP="00D273C8">
      <w:pPr>
        <w:pStyle w:val="1"/>
        <w:spacing w:line="360" w:lineRule="auto"/>
        <w:rPr>
          <w:rFonts w:hint="eastAsia"/>
          <w:sz w:val="24"/>
          <w:szCs w:val="24"/>
        </w:rPr>
      </w:pPr>
      <w:r w:rsidRPr="00D273C8">
        <w:rPr>
          <w:rFonts w:hint="eastAsia"/>
          <w:sz w:val="24"/>
          <w:szCs w:val="24"/>
        </w:rPr>
        <w:t>一、</w:t>
      </w:r>
      <w:r w:rsidR="001D0CF6" w:rsidRPr="00D273C8">
        <w:rPr>
          <w:rFonts w:hint="eastAsia"/>
          <w:sz w:val="24"/>
          <w:szCs w:val="24"/>
        </w:rPr>
        <w:t>「量子恒源系统」（Quantum Eternity Grid, 简称 QEG</w:t>
      </w:r>
    </w:p>
    <w:p w14:paraId="6BBB75C8" w14:textId="77777777" w:rsidR="001D0CF6" w:rsidRPr="00D273C8" w:rsidRDefault="001D0CF6" w:rsidP="00D273C8">
      <w:pPr>
        <w:pStyle w:val="ab"/>
        <w:spacing w:line="360" w:lineRule="auto"/>
        <w:rPr>
          <w:rFonts w:hint="eastAsia"/>
          <w:sz w:val="28"/>
          <w:szCs w:val="28"/>
        </w:rPr>
      </w:pPr>
      <w:r w:rsidRPr="00D273C8">
        <w:rPr>
          <w:rFonts w:hint="eastAsia"/>
          <w:sz w:val="28"/>
          <w:szCs w:val="28"/>
        </w:rPr>
        <w:t>背景、目的与概述</w:t>
      </w:r>
    </w:p>
    <w:p w14:paraId="11A26123" w14:textId="77777777" w:rsidR="001D0CF6" w:rsidRPr="00D273C8" w:rsidRDefault="001D0CF6" w:rsidP="00D273C8">
      <w:pPr>
        <w:spacing w:line="360" w:lineRule="auto"/>
        <w:rPr>
          <w:rFonts w:hint="eastAsia"/>
          <w:sz w:val="21"/>
          <w:szCs w:val="21"/>
        </w:rPr>
      </w:pPr>
      <w:r w:rsidRPr="00D273C8">
        <w:rPr>
          <w:rFonts w:hint="eastAsia"/>
          <w:sz w:val="21"/>
          <w:szCs w:val="21"/>
        </w:rPr>
        <w:t>在“文明火种”AI 对社会资源进行全局调度与协同平台作用的前提下，必须有一个超大规模、融合多能互补与智能协同的</w:t>
      </w:r>
      <w:r w:rsidRPr="00D273C8">
        <w:rPr>
          <w:rFonts w:hint="eastAsia"/>
          <w:b/>
          <w:bCs/>
          <w:i/>
          <w:iCs/>
          <w:sz w:val="22"/>
          <w:szCs w:val="22"/>
        </w:rPr>
        <w:t>超级能源系统</w:t>
      </w:r>
      <w:r w:rsidRPr="00D273C8">
        <w:rPr>
          <w:rFonts w:hint="eastAsia"/>
          <w:sz w:val="21"/>
          <w:szCs w:val="21"/>
        </w:rPr>
        <w:t>作为支撑。其目标是支撑高密度能源供给、动态能量平衡与能量共享，以保障社会全年无缝运行与高能效追求。该系统不是传统电网的升级，而是融合核能、可再生、储能、能量互联网与预测控制于一体的复合智能能源枢纽，承载 AI 的资源调度使命。</w:t>
      </w:r>
    </w:p>
    <w:p w14:paraId="1D752959" w14:textId="77777777" w:rsidR="001D0CF6" w:rsidRPr="00D273C8" w:rsidRDefault="001D0CF6" w:rsidP="00D273C8">
      <w:pPr>
        <w:pStyle w:val="ab"/>
        <w:spacing w:line="360" w:lineRule="auto"/>
        <w:rPr>
          <w:rFonts w:hint="eastAsia"/>
          <w:sz w:val="28"/>
          <w:szCs w:val="28"/>
        </w:rPr>
      </w:pPr>
      <w:r w:rsidRPr="00D273C8">
        <w:rPr>
          <w:rFonts w:hint="eastAsia"/>
          <w:sz w:val="28"/>
          <w:szCs w:val="28"/>
        </w:rPr>
        <w:t>核心系统实现与工作机制</w:t>
      </w:r>
    </w:p>
    <w:p w14:paraId="32C00690" w14:textId="77777777" w:rsidR="001D0CF6" w:rsidRPr="00D273C8" w:rsidRDefault="001D0CF6" w:rsidP="00D273C8">
      <w:pPr>
        <w:spacing w:line="360" w:lineRule="auto"/>
        <w:rPr>
          <w:rFonts w:hint="eastAsia"/>
          <w:sz w:val="21"/>
          <w:szCs w:val="21"/>
        </w:rPr>
      </w:pPr>
      <w:r w:rsidRPr="00D273C8">
        <w:rPr>
          <w:rFonts w:hint="eastAsia"/>
          <w:sz w:val="21"/>
          <w:szCs w:val="21"/>
        </w:rPr>
        <w:t>1. 智能能源中枢架构</w:t>
      </w:r>
    </w:p>
    <w:p w14:paraId="0BC883E1" w14:textId="77777777" w:rsidR="001D0CF6" w:rsidRPr="00D273C8" w:rsidRDefault="001D0CF6" w:rsidP="00D273C8">
      <w:pPr>
        <w:spacing w:line="360" w:lineRule="auto"/>
        <w:rPr>
          <w:rFonts w:hint="eastAsia"/>
          <w:sz w:val="21"/>
          <w:szCs w:val="21"/>
        </w:rPr>
      </w:pPr>
      <w:r w:rsidRPr="00D273C8">
        <w:rPr>
          <w:rFonts w:hint="eastAsia"/>
          <w:sz w:val="21"/>
          <w:szCs w:val="21"/>
        </w:rPr>
        <w:t>超级能源系统以上述 AI 驱动的“文明火种”为大脑，整合 ADMS、DERMS 与 VPP 等控制层架构，作为能量调度和资源整合的核心。ADMS 负责配电网的状态监测、自动开关与电压管理，DERMS 聚焦分布式能源资源（DERs）的集成与控制，而 VPP 将分散的能源资产聚合为可调度单元。三者融合成为统一平台，既能从系统级优化，又能细粒度干预终端能源资产。</w:t>
      </w:r>
    </w:p>
    <w:p w14:paraId="2677FFBE" w14:textId="77777777" w:rsidR="001D0CF6" w:rsidRPr="00D273C8" w:rsidRDefault="001D0CF6" w:rsidP="00D273C8">
      <w:pPr>
        <w:spacing w:line="360" w:lineRule="auto"/>
        <w:rPr>
          <w:rFonts w:hint="eastAsia"/>
          <w:sz w:val="21"/>
          <w:szCs w:val="21"/>
        </w:rPr>
      </w:pPr>
      <w:r w:rsidRPr="00D273C8">
        <w:rPr>
          <w:rFonts w:hint="eastAsia"/>
          <w:sz w:val="21"/>
          <w:szCs w:val="21"/>
        </w:rPr>
        <w:t>• ADMS 能执行断路器切换、负荷调配与电压优化。</w:t>
      </w:r>
    </w:p>
    <w:p w14:paraId="26A63EAB" w14:textId="72CC8809" w:rsidR="001D0CF6" w:rsidRPr="00D273C8" w:rsidRDefault="001D0CF6" w:rsidP="00D273C8">
      <w:pPr>
        <w:spacing w:line="360" w:lineRule="auto"/>
        <w:rPr>
          <w:rFonts w:hint="eastAsia"/>
          <w:sz w:val="21"/>
          <w:szCs w:val="21"/>
        </w:rPr>
      </w:pPr>
      <w:r w:rsidRPr="00D273C8">
        <w:rPr>
          <w:rFonts w:hint="eastAsia"/>
          <w:sz w:val="21"/>
          <w:szCs w:val="21"/>
        </w:rPr>
        <w:t>• DERMS 将分布式发电、储能、需求响应等协调管理。根据 NREL 的模拟，ADMS + DERMS 联合可在高峰期将馈线功率下降 ~10%。</w:t>
      </w:r>
    </w:p>
    <w:p w14:paraId="52BEE7FB" w14:textId="77777777" w:rsidR="001D0CF6" w:rsidRPr="00D273C8" w:rsidRDefault="001D0CF6" w:rsidP="00D273C8">
      <w:pPr>
        <w:spacing w:line="360" w:lineRule="auto"/>
        <w:rPr>
          <w:rFonts w:hint="eastAsia"/>
          <w:sz w:val="21"/>
          <w:szCs w:val="21"/>
        </w:rPr>
      </w:pPr>
      <w:r w:rsidRPr="00D273C8">
        <w:rPr>
          <w:rFonts w:hint="eastAsia"/>
          <w:sz w:val="21"/>
          <w:szCs w:val="21"/>
        </w:rPr>
        <w:t xml:space="preserve">• VPP 模块将 DERs 聚合呈现为虚拟发电机参与调度与市场。 </w:t>
      </w:r>
    </w:p>
    <w:p w14:paraId="0C3E2A86" w14:textId="77777777" w:rsidR="001D0CF6" w:rsidRPr="00D273C8" w:rsidRDefault="001D0CF6" w:rsidP="00D273C8">
      <w:pPr>
        <w:spacing w:line="360" w:lineRule="auto"/>
        <w:rPr>
          <w:rFonts w:hint="eastAsia"/>
          <w:sz w:val="21"/>
          <w:szCs w:val="21"/>
        </w:rPr>
      </w:pPr>
      <w:r w:rsidRPr="00D273C8">
        <w:rPr>
          <w:rFonts w:hint="eastAsia"/>
          <w:sz w:val="21"/>
          <w:szCs w:val="21"/>
        </w:rPr>
        <w:t>2. 实时监测与预测控制</w:t>
      </w:r>
    </w:p>
    <w:p w14:paraId="47F215EB" w14:textId="77777777" w:rsidR="001D0CF6" w:rsidRPr="00D273C8" w:rsidRDefault="001D0CF6" w:rsidP="00D273C8">
      <w:pPr>
        <w:spacing w:line="360" w:lineRule="auto"/>
        <w:rPr>
          <w:rFonts w:hint="eastAsia"/>
          <w:sz w:val="21"/>
          <w:szCs w:val="21"/>
        </w:rPr>
      </w:pPr>
      <w:r w:rsidRPr="00D273C8">
        <w:rPr>
          <w:rFonts w:hint="eastAsia"/>
          <w:sz w:val="21"/>
          <w:szCs w:val="21"/>
        </w:rPr>
        <w:t>在系统中布设 PMU（同步相量测量单元）节点，实现毫秒级的网内电压、电流与相位同步采样，进入 WAMS / CPMS 平台用于动态监控与快速反应。上层采用 Model Predictive Control (MPC) 结合 AI 预测模型，对 5～60 分钟至日尺度的负荷/发电/储能调度进行预</w:t>
      </w:r>
      <w:r w:rsidRPr="00D273C8">
        <w:rPr>
          <w:rFonts w:hint="eastAsia"/>
          <w:sz w:val="21"/>
          <w:szCs w:val="21"/>
        </w:rPr>
        <w:lastRenderedPageBreak/>
        <w:t xml:space="preserve">测与最优控制。数据驱动的调度能够主动响应突发负载变化与再生能源波动。相关研究已展示深度强化学习和卷积神经网络在智能电网路径优化与稳定性保障中的有效性。 </w:t>
      </w:r>
    </w:p>
    <w:p w14:paraId="0164FF1E" w14:textId="77777777" w:rsidR="001D0CF6" w:rsidRPr="00D273C8" w:rsidRDefault="001D0CF6" w:rsidP="00D273C8">
      <w:pPr>
        <w:spacing w:line="360" w:lineRule="auto"/>
        <w:rPr>
          <w:rFonts w:hint="eastAsia"/>
          <w:sz w:val="21"/>
          <w:szCs w:val="21"/>
        </w:rPr>
      </w:pPr>
      <w:r w:rsidRPr="00D273C8">
        <w:rPr>
          <w:rFonts w:hint="eastAsia"/>
          <w:sz w:val="21"/>
          <w:szCs w:val="21"/>
        </w:rPr>
        <w:t>3. 多能互补与能量耦合</w:t>
      </w:r>
    </w:p>
    <w:p w14:paraId="1A9BDE38" w14:textId="77777777" w:rsidR="001D0CF6" w:rsidRPr="00D273C8" w:rsidRDefault="001D0CF6" w:rsidP="00D273C8">
      <w:pPr>
        <w:spacing w:line="360" w:lineRule="auto"/>
        <w:rPr>
          <w:rFonts w:hint="eastAsia"/>
          <w:sz w:val="21"/>
          <w:szCs w:val="21"/>
        </w:rPr>
      </w:pPr>
      <w:r w:rsidRPr="00D273C8">
        <w:rPr>
          <w:rFonts w:hint="eastAsia"/>
          <w:sz w:val="21"/>
          <w:szCs w:val="21"/>
        </w:rPr>
        <w:t xml:space="preserve">超级能源系统不局限于电力，还融合热、电、冷、储能、氢能等多种能量形式，实现跨能互联。热能储存技术（如热储罐、相变储热）可调节高峰负荷、平滑能量需求曲线，其在丹麦等能源系统转型中的角色已有深入研究。 </w:t>
      </w:r>
    </w:p>
    <w:p w14:paraId="2DCBCFDA" w14:textId="2B8BBB41" w:rsidR="001D0CF6" w:rsidRPr="00D273C8" w:rsidRDefault="001D0CF6" w:rsidP="00D273C8">
      <w:pPr>
        <w:spacing w:line="360" w:lineRule="auto"/>
        <w:rPr>
          <w:rFonts w:hint="eastAsia"/>
          <w:sz w:val="21"/>
          <w:szCs w:val="21"/>
        </w:rPr>
      </w:pPr>
      <w:r w:rsidRPr="00D273C8">
        <w:rPr>
          <w:rFonts w:hint="eastAsia"/>
          <w:sz w:val="21"/>
          <w:szCs w:val="21"/>
        </w:rPr>
        <w:t xml:space="preserve">通过能量系统集成（Energy System Integration）策略，这些子系统在宏观上彼此耦合、协同优化。 </w:t>
      </w:r>
    </w:p>
    <w:p w14:paraId="15C455C5" w14:textId="77777777" w:rsidR="001D0CF6" w:rsidRPr="00D273C8" w:rsidRDefault="001D0CF6" w:rsidP="00D273C8">
      <w:pPr>
        <w:spacing w:line="360" w:lineRule="auto"/>
        <w:rPr>
          <w:rFonts w:hint="eastAsia"/>
          <w:sz w:val="21"/>
          <w:szCs w:val="21"/>
        </w:rPr>
      </w:pPr>
      <w:r w:rsidRPr="00D273C8">
        <w:rPr>
          <w:rFonts w:hint="eastAsia"/>
          <w:sz w:val="21"/>
          <w:szCs w:val="21"/>
        </w:rPr>
        <w:t>4. 冗余与安全策略</w:t>
      </w:r>
    </w:p>
    <w:p w14:paraId="281B21FD" w14:textId="700B8A22" w:rsidR="001D0CF6" w:rsidRPr="00D273C8" w:rsidRDefault="001D0CF6" w:rsidP="00D273C8">
      <w:pPr>
        <w:spacing w:line="360" w:lineRule="auto"/>
        <w:rPr>
          <w:rFonts w:hint="eastAsia"/>
          <w:sz w:val="21"/>
          <w:szCs w:val="21"/>
        </w:rPr>
      </w:pPr>
      <w:r w:rsidRPr="00D273C8">
        <w:rPr>
          <w:rFonts w:hint="eastAsia"/>
          <w:sz w:val="21"/>
          <w:szCs w:val="21"/>
        </w:rPr>
        <w:t>为保证系统稳定与韧性，超级能源系统设计了多层冗余：核能作为基荷保障；大规模电池与结构电化学储能作为快速响应层；“备用网格”与互联超网结构（类似超智能网格）用于跨区互助与能源共享。紧急情况下，AI 可依据预测模型提前启动备用能源与负荷降级机制。整体结构具备高可靠性与灾难恢复能力。</w:t>
      </w:r>
    </w:p>
    <w:p w14:paraId="33F39BF6" w14:textId="01CDF03F" w:rsidR="001D0CF6" w:rsidRPr="00D273C8" w:rsidRDefault="001D0CF6" w:rsidP="00D273C8">
      <w:pPr>
        <w:pStyle w:val="ab"/>
        <w:spacing w:line="360" w:lineRule="auto"/>
        <w:rPr>
          <w:rStyle w:val="ad"/>
          <w:rFonts w:hint="eastAsia"/>
          <w:sz w:val="28"/>
          <w:szCs w:val="28"/>
        </w:rPr>
      </w:pPr>
      <w:r w:rsidRPr="00D273C8">
        <w:rPr>
          <w:rStyle w:val="ad"/>
          <w:rFonts w:hint="eastAsia"/>
          <w:sz w:val="28"/>
          <w:szCs w:val="28"/>
        </w:rPr>
        <w:t>合理性与技术简评</w:t>
      </w:r>
    </w:p>
    <w:p w14:paraId="23B2F6EC" w14:textId="77777777" w:rsidR="001D0CF6" w:rsidRPr="00D273C8" w:rsidRDefault="001D0CF6" w:rsidP="00D273C8">
      <w:pPr>
        <w:spacing w:line="360" w:lineRule="auto"/>
        <w:rPr>
          <w:rFonts w:hint="eastAsia"/>
          <w:sz w:val="21"/>
          <w:szCs w:val="21"/>
        </w:rPr>
      </w:pPr>
      <w:r w:rsidRPr="00D273C8">
        <w:rPr>
          <w:rFonts w:hint="eastAsia"/>
          <w:sz w:val="21"/>
          <w:szCs w:val="21"/>
        </w:rPr>
        <w:t xml:space="preserve">未来能源系统的趋势正朝向灵活性、集成化与智能化发展，在整合可再生、储能、负荷响应与网络资源的框架下，超级能源系统正是这一趋势的顶层设计。Nature 文章指出，新一代能源系统需实现混合电力资源的无缝协同、最优架构设计表现与高效调度策略。 </w:t>
      </w:r>
    </w:p>
    <w:p w14:paraId="18359781" w14:textId="05BF1DDC" w:rsidR="001D0CF6" w:rsidRPr="00D273C8" w:rsidRDefault="001D0CF6" w:rsidP="00D273C8">
      <w:pPr>
        <w:spacing w:line="360" w:lineRule="auto"/>
        <w:rPr>
          <w:rFonts w:hint="eastAsia"/>
          <w:sz w:val="21"/>
          <w:szCs w:val="21"/>
        </w:rPr>
      </w:pPr>
      <w:r w:rsidRPr="00D273C8">
        <w:rPr>
          <w:rFonts w:hint="eastAsia"/>
          <w:sz w:val="21"/>
          <w:szCs w:val="21"/>
        </w:rPr>
        <w:t>它能够满足高能效、低碳运行与高可靠性要求。</w:t>
      </w:r>
    </w:p>
    <w:p w14:paraId="3962A9DA" w14:textId="428F17DB" w:rsidR="00C46963" w:rsidRPr="00D273C8" w:rsidRDefault="00784B6E" w:rsidP="00D273C8">
      <w:pPr>
        <w:pStyle w:val="1"/>
        <w:spacing w:line="360" w:lineRule="auto"/>
        <w:rPr>
          <w:rFonts w:hint="eastAsia"/>
          <w:sz w:val="24"/>
          <w:szCs w:val="24"/>
        </w:rPr>
      </w:pPr>
      <w:r w:rsidRPr="00D273C8">
        <w:rPr>
          <w:rFonts w:hint="eastAsia"/>
          <w:sz w:val="24"/>
          <w:szCs w:val="24"/>
        </w:rPr>
        <w:t>二、</w:t>
      </w:r>
      <w:r w:rsidR="00C46963" w:rsidRPr="00D273C8">
        <w:rPr>
          <w:sz w:val="24"/>
          <w:szCs w:val="24"/>
        </w:rPr>
        <w:t>超域智行网络（HyperDomain Intelligent Transit, HDIT）</w:t>
      </w:r>
    </w:p>
    <w:p w14:paraId="385CDA67" w14:textId="16B503E2" w:rsidR="009A3272" w:rsidRPr="00D273C8" w:rsidRDefault="009A3272" w:rsidP="00D273C8">
      <w:pPr>
        <w:pStyle w:val="ab"/>
        <w:spacing w:line="360" w:lineRule="auto"/>
        <w:rPr>
          <w:rFonts w:hint="eastAsia"/>
          <w:sz w:val="28"/>
          <w:szCs w:val="28"/>
        </w:rPr>
      </w:pPr>
      <w:r w:rsidRPr="00D273C8">
        <w:rPr>
          <w:rFonts w:hint="eastAsia"/>
          <w:sz w:val="28"/>
          <w:szCs w:val="28"/>
        </w:rPr>
        <w:t>背景、目的与概述</w:t>
      </w:r>
    </w:p>
    <w:p w14:paraId="5D33867F"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为满足“百万立方”高密度、零浪费与高效率生活体系，构建一个从路网基础、短途代步到城市级调度的端到端</w:t>
      </w:r>
      <w:r w:rsidRPr="00D273C8">
        <w:rPr>
          <w:rFonts w:hint="eastAsia"/>
          <w:b/>
          <w:bCs/>
          <w:i/>
          <w:iCs/>
          <w:sz w:val="22"/>
          <w:szCs w:val="22"/>
        </w:rPr>
        <w:t>超级运输系统</w:t>
      </w:r>
      <w:r w:rsidRPr="00D273C8">
        <w:rPr>
          <w:rFonts w:hint="eastAsia"/>
          <w:sz w:val="21"/>
          <w:szCs w:val="21"/>
        </w:rPr>
        <w:t>。其目标是实现无缝人—货流对接、低空/地面微</w:t>
      </w:r>
      <w:r w:rsidRPr="00D273C8">
        <w:rPr>
          <w:rFonts w:hint="eastAsia"/>
          <w:sz w:val="21"/>
          <w:szCs w:val="21"/>
        </w:rPr>
        <w:lastRenderedPageBreak/>
        <w:t>循环高频出行、以及由超级计算机驱动的全局动态调度与风险防控，显著提升通行效率、降低空驶率并保障出行安全与能耗最优化。</w:t>
      </w:r>
    </w:p>
    <w:p w14:paraId="1CBB9141" w14:textId="77777777" w:rsidR="009A3272" w:rsidRPr="00D273C8" w:rsidRDefault="009A3272" w:rsidP="00D273C8">
      <w:pPr>
        <w:spacing w:line="360" w:lineRule="auto"/>
        <w:ind w:firstLineChars="200" w:firstLine="420"/>
        <w:rPr>
          <w:rFonts w:hint="eastAsia"/>
          <w:sz w:val="21"/>
          <w:szCs w:val="21"/>
        </w:rPr>
      </w:pPr>
      <w:r w:rsidRPr="00D273C8">
        <w:rPr>
          <w:rFonts w:ascii="等线" w:eastAsia="等线" w:hAnsi="等线" w:cs="等线" w:hint="eastAsia"/>
          <w:sz w:val="21"/>
          <w:szCs w:val="21"/>
        </w:rPr>
        <w:t>￼</w:t>
      </w:r>
    </w:p>
    <w:p w14:paraId="62C0194B" w14:textId="77777777" w:rsidR="009A3272" w:rsidRPr="00D273C8" w:rsidRDefault="009A3272" w:rsidP="00D273C8">
      <w:pPr>
        <w:pStyle w:val="ab"/>
        <w:spacing w:line="360" w:lineRule="auto"/>
        <w:rPr>
          <w:rFonts w:hint="eastAsia"/>
          <w:sz w:val="28"/>
          <w:szCs w:val="28"/>
        </w:rPr>
      </w:pPr>
      <w:r w:rsidRPr="00D273C8">
        <w:rPr>
          <w:rFonts w:hint="eastAsia"/>
          <w:sz w:val="28"/>
          <w:szCs w:val="28"/>
        </w:rPr>
        <w:t>核心系统实现（关键模块与工作机制）</w:t>
      </w:r>
    </w:p>
    <w:p w14:paraId="7E97324D"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1. 路网与地面输送基础</w:t>
      </w:r>
    </w:p>
    <w:p w14:paraId="0971AEEF"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基础形态：人行步道 + 侧向独立传送带（人行道宽 4 m，双侧每侧传送带约 1 m），传送带用于短途行李/货物搬运与无障碍微物流。</w:t>
      </w:r>
    </w:p>
    <w:p w14:paraId="6950BD25"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xml:space="preserve">• 创新技术：采用独立载架线性电机传送（independent cart / linear motor conveyors），每个承载单元可独立编程速度与加速度，支持双向运行与轨道分段调度，维护量低且具预测性维护能力，这类技术已被制造业与物流仓储证明具有高柔性与低停机率。 </w:t>
      </w:r>
    </w:p>
    <w:p w14:paraId="1D17EED0"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2. 个人代步与微循环</w:t>
      </w:r>
    </w:p>
    <w:p w14:paraId="3A315ABC"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xml:space="preserve">• 个人代步：广泛部署自平衡电动代步器（示例：Ninebot 类技术），采用 MEMS 陀螺/加速度传感器、实时姿态控制与自学习算法，实现安全自平衡、路况识别与高响应操控；电池管理与多重 BMS 保证续航与安全。 </w:t>
      </w:r>
    </w:p>
    <w:p w14:paraId="53B6236A"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城市微循环穿梭舱：L4 级自动驾驶微循环车队（线控底盘、半固态激光雷达 + 毫米波 + 多目视觉），沿固定或动态规划的微循环线路运行，为短途交通与无障碍出行提供高频、可预约的点到点服务；系统支持远程/本地双冗余控制以保证安全。 （行业示范与 L4 试点已由多家公司推进）</w:t>
      </w:r>
    </w:p>
    <w:p w14:paraId="0D798436"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3. 车路协同与通信层（C-V2X）</w:t>
      </w:r>
    </w:p>
    <w:p w14:paraId="09D1B1E9"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xml:space="preserve">• 路侧与车端通过 C-V2X（3GPP 标准）实现低延迟的直接通信（PC5）与广域交互（Uu），支持车车、车路、车人协同（V2V/V2I/V2P），用于绿波优化、路口协同、优先通行等功能，能显著提升通行效率与安全性。 </w:t>
      </w:r>
    </w:p>
    <w:p w14:paraId="40E19362"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4. 超级计算机级中枢（数据 → 决策 → 执行）</w:t>
      </w:r>
    </w:p>
    <w:p w14:paraId="28DFE85A"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lastRenderedPageBreak/>
        <w:t xml:space="preserve">• 中枢职责：整合实时位置、载客/载货量、路况、天气与能耗数据，做全局流量分配、运力匹配、能量与能耗协同。通过强化学习 / 遗传算法等动态优化方法，实现实时路径引导、发班密度调整与空驶率削减。相关 RL 在交通信号和流量优化中已显示出降低拥堵的实际效果。 </w:t>
      </w:r>
    </w:p>
    <w:p w14:paraId="2B565FE9"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实时机制：超级计算机向边缘控制单元和车辆下发动作指令（如改道、速率限制、穿梭舱增发），并基于分钟级与秒级预测进行封闭回路优化；在突发事件或极端天气时提前触发应急策略（预降速、替代运力调配）。</w:t>
      </w:r>
    </w:p>
    <w:p w14:paraId="2BAA361A"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5. 能源与能耗协同</w:t>
      </w:r>
    </w:p>
    <w:p w14:paraId="3BEA4FB9"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中枢联动能源系统（本地储能与微网）对高能耗设施（如快速充电站、磁悬浮管道节点）做错峰供能安排，优先保障高频穿梭舱并平衡网侧负荷，避免电网瞬时过载。</w:t>
      </w:r>
    </w:p>
    <w:p w14:paraId="2701429A" w14:textId="77777777"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6. 预测、风险防控与安全</w:t>
      </w:r>
    </w:p>
    <w:p w14:paraId="4C1A9095" w14:textId="477C43AC"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 xml:space="preserve">• 基于海量历史与实时数据的预测模型，提前数小时预测拥堵与事故风险；通过在线异常检测识别载具故障前兆并自动发起替换或救援流程，提升系统韧性与乘客安全。 </w:t>
      </w:r>
      <w:r w:rsidRPr="00D273C8">
        <w:rPr>
          <w:rFonts w:ascii="等线" w:eastAsia="等线" w:hAnsi="等线" w:cs="等线" w:hint="eastAsia"/>
          <w:sz w:val="21"/>
          <w:szCs w:val="21"/>
        </w:rPr>
        <w:t>￼</w:t>
      </w:r>
    </w:p>
    <w:p w14:paraId="32297F65" w14:textId="77777777" w:rsidR="009A3272" w:rsidRPr="00D273C8" w:rsidRDefault="009A3272" w:rsidP="00D273C8">
      <w:pPr>
        <w:pStyle w:val="ab"/>
        <w:spacing w:line="360" w:lineRule="auto"/>
        <w:rPr>
          <w:rFonts w:hint="eastAsia"/>
          <w:sz w:val="28"/>
          <w:szCs w:val="28"/>
        </w:rPr>
      </w:pPr>
      <w:r w:rsidRPr="00D273C8">
        <w:rPr>
          <w:rFonts w:hint="eastAsia"/>
          <w:sz w:val="28"/>
          <w:szCs w:val="28"/>
        </w:rPr>
        <w:t>简短结论（工程合理性）</w:t>
      </w:r>
    </w:p>
    <w:p w14:paraId="73C09B42" w14:textId="7D09024E" w:rsidR="009A3272" w:rsidRPr="00D273C8" w:rsidRDefault="009A3272" w:rsidP="00D273C8">
      <w:pPr>
        <w:spacing w:line="360" w:lineRule="auto"/>
        <w:ind w:firstLineChars="200" w:firstLine="420"/>
        <w:rPr>
          <w:rFonts w:hint="eastAsia"/>
          <w:sz w:val="21"/>
          <w:szCs w:val="21"/>
        </w:rPr>
      </w:pPr>
      <w:r w:rsidRPr="00D273C8">
        <w:rPr>
          <w:rFonts w:hint="eastAsia"/>
          <w:sz w:val="21"/>
          <w:szCs w:val="21"/>
        </w:rPr>
        <w:t>该超级运输系统将成熟的工业级线性电机独立承载输送、成熟的自平衡代步与 L4 微循环技术、标准化 C-V2X 通信与超级计算机级预测优化融为一体；技术路径以模块化、分层控制（云—边—端）与分阶段试点为落地策略。关键挑战为大规模互操作标准、网络/通信安全与城市空间再配置，但科研与工业实证（线性驱动输送、L4 试点、C-V2X 标准化与 RL 优化研究）已为核心模块的工程化奠定了充分依据。</w:t>
      </w:r>
    </w:p>
    <w:p w14:paraId="09B06E6F" w14:textId="421B8C58" w:rsidR="00B011CC" w:rsidRPr="00D273C8" w:rsidRDefault="00BA10EF" w:rsidP="00D273C8">
      <w:pPr>
        <w:pStyle w:val="1"/>
        <w:spacing w:line="360" w:lineRule="auto"/>
        <w:rPr>
          <w:rFonts w:hint="eastAsia"/>
          <w:sz w:val="24"/>
          <w:szCs w:val="24"/>
        </w:rPr>
      </w:pPr>
      <w:r w:rsidRPr="00D273C8">
        <w:rPr>
          <w:rFonts w:hint="eastAsia"/>
          <w:sz w:val="24"/>
          <w:szCs w:val="24"/>
        </w:rPr>
        <w:t>三、</w:t>
      </w:r>
      <w:r w:rsidR="003B289A" w:rsidRPr="00D273C8">
        <w:rPr>
          <w:rFonts w:hint="eastAsia"/>
          <w:sz w:val="24"/>
          <w:szCs w:val="24"/>
        </w:rPr>
        <w:t>超智信息系统（Super Cognitive Information Nexus, SCIN）</w:t>
      </w:r>
    </w:p>
    <w:p w14:paraId="50894774" w14:textId="77777777" w:rsidR="00B011CC" w:rsidRPr="00D273C8" w:rsidRDefault="00B011CC" w:rsidP="00D273C8">
      <w:pPr>
        <w:spacing w:line="360" w:lineRule="auto"/>
        <w:ind w:firstLineChars="200" w:firstLine="420"/>
        <w:rPr>
          <w:rFonts w:hint="eastAsia"/>
          <w:sz w:val="21"/>
          <w:szCs w:val="21"/>
        </w:rPr>
      </w:pPr>
    </w:p>
    <w:p w14:paraId="01966C2D" w14:textId="701F679D" w:rsidR="00B011CC" w:rsidRPr="00D273C8" w:rsidRDefault="00B011CC" w:rsidP="00D273C8">
      <w:pPr>
        <w:pStyle w:val="ab"/>
        <w:spacing w:line="360" w:lineRule="auto"/>
        <w:rPr>
          <w:rFonts w:hint="eastAsia"/>
          <w:sz w:val="28"/>
          <w:szCs w:val="28"/>
        </w:rPr>
      </w:pPr>
      <w:r w:rsidRPr="00D273C8">
        <w:rPr>
          <w:rFonts w:hint="eastAsia"/>
          <w:sz w:val="28"/>
          <w:szCs w:val="28"/>
        </w:rPr>
        <w:t>背景与总体概述</w:t>
      </w:r>
    </w:p>
    <w:p w14:paraId="02C0B2D9" w14:textId="77777777"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lastRenderedPageBreak/>
        <w:t>在“文明火种”AI主导的理性社会中，信息已成为资源配置与社会运行的核心。传统中心化系统虽具高效，但存在数据易被篡改、主权丧失与隐私脆弱等风险；而去中心化系统虽安全却运行成本高、速度慢。本系统旨在在两者间寻求动态平衡，构建一个兼具速度、安全与公平的新型信息结构——超级信息系统（SCIN）。</w:t>
      </w:r>
    </w:p>
    <w:p w14:paraId="6B4C90B7" w14:textId="10378EDC"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SCIN以**分布式自治智能协同架构（DAICA）**为核心，通过引入“分层信任区块链+量子加密通信+自学习知识图谱”的复合体系，实现数据安全、治理透明与智能推理的深度融合，为社会的理性秩序提供坚实信息基石。</w:t>
      </w:r>
    </w:p>
    <w:p w14:paraId="2951F08A" w14:textId="7DBEA3B3" w:rsidR="00B011CC" w:rsidRPr="00D273C8" w:rsidRDefault="00B011CC" w:rsidP="00D273C8">
      <w:pPr>
        <w:pStyle w:val="ab"/>
        <w:spacing w:line="360" w:lineRule="auto"/>
        <w:rPr>
          <w:rFonts w:hint="eastAsia"/>
          <w:sz w:val="28"/>
          <w:szCs w:val="28"/>
        </w:rPr>
      </w:pPr>
      <w:r w:rsidRPr="00D273C8">
        <w:rPr>
          <w:rFonts w:hint="eastAsia"/>
          <w:sz w:val="28"/>
          <w:szCs w:val="28"/>
        </w:rPr>
        <w:t>技术体系与运行机制</w:t>
      </w:r>
    </w:p>
    <w:p w14:paraId="6D82B910" w14:textId="29670FAB" w:rsidR="00B011CC" w:rsidRPr="00D273C8" w:rsidRDefault="00B011CC" w:rsidP="00D273C8">
      <w:pPr>
        <w:spacing w:line="360" w:lineRule="auto"/>
        <w:ind w:firstLineChars="200" w:firstLine="420"/>
        <w:rPr>
          <w:rFonts w:hint="eastAsia"/>
          <w:b/>
          <w:bCs/>
          <w:color w:val="156082" w:themeColor="accent1"/>
          <w:sz w:val="21"/>
          <w:szCs w:val="21"/>
        </w:rPr>
      </w:pPr>
      <w:r w:rsidRPr="00D273C8">
        <w:rPr>
          <w:rStyle w:val="af3"/>
          <w:rFonts w:hint="eastAsia"/>
          <w:sz w:val="21"/>
          <w:szCs w:val="21"/>
        </w:rPr>
        <w:t>SCIN的设计基于三个创新层级：</w:t>
      </w:r>
    </w:p>
    <w:p w14:paraId="4B027BFF" w14:textId="77777777" w:rsidR="00B011CC" w:rsidRPr="00D273C8" w:rsidRDefault="00B011CC" w:rsidP="00D273C8">
      <w:pPr>
        <w:spacing w:line="360" w:lineRule="auto"/>
        <w:rPr>
          <w:rStyle w:val="af"/>
          <w:rFonts w:hint="eastAsia"/>
          <w:sz w:val="22"/>
          <w:szCs w:val="22"/>
        </w:rPr>
      </w:pPr>
      <w:r w:rsidRPr="00D273C8">
        <w:rPr>
          <w:rStyle w:val="af"/>
          <w:rFonts w:hint="eastAsia"/>
          <w:sz w:val="22"/>
          <w:szCs w:val="22"/>
        </w:rPr>
        <w:t>分级自适应信息结构（Adaptive Stratified Data Architecture）</w:t>
      </w:r>
    </w:p>
    <w:p w14:paraId="0D71D827" w14:textId="1B0DCD1D"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系统借鉴人脑神经分层原理，将信息划分为“元数据层—信任数据层—知识计算层”三级。</w:t>
      </w:r>
    </w:p>
    <w:p w14:paraId="77837E66" w14:textId="0F0E5894" w:rsidR="00B011CC" w:rsidRPr="00D273C8" w:rsidRDefault="00B011CC" w:rsidP="00D273C8">
      <w:pPr>
        <w:spacing w:line="360" w:lineRule="auto"/>
        <w:ind w:firstLineChars="200" w:firstLine="440"/>
        <w:rPr>
          <w:rFonts w:hint="eastAsia"/>
          <w:sz w:val="21"/>
          <w:szCs w:val="21"/>
        </w:rPr>
      </w:pPr>
      <w:r w:rsidRPr="00D273C8">
        <w:rPr>
          <w:rFonts w:hint="eastAsia"/>
          <w:b/>
          <w:bCs/>
          <w:sz w:val="22"/>
          <w:szCs w:val="22"/>
        </w:rPr>
        <w:t>元数据层</w:t>
      </w:r>
      <w:r w:rsidRPr="00D273C8">
        <w:rPr>
          <w:rFonts w:hint="eastAsia"/>
          <w:sz w:val="21"/>
          <w:szCs w:val="21"/>
        </w:rPr>
        <w:t>负责描述信息结构与访问规则，确保数据可追溯与结构标准化。</w:t>
      </w:r>
    </w:p>
    <w:p w14:paraId="12F2EEAD" w14:textId="4E00CAC2" w:rsidR="00B011CC" w:rsidRPr="00D273C8" w:rsidRDefault="00B011CC" w:rsidP="00D273C8">
      <w:pPr>
        <w:spacing w:line="360" w:lineRule="auto"/>
        <w:ind w:firstLineChars="200" w:firstLine="440"/>
        <w:rPr>
          <w:rFonts w:hint="eastAsia"/>
          <w:sz w:val="21"/>
          <w:szCs w:val="21"/>
        </w:rPr>
      </w:pPr>
      <w:r w:rsidRPr="00D273C8">
        <w:rPr>
          <w:rFonts w:hint="eastAsia"/>
          <w:b/>
          <w:bCs/>
          <w:sz w:val="22"/>
          <w:szCs w:val="22"/>
        </w:rPr>
        <w:t>信任数据层</w:t>
      </w:r>
      <w:r w:rsidRPr="00D273C8">
        <w:rPr>
          <w:rFonts w:hint="eastAsia"/>
          <w:sz w:val="21"/>
          <w:szCs w:val="21"/>
        </w:rPr>
        <w:t>通过同态加密（Homomorphic Encryption）与可验证计算（Verifiable Computing）实现隐私保护与计算可信性。</w:t>
      </w:r>
    </w:p>
    <w:p w14:paraId="00F81875" w14:textId="7745FCB7" w:rsidR="00B011CC" w:rsidRPr="00D273C8" w:rsidRDefault="00B011CC" w:rsidP="00D273C8">
      <w:pPr>
        <w:spacing w:line="360" w:lineRule="auto"/>
        <w:ind w:firstLineChars="200" w:firstLine="440"/>
        <w:rPr>
          <w:rFonts w:hint="eastAsia"/>
          <w:sz w:val="21"/>
          <w:szCs w:val="21"/>
        </w:rPr>
      </w:pPr>
      <w:r w:rsidRPr="00D273C8">
        <w:rPr>
          <w:rFonts w:hint="eastAsia"/>
          <w:b/>
          <w:bCs/>
          <w:sz w:val="22"/>
          <w:szCs w:val="22"/>
        </w:rPr>
        <w:t>知识计算层</w:t>
      </w:r>
      <w:r w:rsidRPr="00D273C8">
        <w:rPr>
          <w:rFonts w:hint="eastAsia"/>
          <w:sz w:val="21"/>
          <w:szCs w:val="21"/>
        </w:rPr>
        <w:t>以AI知识图谱为核心，对社会生产、资源调度、文化活动等信息进行逻辑关联与动态演算，实现从“信息流”到“智慧流”的转化。</w:t>
      </w:r>
    </w:p>
    <w:p w14:paraId="48CEEECF" w14:textId="77777777" w:rsidR="00B011CC" w:rsidRPr="00D273C8" w:rsidRDefault="00B011CC" w:rsidP="00D273C8">
      <w:pPr>
        <w:spacing w:line="360" w:lineRule="auto"/>
        <w:rPr>
          <w:rStyle w:val="af"/>
          <w:rFonts w:hint="eastAsia"/>
          <w:sz w:val="21"/>
          <w:szCs w:val="21"/>
        </w:rPr>
      </w:pPr>
      <w:r w:rsidRPr="00D273C8">
        <w:rPr>
          <w:rStyle w:val="af"/>
          <w:rFonts w:hint="eastAsia"/>
          <w:sz w:val="21"/>
          <w:szCs w:val="21"/>
        </w:rPr>
        <w:t>混合式区块链共识机制（Hybrid Consensus Blockchain）</w:t>
      </w:r>
    </w:p>
    <w:p w14:paraId="45AC5EC8" w14:textId="77777777"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为解决传统区块链能耗高与速度慢的问题，SCIN采用“DPoS+BFT复合共识机制”，在AI调度下自动切换不同共识策略，兼顾安全与效率。同时，系统引入**量子随机数生成器（QRNG）**用于共识种子选取，大幅提升抗篡改能力与系统熵值。</w:t>
      </w:r>
    </w:p>
    <w:p w14:paraId="6ADB45B9" w14:textId="1DCC667C"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此机制保证了AI调度决策、资源分配及社会投票等核心事务的数据真实性与不可伪造性，实现“信任无需中心”。</w:t>
      </w:r>
    </w:p>
    <w:p w14:paraId="790EB86D" w14:textId="77777777" w:rsidR="00B011CC" w:rsidRPr="00D273C8" w:rsidRDefault="00B011CC" w:rsidP="00D273C8">
      <w:pPr>
        <w:spacing w:line="360" w:lineRule="auto"/>
        <w:rPr>
          <w:rStyle w:val="af"/>
          <w:rFonts w:hint="eastAsia"/>
          <w:sz w:val="21"/>
          <w:szCs w:val="21"/>
        </w:rPr>
      </w:pPr>
      <w:r w:rsidRPr="00D273C8">
        <w:rPr>
          <w:rStyle w:val="af"/>
          <w:rFonts w:hint="eastAsia"/>
          <w:sz w:val="21"/>
          <w:szCs w:val="21"/>
        </w:rPr>
        <w:t>AI知识推理与道德对齐系统（AI Knowledge Reasoning &amp; Alignment System）</w:t>
      </w:r>
    </w:p>
    <w:p w14:paraId="7EF24495" w14:textId="59DCBB8F"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lastRenderedPageBreak/>
        <w:t>SCIN与“文明火种”AI共同构建动态知识图谱，对海量可信知识进行逻辑建模与语义推理。AI依据因果学习（Causal Learning）与自监督知识演化（Self-supervised Evolution）</w:t>
      </w:r>
      <w:r w:rsidR="0048166A" w:rsidRPr="00D273C8">
        <w:rPr>
          <w:rFonts w:hint="eastAsia"/>
          <w:sz w:val="21"/>
          <w:szCs w:val="21"/>
        </w:rPr>
        <w:t>，</w:t>
      </w:r>
      <w:r w:rsidRPr="00D273C8">
        <w:rPr>
          <w:rFonts w:hint="eastAsia"/>
          <w:sz w:val="21"/>
          <w:szCs w:val="21"/>
        </w:rPr>
        <w:t>算法不断优化推理路径，提升政策、生产及文化决策的科学性。同时引入“人类价值对齐引导模块（HVA Module）”，确保AI推理结果符合社会伦理、公平与人本原则。</w:t>
      </w:r>
    </w:p>
    <w:p w14:paraId="7928DE2E" w14:textId="5942D8D4" w:rsidR="00B011CC" w:rsidRPr="00D273C8" w:rsidRDefault="00B011CC" w:rsidP="00D273C8">
      <w:pPr>
        <w:pStyle w:val="ab"/>
        <w:spacing w:line="360" w:lineRule="auto"/>
        <w:rPr>
          <w:rFonts w:hint="eastAsia"/>
          <w:sz w:val="28"/>
          <w:szCs w:val="28"/>
        </w:rPr>
      </w:pPr>
      <w:r w:rsidRPr="00D273C8">
        <w:rPr>
          <w:rFonts w:hint="eastAsia"/>
          <w:sz w:val="28"/>
          <w:szCs w:val="28"/>
        </w:rPr>
        <w:t>技术合理性与创新价值</w:t>
      </w:r>
    </w:p>
    <w:p w14:paraId="505E5172" w14:textId="5BE1F094"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SCIN通过融合分层数据治理（Layered Data Governance）、量子加密通讯（Quantum-secure Communication）、AI自治决策（AI Autonomous Decision）三项前沿技术，实现了信息系统的“三元统一”：</w:t>
      </w:r>
    </w:p>
    <w:p w14:paraId="13A98000" w14:textId="74725B31"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效率：分布式并行算法与AI调度提升信息响应速度；</w:t>
      </w:r>
    </w:p>
    <w:p w14:paraId="66BDEBA7" w14:textId="23722586"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安全：量子级加密与区块链冗余保证信息防伪与隐私；</w:t>
      </w:r>
    </w:p>
    <w:p w14:paraId="4F433E70" w14:textId="21F8FC41"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公平：AI伦理监督与民主共识机制确保数据使用透明与权力平衡。</w:t>
      </w:r>
    </w:p>
    <w:p w14:paraId="05E49F8F" w14:textId="61BF3B2F" w:rsidR="00B011CC" w:rsidRPr="00D273C8" w:rsidRDefault="00B011CC" w:rsidP="00D273C8">
      <w:pPr>
        <w:spacing w:line="360" w:lineRule="auto"/>
        <w:ind w:firstLineChars="200" w:firstLine="420"/>
        <w:rPr>
          <w:rFonts w:hint="eastAsia"/>
          <w:sz w:val="21"/>
          <w:szCs w:val="21"/>
        </w:rPr>
      </w:pPr>
      <w:r w:rsidRPr="00D273C8">
        <w:rPr>
          <w:rFonts w:hint="eastAsia"/>
          <w:sz w:val="21"/>
          <w:szCs w:val="21"/>
        </w:rPr>
        <w:t>这一体系不仅有效化解了中心化与去中心化的结构矛盾，也在社会治理、能源调度、文化创新等方面提供了可持续的信息基础设施，为“文明火种”AI的理性治理提供了可验证、可协作、可进化的核心神经系统。</w:t>
      </w:r>
    </w:p>
    <w:p w14:paraId="7993876A" w14:textId="320AA359" w:rsidR="00B9292E" w:rsidRPr="00D273C8" w:rsidRDefault="00BA10EF" w:rsidP="00D273C8">
      <w:pPr>
        <w:pStyle w:val="1"/>
        <w:spacing w:line="360" w:lineRule="auto"/>
        <w:rPr>
          <w:rFonts w:hint="eastAsia"/>
          <w:sz w:val="24"/>
          <w:szCs w:val="24"/>
        </w:rPr>
      </w:pPr>
      <w:r w:rsidRPr="00D273C8">
        <w:rPr>
          <w:rStyle w:val="10"/>
          <w:rFonts w:hint="eastAsia"/>
          <w:sz w:val="24"/>
          <w:szCs w:val="24"/>
        </w:rPr>
        <w:t>四</w:t>
      </w:r>
      <w:r w:rsidR="00784B6E" w:rsidRPr="00D273C8">
        <w:rPr>
          <w:rStyle w:val="10"/>
          <w:rFonts w:hint="eastAsia"/>
          <w:sz w:val="24"/>
          <w:szCs w:val="24"/>
        </w:rPr>
        <w:t>、</w:t>
      </w:r>
      <w:r w:rsidR="00B9292E" w:rsidRPr="00D273C8">
        <w:rPr>
          <w:rStyle w:val="10"/>
          <w:rFonts w:hint="eastAsia"/>
          <w:sz w:val="24"/>
          <w:szCs w:val="24"/>
        </w:rPr>
        <w:t>物流运输体系构建</w:t>
      </w:r>
    </w:p>
    <w:p w14:paraId="2BBEF102" w14:textId="77777777" w:rsidR="00B9292E" w:rsidRPr="00D273C8" w:rsidRDefault="00B9292E" w:rsidP="00D273C8">
      <w:pPr>
        <w:pStyle w:val="ab"/>
        <w:spacing w:line="360" w:lineRule="auto"/>
        <w:rPr>
          <w:rFonts w:hint="eastAsia"/>
          <w:sz w:val="28"/>
          <w:szCs w:val="28"/>
        </w:rPr>
      </w:pPr>
      <w:r w:rsidRPr="00D273C8">
        <w:rPr>
          <w:rFonts w:hint="eastAsia"/>
          <w:sz w:val="28"/>
          <w:szCs w:val="28"/>
        </w:rPr>
        <w:t>物流运输</w:t>
      </w:r>
    </w:p>
    <w:p w14:paraId="5730AB2C"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物品运输选址并建造地下运输通道，运输通道与居民区、工作区、农作区、制造业区域等相连，在超级计算机的中央调控下实行智能调度与全局优化；系统由自动化仓储、智能调度、实时监控与磁悬浮传送带四部分构成：</w:t>
      </w:r>
    </w:p>
    <w:p w14:paraId="0123A1D6" w14:textId="77777777" w:rsidR="00B9292E" w:rsidRPr="00D273C8" w:rsidRDefault="00B9292E" w:rsidP="00D273C8">
      <w:pPr>
        <w:pStyle w:val="ab"/>
        <w:spacing w:line="360" w:lineRule="auto"/>
        <w:rPr>
          <w:rFonts w:hint="eastAsia"/>
          <w:sz w:val="28"/>
          <w:szCs w:val="28"/>
        </w:rPr>
      </w:pPr>
      <w:r w:rsidRPr="00D273C8">
        <w:rPr>
          <w:rFonts w:hint="eastAsia"/>
          <w:sz w:val="28"/>
          <w:szCs w:val="28"/>
        </w:rPr>
        <w:t>自动化仓储</w:t>
      </w:r>
    </w:p>
    <w:p w14:paraId="4F0442F7"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采用立体自动化货架与智能分拣机器人实现高密度存储与秒级出入库响应，显著提升货物转移与存储效率。</w:t>
      </w:r>
    </w:p>
    <w:p w14:paraId="7189EEB9" w14:textId="77777777" w:rsidR="00B9292E" w:rsidRPr="00D273C8" w:rsidRDefault="00B9292E" w:rsidP="00D273C8">
      <w:pPr>
        <w:pStyle w:val="ab"/>
        <w:spacing w:line="360" w:lineRule="auto"/>
        <w:rPr>
          <w:rFonts w:hint="eastAsia"/>
          <w:sz w:val="28"/>
          <w:szCs w:val="28"/>
        </w:rPr>
      </w:pPr>
      <w:r w:rsidRPr="00D273C8">
        <w:rPr>
          <w:rFonts w:hint="eastAsia"/>
          <w:sz w:val="28"/>
          <w:szCs w:val="28"/>
        </w:rPr>
        <w:lastRenderedPageBreak/>
        <w:t>智能调度系统</w:t>
      </w:r>
    </w:p>
    <w:p w14:paraId="53981136"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基于大数据、实时交通与能耗模型及优化算法（路径优化、装载优化、多个目标调度）对运输任务进行集中指挥，动态优化车辆与通道利用率，追求整体效率最大化。</w:t>
      </w:r>
    </w:p>
    <w:p w14:paraId="0BD934F0" w14:textId="77777777" w:rsidR="00B9292E" w:rsidRPr="00D273C8" w:rsidRDefault="00B9292E" w:rsidP="00D273C8">
      <w:pPr>
        <w:pStyle w:val="ab"/>
        <w:spacing w:line="360" w:lineRule="auto"/>
        <w:rPr>
          <w:rFonts w:hint="eastAsia"/>
          <w:sz w:val="28"/>
          <w:szCs w:val="28"/>
        </w:rPr>
      </w:pPr>
      <w:r w:rsidRPr="00D273C8">
        <w:rPr>
          <w:rFonts w:hint="eastAsia"/>
          <w:sz w:val="28"/>
          <w:szCs w:val="28"/>
        </w:rPr>
        <w:t>实时监控系统</w:t>
      </w:r>
    </w:p>
    <w:p w14:paraId="26D09961"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融合 RFID／GPS／物联网传感器与视频分析，对货物位置、温湿度、振动及完整性进行实时监测，并与调度系统闭环联动，确保货物安全，实现快速溯源与问题响应。</w:t>
      </w:r>
    </w:p>
    <w:p w14:paraId="2B98EEF0" w14:textId="77777777" w:rsidR="00B9292E" w:rsidRPr="00D273C8" w:rsidRDefault="00B9292E" w:rsidP="00D273C8">
      <w:pPr>
        <w:pStyle w:val="ab"/>
        <w:spacing w:line="360" w:lineRule="auto"/>
        <w:rPr>
          <w:rFonts w:hint="eastAsia"/>
          <w:sz w:val="28"/>
          <w:szCs w:val="28"/>
        </w:rPr>
      </w:pPr>
      <w:r w:rsidRPr="00D273C8">
        <w:rPr>
          <w:rFonts w:hint="eastAsia"/>
          <w:sz w:val="28"/>
          <w:szCs w:val="28"/>
        </w:rPr>
        <w:t>磁悬浮传送带技术</w:t>
      </w:r>
    </w:p>
    <w:p w14:paraId="251338B8"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在输送干线与短距分发环节引入磁悬浮（磁驱）传送带技术，实现无接触驱动与高性能柔性运输。该技术通过长定子线圈或电磁轨道对“动子”（承载单元）进行电磁牵引／悬浮控制，支持独立编程的速度／位置控制与分岔合流，从而可高度柔性化地连接生产线和路径重构。</w:t>
      </w:r>
    </w:p>
    <w:p w14:paraId="6D73A1EA"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作为工业高端方案典型，iTS-L 系列与 MegaMover iHDT 等磁悬浮传输产品展示了磁悬浮传动在速度、精度、载重与洁净性方面的卓越性能：</w:t>
      </w:r>
    </w:p>
    <w:p w14:paraId="08177B42"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 高速：示例参数可达 6 m/s，远超传统传送带；</w:t>
      </w:r>
    </w:p>
    <w:p w14:paraId="07E04029"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 高精度：重复定位精度可达 ±0.03 mm，部分型号声称至 ±10 μm；</w:t>
      </w:r>
    </w:p>
    <w:p w14:paraId="410A2CAD"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 柔性控制：每个动子可独立编程、支持双向、分叉、合流操作；</w:t>
      </w:r>
    </w:p>
    <w:p w14:paraId="3E60C323"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 重载适配：MegaMover iHDT 型号示例可承载至 5000 kg；</w:t>
      </w:r>
    </w:p>
    <w:p w14:paraId="212AEAD6"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 高洁净度：无摩擦、无粉尘，满足 Class 100 等洁净车间标准。</w:t>
      </w:r>
    </w:p>
    <w:p w14:paraId="067FD469" w14:textId="7777777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t>系统采用分层控制架构：中央超级计算机负责宏观调度，边缘控制器负责实时闭环驱动与动子协调；并集成多级冗余安全机制（电磁驱动冗余、实时故障检测、故障隔离）以保障系统稳定。该方案在提高输送效率、降低机械磨损与维护成本、满足半导体／生物医药等高洁净要求方面展现出显著工程合理性与可行性。</w:t>
      </w:r>
    </w:p>
    <w:p w14:paraId="23A95C7C" w14:textId="41D9AE87" w:rsidR="00B9292E" w:rsidRPr="00D273C8" w:rsidRDefault="00B9292E" w:rsidP="00D273C8">
      <w:pPr>
        <w:spacing w:line="360" w:lineRule="auto"/>
        <w:ind w:firstLineChars="200" w:firstLine="420"/>
        <w:rPr>
          <w:rFonts w:hint="eastAsia"/>
          <w:sz w:val="21"/>
          <w:szCs w:val="21"/>
        </w:rPr>
      </w:pPr>
      <w:r w:rsidRPr="00D273C8">
        <w:rPr>
          <w:rFonts w:hint="eastAsia"/>
          <w:sz w:val="21"/>
          <w:szCs w:val="21"/>
        </w:rPr>
        <w:lastRenderedPageBreak/>
        <w:t>此整体物流运输方案融合地下空间连续性与地表功能分区，利用自动化仓储与智能调度减少人工依赖提升吞吐量，利用实时监控保障物资完整性与供应链透明度，利用磁悬浮传送线在关键节点实现高速、高精度、可编排的物料流动。该方案可提供高效、可靠、可扩展的物流网络支持。</w:t>
      </w:r>
    </w:p>
    <w:p w14:paraId="37F676F9" w14:textId="678D7D0E" w:rsidR="00C46963" w:rsidRPr="00D273C8" w:rsidRDefault="00BA10EF" w:rsidP="00D273C8">
      <w:pPr>
        <w:pStyle w:val="1"/>
        <w:spacing w:line="360" w:lineRule="auto"/>
        <w:rPr>
          <w:rFonts w:hint="eastAsia"/>
          <w:sz w:val="24"/>
          <w:szCs w:val="24"/>
        </w:rPr>
      </w:pPr>
      <w:r w:rsidRPr="00D273C8">
        <w:rPr>
          <w:rFonts w:hint="eastAsia"/>
          <w:sz w:val="24"/>
          <w:szCs w:val="24"/>
        </w:rPr>
        <w:t>五</w:t>
      </w:r>
      <w:r w:rsidR="00C46963" w:rsidRPr="00D273C8">
        <w:rPr>
          <w:rFonts w:hint="eastAsia"/>
          <w:sz w:val="24"/>
          <w:szCs w:val="24"/>
        </w:rPr>
        <w:t>、增强现实与沉浸式交互技术体系</w:t>
      </w:r>
    </w:p>
    <w:p w14:paraId="053F0C92" w14:textId="77777777" w:rsidR="00C46963" w:rsidRPr="00D273C8" w:rsidRDefault="00C46963" w:rsidP="00D273C8">
      <w:pPr>
        <w:pStyle w:val="ab"/>
        <w:spacing w:line="360" w:lineRule="auto"/>
        <w:rPr>
          <w:rFonts w:hint="eastAsia"/>
          <w:sz w:val="28"/>
          <w:szCs w:val="28"/>
        </w:rPr>
      </w:pPr>
      <w:r w:rsidRPr="00D273C8">
        <w:rPr>
          <w:rFonts w:hint="eastAsia"/>
          <w:sz w:val="28"/>
          <w:szCs w:val="28"/>
        </w:rPr>
        <w:t>AR（增强现实）技术</w:t>
      </w:r>
    </w:p>
    <w:p w14:paraId="5ED1F5E8"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增强现实（Augmented Reality，AR）通过摄像头与传感器捕捉现实场景，利用计算机视觉算法识别环境结构与空间特征，将生成的数字内容精准叠加到现实画面中，实现虚实融合的交互体验。AR 系统以视觉定位与惯性测量为核心，通过环境建模与光照估计，使虚拟物体在物理空间中保持正确比例与光影一致性。</w:t>
      </w:r>
    </w:p>
    <w:p w14:paraId="37D3C050" w14:textId="6806FD9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在工程应用中，AR 技术可将操作指引、能耗数据或设备模型直接呈现在真实设备上，用于维护、培训与空间导航等场景。随着移动端 AR 平台和可穿戴眼镜的成熟，系统能够实现厘米级定位和毫秒级渲染响应，提供高效的信息叠加与智能交互手段，增强空间可视化与任务执行效率。</w:t>
      </w:r>
    </w:p>
    <w:p w14:paraId="5185A0A4" w14:textId="77777777" w:rsidR="00C46963" w:rsidRPr="00D273C8" w:rsidRDefault="00C46963" w:rsidP="00D273C8">
      <w:pPr>
        <w:spacing w:line="360" w:lineRule="auto"/>
        <w:ind w:firstLineChars="200" w:firstLine="420"/>
        <w:rPr>
          <w:rFonts w:hint="eastAsia"/>
          <w:sz w:val="21"/>
          <w:szCs w:val="21"/>
        </w:rPr>
      </w:pPr>
      <w:r w:rsidRPr="00D273C8">
        <w:rPr>
          <w:rFonts w:ascii="等线" w:eastAsia="等线" w:hAnsi="等线" w:cs="等线" w:hint="eastAsia"/>
          <w:sz w:val="21"/>
          <w:szCs w:val="21"/>
        </w:rPr>
        <w:t>￼</w:t>
      </w:r>
    </w:p>
    <w:p w14:paraId="0E709CC8" w14:textId="77777777" w:rsidR="00C46963" w:rsidRPr="00D273C8" w:rsidRDefault="00C46963" w:rsidP="00D273C8">
      <w:pPr>
        <w:pStyle w:val="ab"/>
        <w:spacing w:line="360" w:lineRule="auto"/>
        <w:rPr>
          <w:rFonts w:hint="eastAsia"/>
          <w:sz w:val="28"/>
          <w:szCs w:val="28"/>
        </w:rPr>
      </w:pPr>
      <w:r w:rsidRPr="00D273C8">
        <w:rPr>
          <w:rFonts w:hint="eastAsia"/>
          <w:sz w:val="28"/>
          <w:szCs w:val="28"/>
        </w:rPr>
        <w:t>MR（混合现实）技术</w:t>
      </w:r>
    </w:p>
    <w:p w14:paraId="113B5909"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混合现实（Mixed Reality，MR）位于虚拟与现实之间，通过深度感知、空间锚定和物理仿真，使数字对象能与现实环境进行实时互动。MR 不仅在视觉上叠加虚拟元素，更在物理与情感层面实现融合，例如让虚拟人物能识别真实环境并与用户自然交流，形成情感共鸣。</w:t>
      </w:r>
    </w:p>
    <w:p w14:paraId="2CD36079" w14:textId="7AB9A056"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该技术融合了空间重建、语义识别与多模态交互（语音、手势、眼动等），能够保持多个用户在同一虚拟空间中的位置一致性，从而支持协作、教育及心理关怀等场景。MR 可用于情境式学习、远程协作与沉浸式文化体验，让数字人文与现实环境无缝连接，强化人与虚拟世界的情感纽带。</w:t>
      </w:r>
    </w:p>
    <w:p w14:paraId="4428D042" w14:textId="77777777" w:rsidR="00C46963" w:rsidRPr="00D273C8" w:rsidRDefault="00C46963" w:rsidP="00D273C8">
      <w:pPr>
        <w:spacing w:line="360" w:lineRule="auto"/>
        <w:ind w:firstLineChars="200" w:firstLine="420"/>
        <w:rPr>
          <w:rFonts w:hint="eastAsia"/>
          <w:sz w:val="21"/>
          <w:szCs w:val="21"/>
        </w:rPr>
      </w:pPr>
      <w:r w:rsidRPr="00D273C8">
        <w:rPr>
          <w:rFonts w:ascii="等线" w:eastAsia="等线" w:hAnsi="等线" w:cs="等线" w:hint="eastAsia"/>
          <w:sz w:val="21"/>
          <w:szCs w:val="21"/>
        </w:rPr>
        <w:lastRenderedPageBreak/>
        <w:t>￼</w:t>
      </w:r>
    </w:p>
    <w:p w14:paraId="6CCA46B2" w14:textId="77777777" w:rsidR="00C46963" w:rsidRPr="00D273C8" w:rsidRDefault="00C46963" w:rsidP="00D273C8">
      <w:pPr>
        <w:pStyle w:val="ab"/>
        <w:spacing w:line="360" w:lineRule="auto"/>
        <w:rPr>
          <w:rFonts w:hint="eastAsia"/>
          <w:sz w:val="28"/>
          <w:szCs w:val="28"/>
        </w:rPr>
      </w:pPr>
      <w:r w:rsidRPr="00D273C8">
        <w:rPr>
          <w:rFonts w:hint="eastAsia"/>
          <w:sz w:val="28"/>
          <w:szCs w:val="28"/>
        </w:rPr>
        <w:t>VR（虚拟现实）技术</w:t>
      </w:r>
    </w:p>
    <w:p w14:paraId="270708E3"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虚拟现实（Virtual Reality，VR）通过高分辨率头显和立体音效系统构建完全计算机生成的沉浸式空间。设备采用光学透镜与六自由度追踪技术实时捕捉用户头部与手部运动，使视觉、听觉及触觉反馈与虚拟环境保持同步。</w:t>
      </w:r>
    </w:p>
    <w:p w14:paraId="53ECA76F"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VR 通过高刷新率渲染与低延迟感知，营造逼真的存在感与空间深度，广泛用于培训、设计、仿真和行为研究等领域。在“百万立方”项目中，VR 可实现复杂工况的安全训练、城市系统的虚拟评估与人机交互实验，为文明重启与未来城市的模拟提供高沉浸度的实验平台。</w:t>
      </w:r>
    </w:p>
    <w:p w14:paraId="38E0254A" w14:textId="77777777" w:rsidR="00C46963" w:rsidRPr="00D273C8" w:rsidRDefault="00C46963" w:rsidP="00D273C8">
      <w:pPr>
        <w:pStyle w:val="ab"/>
        <w:spacing w:line="360" w:lineRule="auto"/>
        <w:rPr>
          <w:rFonts w:hint="eastAsia"/>
          <w:sz w:val="28"/>
          <w:szCs w:val="28"/>
        </w:rPr>
      </w:pPr>
      <w:r w:rsidRPr="00D273C8">
        <w:rPr>
          <w:rFonts w:hint="eastAsia"/>
          <w:sz w:val="28"/>
          <w:szCs w:val="28"/>
        </w:rPr>
        <w:t>综合应用展望</w:t>
      </w:r>
    </w:p>
    <w:p w14:paraId="0A036B2B"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AR 提供现实中的信息叠加与操作引导，MR 构建虚实融合与情感交互空间，VR 实现完全沉浸式的仿真与实验环境。三者共同构成“百万立方”在视觉交互领域的核心技术体系：</w:t>
      </w:r>
    </w:p>
    <w:p w14:paraId="4032F796"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 AR 用于现场可视化与智能运维；</w:t>
      </w:r>
    </w:p>
    <w:p w14:paraId="7E50FA59"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 MR 用于协作、教育与文化共感；</w:t>
      </w:r>
    </w:p>
    <w:p w14:paraId="03A125C4"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 VR 用于模拟、训练与设计评估。</w:t>
      </w:r>
    </w:p>
    <w:p w14:paraId="58328660" w14:textId="77777777" w:rsidR="00C46963" w:rsidRPr="00D273C8" w:rsidRDefault="00C46963" w:rsidP="00D273C8">
      <w:pPr>
        <w:spacing w:line="360" w:lineRule="auto"/>
        <w:ind w:firstLineChars="200" w:firstLine="420"/>
        <w:rPr>
          <w:rFonts w:hint="eastAsia"/>
          <w:sz w:val="21"/>
          <w:szCs w:val="21"/>
        </w:rPr>
      </w:pPr>
      <w:r w:rsidRPr="00D273C8">
        <w:rPr>
          <w:rFonts w:hint="eastAsia"/>
          <w:sz w:val="21"/>
          <w:szCs w:val="21"/>
        </w:rPr>
        <w:t>它们将共同支撑项目的知识重建、文明传承与未来空间实验，实现数字与现实世界的深度融合。</w:t>
      </w:r>
    </w:p>
    <w:p w14:paraId="2EFF41DD" w14:textId="77777777" w:rsidR="00C46963" w:rsidRPr="00D273C8" w:rsidRDefault="00C46963" w:rsidP="00D273C8">
      <w:pPr>
        <w:spacing w:line="360" w:lineRule="auto"/>
        <w:ind w:firstLineChars="200" w:firstLine="420"/>
        <w:rPr>
          <w:rFonts w:hint="eastAsia"/>
          <w:sz w:val="21"/>
          <w:szCs w:val="21"/>
        </w:rPr>
      </w:pPr>
    </w:p>
    <w:p w14:paraId="53FFF9C6" w14:textId="730A7862" w:rsidR="00FD407A" w:rsidRPr="00D273C8" w:rsidRDefault="00BA10EF" w:rsidP="00D273C8">
      <w:pPr>
        <w:pStyle w:val="1"/>
        <w:spacing w:line="360" w:lineRule="auto"/>
        <w:rPr>
          <w:rFonts w:hint="eastAsia"/>
          <w:sz w:val="24"/>
          <w:szCs w:val="24"/>
        </w:rPr>
      </w:pPr>
      <w:r w:rsidRPr="00D273C8">
        <w:rPr>
          <w:rFonts w:hint="eastAsia"/>
          <w:sz w:val="24"/>
          <w:szCs w:val="24"/>
        </w:rPr>
        <w:t>六</w:t>
      </w:r>
      <w:r w:rsidR="00FD407A" w:rsidRPr="00D273C8">
        <w:rPr>
          <w:rFonts w:hint="eastAsia"/>
          <w:sz w:val="24"/>
          <w:szCs w:val="24"/>
        </w:rPr>
        <w:t>、</w:t>
      </w:r>
      <w:r w:rsidR="00C46963" w:rsidRPr="00D273C8">
        <w:rPr>
          <w:rFonts w:hint="eastAsia"/>
          <w:sz w:val="24"/>
          <w:szCs w:val="24"/>
        </w:rPr>
        <w:t>灵肤系统（Luminis Skin System, LSS）</w:t>
      </w:r>
    </w:p>
    <w:p w14:paraId="1E1E1692" w14:textId="77777777" w:rsidR="00FD407A" w:rsidRPr="00D273C8" w:rsidRDefault="00FD407A" w:rsidP="00D273C8">
      <w:pPr>
        <w:pStyle w:val="ab"/>
        <w:spacing w:line="360" w:lineRule="auto"/>
        <w:rPr>
          <w:rFonts w:hint="eastAsia"/>
          <w:sz w:val="28"/>
          <w:szCs w:val="28"/>
        </w:rPr>
      </w:pPr>
      <w:r w:rsidRPr="00D273C8">
        <w:rPr>
          <w:rFonts w:hint="eastAsia"/>
          <w:sz w:val="28"/>
          <w:szCs w:val="28"/>
        </w:rPr>
        <w:t>总体概述</w:t>
      </w:r>
    </w:p>
    <w:p w14:paraId="03549943"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lastRenderedPageBreak/>
        <w:t xml:space="preserve">服装已演化为高度智能的“个人第二皮肤”或“可穿戴环境”，其功能远超遮蔽与审美。服装的自适应本质上是将织物从“被动材料”升级为“软质机器人系统”，其技术合理性建立在材料科学、微工程与人工智能的交叉之上。有关智能纤维与可穿戴织物作为“第二皮肤”的系统化研究，已在近年权威综述中得到总结，表明将传感、致动与计算嵌入织物在概念与实验层面均具备坚实基础。 </w:t>
      </w:r>
    </w:p>
    <w:p w14:paraId="14EB816F" w14:textId="77777777" w:rsidR="00FD407A" w:rsidRPr="00D273C8" w:rsidRDefault="00FD407A" w:rsidP="00D273C8">
      <w:pPr>
        <w:pStyle w:val="ab"/>
        <w:spacing w:line="360" w:lineRule="auto"/>
        <w:rPr>
          <w:rFonts w:hint="eastAsia"/>
          <w:sz w:val="28"/>
          <w:szCs w:val="28"/>
        </w:rPr>
      </w:pPr>
      <w:r w:rsidRPr="00D273C8">
        <w:rPr>
          <w:rFonts w:hint="eastAsia"/>
          <w:sz w:val="28"/>
          <w:szCs w:val="28"/>
        </w:rPr>
        <w:t>1. 智能材料与动态织物流</w:t>
      </w:r>
    </w:p>
    <w:p w14:paraId="29D137F9"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“超级计算机”根据全球实时气象数据、居民日程安排与生理指标，向织物工厂或边缘控制器下发指令，动态调整衣物的纤维密度、透气性、颜色与图案。具体实现技术包括：</w:t>
      </w:r>
    </w:p>
    <w:p w14:paraId="5A5D0B38"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xml:space="preserve">• 形状记忆合金（SMA）与形状记忆聚合物：在受到微电流或温度变化等刺激时可从一种预设形态变更为另一种形态。将 SMA 或可逆形变聚合物编织入织物后，可控制局部弯曲、收缩或展开，从而实现袖口收放、衣领立倒等形态变化；SMA-织物在文献与实验产品中已有大量应用示范。 </w:t>
      </w:r>
    </w:p>
    <w:p w14:paraId="757BFF98"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xml:space="preserve">• 电致变色与光子晶体纤维：通过施加微小电压，可使纤维的颜色或透明度可逆改变，实现低能耗的图案/色彩动态切换；已有可拉伸电致变色器件与电致变色织物的研究成果，显示出伸缩性与耐久性改进的路线。 </w:t>
      </w:r>
    </w:p>
    <w:p w14:paraId="27A058ED"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xml:space="preserve">• 微流控通道织物：在纤维中嵌入微观流体通道，通过泵送或抽出染料、冷/热交换液体，实现动态变色与主动热调节，这种“纤维级微流体”方案在多学科项目中得到持续探索（从原型到规模化仍有工程挑战）。 </w:t>
      </w:r>
    </w:p>
    <w:p w14:paraId="4AC79F66"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工作机制（简述）：服装内嵌微处理器接收来自“超级计算机”或本体传感器的指令，按时间与位置对特定智能材料施加精确刺激（如电流、局部加热/冷却或流体注入），从而触发形态与属性变化；为保障响应速度与隐私，常采用“中央-边缘”二层控制：中央负责策略与全局优化，边缘负责实时闭环控制。</w:t>
      </w:r>
    </w:p>
    <w:p w14:paraId="673AF793"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技术合理性与工程挑战：上述智能材料在实验室与若干产品原型中已经被验证（例如 SMA 在宇航服与致动织物中的示范、电致变色材料在可穿戴器件中的应用），但要实现纺织级大规模生产，需要解决耐用性、可洗涤性、柔性电源与低功耗驱动、材料与纺织工艺</w:t>
      </w:r>
      <w:r w:rsidRPr="00D273C8">
        <w:rPr>
          <w:rFonts w:hint="eastAsia"/>
          <w:sz w:val="21"/>
          <w:szCs w:val="21"/>
        </w:rPr>
        <w:lastRenderedPageBreak/>
        <w:t xml:space="preserve">的兼容性等工程问题；这些问题可通过模块化设计、可插拔功能单元、以及与现有纺织生产线的兼容改造路径逐步克服。 </w:t>
      </w:r>
    </w:p>
    <w:p w14:paraId="5D4FACBD" w14:textId="77777777" w:rsidR="00FD407A" w:rsidRPr="00D273C8" w:rsidRDefault="00FD407A" w:rsidP="00D273C8">
      <w:pPr>
        <w:pStyle w:val="ab"/>
        <w:spacing w:line="360" w:lineRule="auto"/>
        <w:rPr>
          <w:rFonts w:hint="eastAsia"/>
          <w:sz w:val="28"/>
          <w:szCs w:val="28"/>
        </w:rPr>
      </w:pPr>
      <w:r w:rsidRPr="00D273C8">
        <w:rPr>
          <w:rFonts w:hint="eastAsia"/>
          <w:sz w:val="28"/>
          <w:szCs w:val="28"/>
        </w:rPr>
        <w:t>2. 个人微气候管理的工程实现</w:t>
      </w:r>
    </w:p>
    <w:p w14:paraId="54A2A3ED"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衣物内嵌微传感器与微型环境调节单元（如加热/制冷单元、主动通风、空气净化模块），能在身体周围形成稳定舒适的微气候，使穿戴者在极端环境下仍保持舒适与安全。关键技术要素包括：</w:t>
      </w:r>
    </w:p>
    <w:p w14:paraId="7E77B00F"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xml:space="preserve">• 固态热电装置（基于帕尔帖效应）：小型化热电单元可通过电流方向实现制热或制冷，适合集成于背部、胸部等关键区域；近期可穿戴热电纤维与织物研究显示出在透气性与功率密度上的可行进展。 </w:t>
      </w:r>
    </w:p>
    <w:p w14:paraId="66980DB0"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主动通风系统：采用体积小、近乎无声的压电微风扇或微气泵，在衣物与皮肤之间形成空气循环层，带走汗湿与多余热量，配合透气织物实现有效湿热管理。</w:t>
      </w:r>
    </w:p>
    <w:p w14:paraId="72520236"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xml:space="preserve">• 相变材料（PCM）微胶囊：将 PCM 微胶囊植入纤维或涂层，利用相变吸放热特性在体温高时吸热、在低温时释放热量，起被动调温作用；PCMs 在建筑与纺织应用的综述指出其在可穿戴热管理中的潜力与封装挑战。 </w:t>
      </w:r>
    </w:p>
    <w:p w14:paraId="2CDFFB42"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工作机制（简述）：遍布服装的温湿度与生理传感器实时监测体表微环境数据，AI 算法在边缘或中央融合个人偏好与环境信息，控制热电单元、风扇与 PCM 协同工作，以将体表温度稳定在设定舒适区；系统需考虑能量管理（如能量回收、局部能量采集）与故障安全策略。</w:t>
      </w:r>
    </w:p>
    <w:p w14:paraId="27B6E22D"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xml:space="preserve">技术合理性：该思路沿袭高性能登山服与宇航服的温控逻辑，但在实现路径上强调微型化、柔性化与分布式部署；可穿戴医疗传感器与柔性电子的成熟为微传感器与控制器的集成提供了可借鉴范本。 </w:t>
      </w:r>
    </w:p>
    <w:p w14:paraId="135C45EF" w14:textId="77777777" w:rsidR="00FD407A" w:rsidRPr="00D273C8" w:rsidRDefault="00FD407A" w:rsidP="00D273C8">
      <w:pPr>
        <w:pStyle w:val="ab"/>
        <w:spacing w:line="360" w:lineRule="auto"/>
        <w:rPr>
          <w:rFonts w:hint="eastAsia"/>
          <w:sz w:val="28"/>
          <w:szCs w:val="28"/>
        </w:rPr>
      </w:pPr>
      <w:r w:rsidRPr="00D273C8">
        <w:rPr>
          <w:rFonts w:hint="eastAsia"/>
          <w:sz w:val="28"/>
          <w:szCs w:val="28"/>
        </w:rPr>
        <w:t>3. 决策与交互人工智能</w:t>
      </w:r>
    </w:p>
    <w:p w14:paraId="55F391C7"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服装可在“超级计算机”的建议或用户指令下，自动改变剪裁和形态，例如从办公正装转换为运动服或休闲礼服。具体功能与工作机制如下：</w:t>
      </w:r>
    </w:p>
    <w:p w14:paraId="7C2C62B8"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lastRenderedPageBreak/>
        <w:t>• 工作机制：AI 作为服装的“时尚顾问”与“环境管家”，通过学习用户风格偏好与行为模式，结合“超级计算机”下发的日程信息（例如“一小时后有重要会议”）、实时天气与社交场合判定，形成推荐或自动执行策略。执行层面由服装本体的执行器（SMA、微流控、致色单元、热电单元等）响应，从而完成剪裁/外观/功能的转换（例如通勤时保持透气、进入办公室自动切换成商务剪裁、遇雨时表面疏水并亮起安全指示灯）。</w:t>
      </w:r>
    </w:p>
    <w:p w14:paraId="4DD42E78"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技术合理性：智能手机上的情境感知、推荐系统与小型化 AI 模型已是该功能的雏形；随着嵌入式 AI 芯片与低功耗推理技术的发展，将情境感知与决策能力部署到可穿戴服装在工程上已具可行性，但需重视隐私保护、可控性与用户可回退的手动控制界面。</w:t>
      </w:r>
    </w:p>
    <w:p w14:paraId="600794B9" w14:textId="77777777" w:rsidR="00FD407A" w:rsidRPr="00D273C8" w:rsidRDefault="00FD407A" w:rsidP="00D273C8">
      <w:pPr>
        <w:spacing w:line="360" w:lineRule="auto"/>
        <w:ind w:firstLineChars="200" w:firstLine="420"/>
        <w:rPr>
          <w:rFonts w:hint="eastAsia"/>
          <w:sz w:val="21"/>
          <w:szCs w:val="21"/>
        </w:rPr>
      </w:pPr>
      <w:r w:rsidRPr="00D273C8">
        <w:rPr>
          <w:rFonts w:ascii="等线" w:eastAsia="等线" w:hAnsi="等线" w:cs="等线" w:hint="eastAsia"/>
          <w:sz w:val="21"/>
          <w:szCs w:val="21"/>
        </w:rPr>
        <w:t>￼</w:t>
      </w:r>
    </w:p>
    <w:p w14:paraId="1DE162F6" w14:textId="10F68D8E" w:rsidR="00FD407A" w:rsidRPr="00D273C8" w:rsidRDefault="00FD407A" w:rsidP="00D273C8">
      <w:pPr>
        <w:pStyle w:val="ab"/>
        <w:spacing w:line="360" w:lineRule="auto"/>
        <w:rPr>
          <w:rFonts w:hint="eastAsia"/>
          <w:sz w:val="28"/>
          <w:szCs w:val="28"/>
        </w:rPr>
      </w:pPr>
      <w:r w:rsidRPr="00D273C8">
        <w:rPr>
          <w:rFonts w:hint="eastAsia"/>
          <w:sz w:val="28"/>
          <w:szCs w:val="28"/>
        </w:rPr>
        <w:t>总体工程化与可落地性评估</w:t>
      </w:r>
    </w:p>
    <w:p w14:paraId="7B7D5113" w14:textId="39507EFB"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上述三类技术（智能材料与动态织物流、个人微气候管理、决策与交互 AI）构成“智能第二皮肤”体系的核心链路：材料与致动单元提供功能与形态变换能力，微传感与热管理单元保障生理舒适，AI 与中央/边缘控制架构实现场景感知與策略执行。当前学术与产业研究（包括智能纤维、可拉伸电致变色器件、可穿戴热电织物、PCM 集成、以及可编程 SMA 织物原型）为技术可行性提供了实证支持；工程落地的关键在于耐用性（可洗涤、机械疲劳）、低功耗电源与能量回收、与现有纺织制造工艺的兼容性，以及用户隐私与使用可控性的制度与设计保障。通过模块化、分层控制</w:t>
      </w:r>
      <w:r w:rsidR="003C6A06" w:rsidRPr="00D273C8">
        <w:rPr>
          <w:rFonts w:hint="eastAsia"/>
          <w:sz w:val="21"/>
          <w:szCs w:val="21"/>
        </w:rPr>
        <w:t>，</w:t>
      </w:r>
      <w:r w:rsidRPr="00D273C8">
        <w:rPr>
          <w:rFonts w:hint="eastAsia"/>
          <w:sz w:val="21"/>
          <w:szCs w:val="21"/>
        </w:rPr>
        <w:t>该“个人环境可穿戴界面”具有明确的推广路线。</w:t>
      </w:r>
    </w:p>
    <w:p w14:paraId="6E945DC7" w14:textId="0498E56F" w:rsidR="00FD407A" w:rsidRPr="00D273C8" w:rsidRDefault="00432F9F" w:rsidP="00D273C8">
      <w:pPr>
        <w:pStyle w:val="1"/>
        <w:spacing w:line="360" w:lineRule="auto"/>
        <w:rPr>
          <w:rFonts w:hint="eastAsia"/>
          <w:sz w:val="24"/>
          <w:szCs w:val="24"/>
        </w:rPr>
      </w:pPr>
      <w:r w:rsidRPr="00D273C8">
        <w:rPr>
          <w:rFonts w:hint="eastAsia"/>
          <w:sz w:val="24"/>
          <w:szCs w:val="24"/>
        </w:rPr>
        <w:t>七</w:t>
      </w:r>
      <w:r w:rsidR="00FD407A" w:rsidRPr="00D273C8">
        <w:rPr>
          <w:rFonts w:hint="eastAsia"/>
          <w:sz w:val="24"/>
          <w:szCs w:val="24"/>
        </w:rPr>
        <w:t>、</w:t>
      </w:r>
      <w:r w:rsidR="00C46963" w:rsidRPr="00D273C8">
        <w:rPr>
          <w:rFonts w:hint="eastAsia"/>
          <w:sz w:val="24"/>
          <w:szCs w:val="24"/>
        </w:rPr>
        <w:t>灵膳系统（Luminis Nourishment System, LNS</w:t>
      </w:r>
    </w:p>
    <w:p w14:paraId="4CDE91D4" w14:textId="77777777" w:rsidR="00FD407A" w:rsidRPr="00D273C8" w:rsidRDefault="00FD407A" w:rsidP="00D273C8">
      <w:pPr>
        <w:pStyle w:val="ab"/>
        <w:spacing w:line="360" w:lineRule="auto"/>
        <w:rPr>
          <w:rFonts w:hint="eastAsia"/>
          <w:sz w:val="28"/>
          <w:szCs w:val="28"/>
        </w:rPr>
      </w:pPr>
      <w:r w:rsidRPr="00D273C8">
        <w:rPr>
          <w:rFonts w:hint="eastAsia"/>
          <w:sz w:val="28"/>
          <w:szCs w:val="28"/>
        </w:rPr>
        <w:t>总体概述</w:t>
      </w:r>
    </w:p>
    <w:p w14:paraId="118D59A5"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中央厨房彻底告别传统烹饪模式，成为与垂直农场、居民健康数据实时联通的营养合成与定制终端。整个系统以“超级计算机 + 边缘/工厂执行单元”的二层控制架构为核心，将基因组学、可穿戴生物传感、实时代谢与行为数据、AI 健康模型、分子级食物合成与闭环资源回收无缝连结，从而在个体层面实现“按需配方、按口感定制、按场景配送”的端到端营养供给体系。</w:t>
      </w:r>
    </w:p>
    <w:p w14:paraId="02B20543" w14:textId="77777777" w:rsidR="00FD407A" w:rsidRPr="00D273C8" w:rsidRDefault="00FD407A" w:rsidP="00D273C8">
      <w:pPr>
        <w:pStyle w:val="ab"/>
        <w:spacing w:line="360" w:lineRule="auto"/>
        <w:rPr>
          <w:rFonts w:hint="eastAsia"/>
          <w:sz w:val="28"/>
          <w:szCs w:val="28"/>
        </w:rPr>
      </w:pPr>
      <w:r w:rsidRPr="00D273C8">
        <w:rPr>
          <w:rFonts w:hint="eastAsia"/>
          <w:sz w:val="28"/>
          <w:szCs w:val="28"/>
        </w:rPr>
        <w:lastRenderedPageBreak/>
        <w:t>1. 营养需求实时建模（个体数字孪生 → 精准营养）</w:t>
      </w:r>
    </w:p>
    <w:p w14:paraId="0280836E"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超级计算机”基于每位居民的基因档案、实时生理数据、活动消耗与健康目标动态计算其每日所需精确营养素。基因测序与解读已商业化和普及化，基因—营养关联（如维生素代谢差异、乳糖耐受性）研究进展迅速；可穿戴生物传感器从心率、活动量扩展到无创血糖、乳酸、皮质醇等生物标志物的实时/近实时监测，为代谢负荷与营养消耗提供输入。AI 健康模型与代谢型数字孪生能够融合多模态数据（基因组、代谢组、行为、环境）并生成预测性营养建议与即时配方指令。总体技术可行性高（本质上是“精准医疗”“量化自我”在营养学上的延伸），主要工程挑战在于多源数据的标准化、模型精度验证与隐私合规。</w:t>
      </w:r>
    </w:p>
    <w:p w14:paraId="076BE208" w14:textId="77777777" w:rsidR="00FD407A" w:rsidRPr="00D273C8" w:rsidRDefault="00FD407A" w:rsidP="00D273C8">
      <w:pPr>
        <w:pStyle w:val="ab"/>
        <w:spacing w:line="360" w:lineRule="auto"/>
        <w:rPr>
          <w:rFonts w:hint="eastAsia"/>
          <w:sz w:val="28"/>
          <w:szCs w:val="28"/>
        </w:rPr>
      </w:pPr>
      <w:r w:rsidRPr="00D273C8">
        <w:rPr>
          <w:rFonts w:hint="eastAsia"/>
          <w:sz w:val="28"/>
          <w:szCs w:val="28"/>
        </w:rPr>
        <w:t>2. 分子级食物合成与风味重组（定制餐食的制造端）</w:t>
      </w:r>
    </w:p>
    <w:p w14:paraId="50CB069A"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中央厨房通过智能调配基础营养素（蛋白、碳水、脂肪、维生素、矿物质）与风味分子，结合质地调整剂，能制造出口感与风味接近传统菜式的定制餐食。核心路径包括：</w:t>
      </w:r>
    </w:p>
    <w:p w14:paraId="17C9168B"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3D 食物打印：多打印头、多材料打印头技术使打印从“造型”扩展到“多材料、多质地、按需营养配比”的精细合成；现有技术已打印巧克力、披萨、意面等，研究正在推动打印速度、多材料切换与口感逼真度的提升。</w:t>
      </w:r>
    </w:p>
    <w:p w14:paraId="569CE055"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合成生物学与精密发酵：上游供应链通过精密发酵生产酪蛋白、血红素等功能性成分（已被若干产业项目商业化或进入试产阶段），为打印浆料与基础营养原料提供高效、可控的生物制造途径，降低对传统农业的依赖。</w:t>
      </w:r>
    </w:p>
    <w:p w14:paraId="5B56F91D"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科学直接</w:t>
      </w:r>
    </w:p>
    <w:p w14:paraId="355757D8"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风味科学与分子料理：通过风味—质地数据库与感官优化算法，AI 可为任意营养配方匹配最佳风味与质感方案，支持从传统菜式到创意料理的广泛再现；分子料理与食品工业的风味分子库为此提供现成方法学。技术总体中期可行：目前瓶颈为打印速度、复杂组织（如肌纤维）模拟与成本，但路径清晰，随材料与机械进步这些瓶颈可被突破。</w:t>
      </w:r>
    </w:p>
    <w:p w14:paraId="6FF9851A"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3. 零浪费闭环（食材回收 → 再制造）</w:t>
      </w:r>
    </w:p>
    <w:p w14:paraId="527419CD"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lastRenderedPageBreak/>
        <w:t>所有食材边角料与厨余垃圾在中央厨房或配套处理单元内部被分解为基础营养素并回流至制造循环，实现高水平的资源闭环：</w:t>
      </w:r>
    </w:p>
    <w:p w14:paraId="4B0EA1EB"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生物转化：黑水虻（Black Soldier Fly, BSF）等昆虫生物转化已被广泛研究并展示将厨余转化为蛋白/脂质与富含营养的残渣（frass）的高效路径，适合用于动物饲料与进一步加工。</w:t>
      </w:r>
    </w:p>
    <w:p w14:paraId="79A6718F"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厌氧消化与沼气：厌氧消化能将厨余转化为沼气（能源）与有机残渣（肥料），在规模化社区与城市级循环中已被证明是成熟技术。</w:t>
      </w:r>
    </w:p>
    <w:p w14:paraId="4868C8E1" w14:textId="77777777"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 水与能量回收：国际空间站等航天级水回收系统已经实现接近98%的水回收率（通过多层过滤、催化氧化、逆渗透与蒸发等联用技术），为社区级水循环提供成熟技术路径。</w:t>
      </w:r>
    </w:p>
    <w:p w14:paraId="0520F8DD" w14:textId="634D0712"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w:t>
      </w:r>
      <w:r w:rsidRPr="00D273C8">
        <w:rPr>
          <w:sz w:val="21"/>
          <w:szCs w:val="21"/>
        </w:rPr>
        <w:t xml:space="preserve"> 原子级回收（长期愿景）：热等离子体气化等先进分解技术在实验室/示范尺度上展示了将有机废物分解为合成气（CO、H</w:t>
      </w:r>
      <w:r w:rsidRPr="00D273C8">
        <w:rPr>
          <w:rFonts w:ascii="Cambria Math" w:hAnsi="Cambria Math" w:cs="Cambria Math"/>
          <w:sz w:val="21"/>
          <w:szCs w:val="21"/>
        </w:rPr>
        <w:t>₂</w:t>
      </w:r>
      <w:r w:rsidRPr="00D273C8">
        <w:rPr>
          <w:sz w:val="21"/>
          <w:szCs w:val="21"/>
        </w:rPr>
        <w:t xml:space="preserve"> 等）或元素级产物的可能性，理论上可用于未来“真正零废弃”的原子级回收。</w:t>
      </w:r>
    </w:p>
    <w:p w14:paraId="13AC2B17" w14:textId="4AA3F141"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技术可行性评估：水与能源回收及生物/厌氧转化为成熟路径（主要挑战为气味</w:t>
      </w:r>
      <w:r w:rsidR="00717957" w:rsidRPr="00D273C8">
        <w:rPr>
          <w:rFonts w:hint="eastAsia"/>
          <w:sz w:val="21"/>
          <w:szCs w:val="21"/>
        </w:rPr>
        <w:t>、</w:t>
      </w:r>
      <w:r w:rsidRPr="00D273C8">
        <w:rPr>
          <w:rFonts w:hint="eastAsia"/>
          <w:sz w:val="21"/>
          <w:szCs w:val="21"/>
        </w:rPr>
        <w:t>病原控制以及系统集成）；原子级回收为长期目标，其物理原理成立但需解决规模化问题。</w:t>
      </w:r>
    </w:p>
    <w:p w14:paraId="4EFDC73A" w14:textId="48BB1DD1" w:rsidR="00FD407A" w:rsidRPr="00D273C8" w:rsidRDefault="00FD407A" w:rsidP="00D273C8">
      <w:pPr>
        <w:pStyle w:val="ab"/>
        <w:spacing w:line="360" w:lineRule="auto"/>
        <w:rPr>
          <w:rFonts w:hint="eastAsia"/>
          <w:sz w:val="28"/>
          <w:szCs w:val="28"/>
        </w:rPr>
      </w:pPr>
      <w:r w:rsidRPr="00D273C8">
        <w:rPr>
          <w:rFonts w:hint="eastAsia"/>
          <w:sz w:val="28"/>
          <w:szCs w:val="28"/>
        </w:rPr>
        <w:t>总体结论</w:t>
      </w:r>
    </w:p>
    <w:p w14:paraId="0FF4B1D8" w14:textId="1CBDDF76" w:rsidR="00FD407A" w:rsidRPr="00D273C8" w:rsidRDefault="00FD407A" w:rsidP="00D273C8">
      <w:pPr>
        <w:spacing w:line="360" w:lineRule="auto"/>
        <w:ind w:firstLineChars="200" w:firstLine="420"/>
        <w:rPr>
          <w:rFonts w:hint="eastAsia"/>
          <w:sz w:val="21"/>
          <w:szCs w:val="21"/>
        </w:rPr>
      </w:pPr>
      <w:r w:rsidRPr="00D273C8">
        <w:rPr>
          <w:rFonts w:hint="eastAsia"/>
          <w:sz w:val="21"/>
          <w:szCs w:val="21"/>
        </w:rPr>
        <w:t>个性化营养制造中心</w:t>
      </w:r>
      <w:r w:rsidR="005E2ACC" w:rsidRPr="00D273C8">
        <w:rPr>
          <w:rFonts w:hint="eastAsia"/>
          <w:sz w:val="21"/>
          <w:szCs w:val="21"/>
        </w:rPr>
        <w:t>（中心厨房）</w:t>
      </w:r>
      <w:r w:rsidRPr="00D273C8">
        <w:rPr>
          <w:rFonts w:hint="eastAsia"/>
          <w:sz w:val="21"/>
          <w:szCs w:val="21"/>
        </w:rPr>
        <w:t>将基因组学、可穿戴/环境传感、AI 数字孪生、先进生物制造与增材食品制造、以及闭环资源回收组合为一个端到端系统。可以实现的模块包括营养需求建模、精密发酵原料供给、3D 食物打印的功能性扩展、以及生物/厌氧回收体系。该体系既是“精准营养→按需制造”的技术范式，也为“零浪费、资源自给”的社区可持续运营提供明确工程路线。</w:t>
      </w:r>
    </w:p>
    <w:p w14:paraId="765BD8D6" w14:textId="4761C6DF" w:rsidR="00DB52A2" w:rsidRPr="00D273C8" w:rsidRDefault="00712202" w:rsidP="00D273C8">
      <w:pPr>
        <w:pStyle w:val="1"/>
        <w:spacing w:line="360" w:lineRule="auto"/>
        <w:rPr>
          <w:rFonts w:hint="eastAsia"/>
          <w:sz w:val="24"/>
          <w:szCs w:val="24"/>
        </w:rPr>
      </w:pPr>
      <w:r w:rsidRPr="00D273C8">
        <w:rPr>
          <w:rFonts w:hint="eastAsia"/>
          <w:sz w:val="24"/>
          <w:szCs w:val="24"/>
        </w:rPr>
        <w:t>八、</w:t>
      </w:r>
      <w:r w:rsidR="00DB52A2" w:rsidRPr="00D273C8">
        <w:rPr>
          <w:rFonts w:hint="eastAsia"/>
          <w:sz w:val="24"/>
          <w:szCs w:val="24"/>
        </w:rPr>
        <w:t>城市垃圾收纳回收系统</w:t>
      </w:r>
    </w:p>
    <w:p w14:paraId="3C9A718E" w14:textId="77777777" w:rsidR="00DB52A2" w:rsidRPr="00D273C8" w:rsidRDefault="00DB52A2" w:rsidP="00D273C8">
      <w:pPr>
        <w:pStyle w:val="ab"/>
        <w:spacing w:line="360" w:lineRule="auto"/>
        <w:rPr>
          <w:rFonts w:hint="eastAsia"/>
          <w:sz w:val="28"/>
          <w:szCs w:val="28"/>
        </w:rPr>
      </w:pPr>
      <w:r w:rsidRPr="00D273C8">
        <w:rPr>
          <w:rFonts w:hint="eastAsia"/>
          <w:sz w:val="28"/>
          <w:szCs w:val="28"/>
        </w:rPr>
        <w:t>自动化垃圾收集与智能调配</w:t>
      </w:r>
    </w:p>
    <w:p w14:paraId="0C0334B9"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短期实现（AI + 机器人）：</w:t>
      </w:r>
    </w:p>
    <w:p w14:paraId="720A5267"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lastRenderedPageBreak/>
        <w:t>利用基于超级AI“文明火种”的中央调度与本地边缘智能，部署视觉感知与路径规划的垃圾收集机器人群。机器视觉与多模态传感（光学＋近红外＋VOC气味传感）用于分类与污染检测；中央 AI 实时调配机器人任务、优化巡检路径并与市政路网与能量网联动，以最小运营成本实现高频次收运。该方案在智能垃圾监测、路线优化与资源预测上借鉴了近期城市级 AI 垃圾管理研究成果。（参见：AI for smart waste management综述）。</w:t>
      </w:r>
    </w:p>
    <w:p w14:paraId="3D5059F2" w14:textId="77777777" w:rsidR="00DB52A2" w:rsidRPr="00D273C8" w:rsidRDefault="00DB52A2" w:rsidP="00D273C8">
      <w:pPr>
        <w:pStyle w:val="ab"/>
        <w:spacing w:line="360" w:lineRule="auto"/>
        <w:rPr>
          <w:rFonts w:hint="eastAsia"/>
          <w:sz w:val="28"/>
          <w:szCs w:val="28"/>
        </w:rPr>
      </w:pPr>
      <w:r w:rsidRPr="00D273C8">
        <w:rPr>
          <w:rFonts w:hint="eastAsia"/>
          <w:sz w:val="28"/>
          <w:szCs w:val="28"/>
        </w:rPr>
        <w:t>集中处理：化学催化与高效化学回收</w:t>
      </w:r>
    </w:p>
    <w:p w14:paraId="4E977E11"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化学催化处理（中长期）：</w:t>
      </w:r>
    </w:p>
    <w:p w14:paraId="24CC3442"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针对难降解塑料与混合塑料废弃物，在集中处理厂采用催化化学回收（催化裂解、催化氢解、催化解聚）将高分子聚合物解构为单体/高附加值中间体，实现材料闭环或上游化学品回收。此路径兼顾速度与规模性，作为微生物分解与机械回收的“能级补充”。近期化学回收催化剂与工艺在学术与工业界（如Nature collections与Chemical Recycling综述）已有快速进展，可在百万立方尺度中与生物工段联动。</w:t>
      </w:r>
    </w:p>
    <w:p w14:paraId="0C56648E" w14:textId="77777777" w:rsidR="00DB52A2" w:rsidRPr="00D273C8" w:rsidRDefault="00DB52A2" w:rsidP="00D273C8">
      <w:pPr>
        <w:pStyle w:val="ab"/>
        <w:spacing w:line="360" w:lineRule="auto"/>
        <w:rPr>
          <w:rFonts w:hint="eastAsia"/>
          <w:sz w:val="28"/>
          <w:szCs w:val="28"/>
        </w:rPr>
      </w:pPr>
      <w:r w:rsidRPr="00D273C8">
        <w:rPr>
          <w:rFonts w:hint="eastAsia"/>
          <w:sz w:val="28"/>
          <w:szCs w:val="28"/>
        </w:rPr>
        <w:t>生物分解与分布式微生物系统（前沿创新）</w:t>
      </w:r>
    </w:p>
    <w:p w14:paraId="695C647D"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分布式微生物垃圾分解系统（核心创新）：</w:t>
      </w:r>
    </w:p>
    <w:p w14:paraId="18880580"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在社区尺度设立模块化“微生物处理舱”（封闭可控微环境），以专性微生物或合成菌株对不同种类废物（纸类、纺织、PET/PE塑料、有机厨余）实施高效分解或转化。微生物按任务分工：</w:t>
      </w:r>
    </w:p>
    <w:p w14:paraId="3547BD2B"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废纸降解：纤维素/木质素分解菌与酶组合；</w:t>
      </w:r>
    </w:p>
    <w:p w14:paraId="1C30E0E8"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塑料降解：酶工程引导的 PETase/MHETase 型策略或对多样聚合物的催化微生物通路；</w:t>
      </w:r>
    </w:p>
    <w:p w14:paraId="1A30E64C"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有机厨余转化：高效好氧/厌氧共代谢体系，可联产沼气与可用肥料；</w:t>
      </w:r>
    </w:p>
    <w:p w14:paraId="60FFA60F"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这些模块通过智能阀控、温湿调控与营养补给保持最佳代谢状态，并由“文明火种”AI进行工艺参数优化（温度、pH、通气速率、接种比）。为提高能效和闭环价值，微生物工段可与 微生物燃料电池（MFC） 或生物电化学系统结合，将有机负荷部分转为电力或直</w:t>
      </w:r>
      <w:r w:rsidRPr="00D273C8">
        <w:rPr>
          <w:rFonts w:hint="eastAsia"/>
          <w:sz w:val="21"/>
          <w:szCs w:val="21"/>
        </w:rPr>
        <w:lastRenderedPageBreak/>
        <w:t>接回馈本地能网，提升自供能能力。相关研究表明 MFC 与分散式处理在污水/有机废处理上具备可行性。</w:t>
      </w:r>
    </w:p>
    <w:p w14:paraId="4060DF88" w14:textId="77777777" w:rsidR="00DB52A2" w:rsidRPr="00D273C8" w:rsidRDefault="00DB52A2" w:rsidP="00D273C8">
      <w:pPr>
        <w:pStyle w:val="ab"/>
        <w:spacing w:line="360" w:lineRule="auto"/>
        <w:rPr>
          <w:rFonts w:hint="eastAsia"/>
          <w:sz w:val="28"/>
          <w:szCs w:val="28"/>
        </w:rPr>
      </w:pPr>
      <w:r w:rsidRPr="00D273C8">
        <w:rPr>
          <w:rFonts w:hint="eastAsia"/>
          <w:sz w:val="28"/>
          <w:szCs w:val="28"/>
        </w:rPr>
        <w:t>微生物工程与生物安全（规模控制）</w:t>
      </w:r>
    </w:p>
    <w:p w14:paraId="5F6C3806"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前置硬性需求与治理策略：</w:t>
      </w:r>
    </w:p>
    <w:p w14:paraId="55AE334B"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为避免无序扩散与生态风险，所有环境应用的微生物必须满足严格的工程与生物安全标准：</w:t>
      </w:r>
    </w:p>
    <w:p w14:paraId="16F29A6B"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基因级生物屏障：采用经验证的生物封闭（auxotrophy）与 CRISPR-辅助生物围栏设计，确保菌株在无外源补给条件下无法存活或繁殖；最新研究提出 Cas9-辅助的多重生物围栏方案以强化可控性。</w:t>
      </w:r>
    </w:p>
    <w:p w14:paraId="3DF8A581"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可控触发与区域化部署：通过信息素/诱导分子、环境触发器（温度、光、特定化学物质）作为“开关”，配合物理围栏与负压舱，实现任务区域化与按需激活。</w:t>
      </w:r>
    </w:p>
    <w:p w14:paraId="06F22819"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数字孪生与实时监测：每个微生物处理单元纳入数字孪生监控（传感器网 + eDNA 监测 + 气相 VOC 传感），AI 实时检测扩散信号并自动触发隔离或灭活流程。</w:t>
      </w:r>
    </w:p>
    <w:p w14:paraId="4D9FD5FA" w14:textId="008F3A1B"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可回收/友好产物工程：基因编辑旨在将分解产物设计为环境与人体友好（例如直接产生可利用的单体、短链有机酸或可堆肥化物），同时避免产生持久性中间产物。科研与监管对基因编辑在开放环境中的应用仍极为谨慎，需逐步示范与严格监管。</w:t>
      </w:r>
    </w:p>
    <w:p w14:paraId="07E0C42C" w14:textId="77777777" w:rsidR="00DB52A2" w:rsidRPr="00D273C8" w:rsidRDefault="00DB52A2" w:rsidP="00D273C8">
      <w:pPr>
        <w:pStyle w:val="ab"/>
        <w:spacing w:line="360" w:lineRule="auto"/>
        <w:rPr>
          <w:rFonts w:hint="eastAsia"/>
          <w:sz w:val="28"/>
          <w:szCs w:val="28"/>
        </w:rPr>
      </w:pPr>
      <w:r w:rsidRPr="00D273C8">
        <w:rPr>
          <w:rFonts w:hint="eastAsia"/>
          <w:sz w:val="28"/>
          <w:szCs w:val="28"/>
        </w:rPr>
        <w:t>微生物规模化应用挑战与配套解决方案（技术要点）</w:t>
      </w:r>
    </w:p>
    <w:p w14:paraId="54D2721F"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控制活性与扩散：结合生物学围栏 + 物理/区域化部署 + AI 预测控制三层机制；关键是多模态检测（eDNA、气相与液相指标）与自动化干预。</w:t>
      </w:r>
    </w:p>
    <w:p w14:paraId="2870FA90"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环境适应性：利用合成生物学与适应性演化筛选、在模块内进行“驯化”以提高多气候下的稳定性；边缘 AI 调节工艺参数以适配局部气候。</w:t>
      </w:r>
    </w:p>
    <w:p w14:paraId="11491DFD"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lastRenderedPageBreak/>
        <w:t>• 异味与废气处理：在生物工段出口使用生物过滤（biofilters）、活性炭吸附与臭氧/催化氧化抛光处理，符合 EPA/行业气味控制最佳做法。</w:t>
      </w:r>
    </w:p>
    <w:p w14:paraId="27D1BF47"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联动运行：机器人—微生物—化学回收的闭环协同</w:t>
      </w:r>
    </w:p>
    <w:p w14:paraId="34A3CFC6"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作业流程：路面机器人收集→边缘分拣（AI 视觉即时分类）→可回收/可生物降解物进入就地微生物舱或就近化学回收厂→有害/难降解废物进入高温催化裂解或化学再生线。</w:t>
      </w:r>
    </w:p>
    <w:p w14:paraId="0B66B5A0"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能量与资源回收：厌氧段产沼气、MFC 发电与化学回收生成可再利用单体共同构成能源与原料闭环，减少外部输入。</w:t>
      </w:r>
    </w:p>
    <w:p w14:paraId="7E5274AB"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AI 调度：超级AI基于城市级数据（废物流量预测、天气、网格能耗）优化投放点、活性控制和再分配，达到“最大资源回收率与最小环境风险”的目标。相关 AI-enabled waste systems 文献显示，预测与优化可显著提升回收率并降低处理成本。</w:t>
      </w:r>
    </w:p>
    <w:p w14:paraId="038B1F35" w14:textId="77777777" w:rsidR="00DB52A2" w:rsidRPr="00D273C8" w:rsidRDefault="00DB52A2" w:rsidP="00D273C8">
      <w:pPr>
        <w:pStyle w:val="ab"/>
        <w:spacing w:line="360" w:lineRule="auto"/>
        <w:rPr>
          <w:rFonts w:hint="eastAsia"/>
          <w:sz w:val="28"/>
          <w:szCs w:val="28"/>
        </w:rPr>
      </w:pPr>
      <w:r w:rsidRPr="00D273C8">
        <w:rPr>
          <w:rFonts w:hint="eastAsia"/>
          <w:sz w:val="28"/>
          <w:szCs w:val="28"/>
        </w:rPr>
        <w:t>法规、监管与公众参与（社会层面保障）</w:t>
      </w:r>
    </w:p>
    <w:p w14:paraId="0B38ED34"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严格监管路线图：在微生物开放应用前需完成多阶段风险评估（实验室→封闭示范→受控现场试点），并建立透明的监测与应急回滚机制；监管框架参照 WHO、OECD 与国家生物安全指南。</w:t>
      </w:r>
    </w:p>
    <w:p w14:paraId="21F0992B" w14:textId="77777777"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 透明与授权：系统对外公开处理日志与环境监测数据（经脱敏），并通过社会公投/社区委员会机制授权关键步骤（如在非常态事件调用超规模生物处置或基因级干预）。</w:t>
      </w:r>
    </w:p>
    <w:p w14:paraId="2630BFB8" w14:textId="77777777" w:rsidR="00DB52A2" w:rsidRPr="00D273C8" w:rsidRDefault="00DB52A2" w:rsidP="00D273C8">
      <w:pPr>
        <w:spacing w:line="360" w:lineRule="auto"/>
        <w:ind w:firstLineChars="200" w:firstLine="420"/>
        <w:rPr>
          <w:rFonts w:hint="eastAsia"/>
          <w:sz w:val="21"/>
          <w:szCs w:val="21"/>
        </w:rPr>
      </w:pPr>
      <w:r w:rsidRPr="00D273C8">
        <w:rPr>
          <w:rFonts w:ascii="等线" w:eastAsia="等线" w:hAnsi="等线" w:cs="等线" w:hint="eastAsia"/>
          <w:sz w:val="21"/>
          <w:szCs w:val="21"/>
        </w:rPr>
        <w:t>￼</w:t>
      </w:r>
    </w:p>
    <w:p w14:paraId="3737B90E" w14:textId="77777777" w:rsidR="00DB52A2" w:rsidRPr="00D273C8" w:rsidRDefault="00DB52A2" w:rsidP="00D273C8">
      <w:pPr>
        <w:pStyle w:val="ab"/>
        <w:spacing w:line="360" w:lineRule="auto"/>
        <w:rPr>
          <w:rFonts w:hint="eastAsia"/>
          <w:sz w:val="28"/>
          <w:szCs w:val="28"/>
        </w:rPr>
      </w:pPr>
      <w:r w:rsidRPr="00D273C8">
        <w:rPr>
          <w:rFonts w:hint="eastAsia"/>
          <w:sz w:val="28"/>
          <w:szCs w:val="28"/>
        </w:rPr>
        <w:t>精短结论（创新性与可行性）</w:t>
      </w:r>
    </w:p>
    <w:p w14:paraId="0CAD02EC" w14:textId="6FC3254D" w:rsidR="00DB52A2" w:rsidRPr="00D273C8" w:rsidRDefault="00DB52A2" w:rsidP="00D273C8">
      <w:pPr>
        <w:spacing w:line="360" w:lineRule="auto"/>
        <w:ind w:firstLineChars="200" w:firstLine="420"/>
        <w:rPr>
          <w:rFonts w:hint="eastAsia"/>
          <w:sz w:val="21"/>
          <w:szCs w:val="21"/>
        </w:rPr>
      </w:pPr>
      <w:r w:rsidRPr="00D273C8">
        <w:rPr>
          <w:rFonts w:hint="eastAsia"/>
          <w:sz w:val="21"/>
          <w:szCs w:val="21"/>
        </w:rPr>
        <w:t>本系统将AI调度机器人收集、模块化微生物分解、化学催化回收与能量回收有机结合，形成“就地分解 + 区域化深加工 + 全城协同”的垃圾循环体系。技术创新点在于（1）以超级AI做闭环优化与安全监控；（2）模块化、可控的微生物处理舱＋生物围栏策略；（3）化学与生物回收互补以覆盖多种废物类型；（4）能量回馈（MFC/沼气/化学能</w:t>
      </w:r>
      <w:r w:rsidRPr="00D273C8">
        <w:rPr>
          <w:rFonts w:hint="eastAsia"/>
          <w:sz w:val="21"/>
          <w:szCs w:val="21"/>
        </w:rPr>
        <w:lastRenderedPageBreak/>
        <w:t>回收）实现自供能。核心技术在学术与工业研究已有支撑，但开放部署需严格生物安全、可追溯与法规合规的逐步示范路径。</w:t>
      </w:r>
    </w:p>
    <w:sectPr w:rsidR="00DB52A2" w:rsidRPr="00D273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BD00" w14:textId="77777777" w:rsidR="00635B7B" w:rsidRDefault="00635B7B" w:rsidP="00817E66">
      <w:pPr>
        <w:spacing w:before="0" w:after="0" w:line="240" w:lineRule="auto"/>
        <w:rPr>
          <w:rFonts w:hint="eastAsia"/>
        </w:rPr>
      </w:pPr>
      <w:r>
        <w:separator/>
      </w:r>
    </w:p>
  </w:endnote>
  <w:endnote w:type="continuationSeparator" w:id="0">
    <w:p w14:paraId="700DE592" w14:textId="77777777" w:rsidR="00635B7B" w:rsidRDefault="00635B7B" w:rsidP="00817E66">
      <w:pPr>
        <w:spacing w:before="0"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FBCA5A" w14:textId="77777777" w:rsidR="00635B7B" w:rsidRDefault="00635B7B" w:rsidP="00817E66">
      <w:pPr>
        <w:spacing w:before="0" w:after="0" w:line="240" w:lineRule="auto"/>
        <w:rPr>
          <w:rFonts w:hint="eastAsia"/>
        </w:rPr>
      </w:pPr>
      <w:r>
        <w:separator/>
      </w:r>
    </w:p>
  </w:footnote>
  <w:footnote w:type="continuationSeparator" w:id="0">
    <w:p w14:paraId="1D8FB0DF" w14:textId="77777777" w:rsidR="00635B7B" w:rsidRDefault="00635B7B" w:rsidP="00817E66">
      <w:pPr>
        <w:spacing w:before="0"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7C"/>
    <w:rsid w:val="000D36D4"/>
    <w:rsid w:val="000F4820"/>
    <w:rsid w:val="000F7F93"/>
    <w:rsid w:val="00113857"/>
    <w:rsid w:val="00125401"/>
    <w:rsid w:val="00144B5D"/>
    <w:rsid w:val="001A1E41"/>
    <w:rsid w:val="001D0CF6"/>
    <w:rsid w:val="002956CC"/>
    <w:rsid w:val="003B289A"/>
    <w:rsid w:val="003C4BA4"/>
    <w:rsid w:val="003C6A06"/>
    <w:rsid w:val="003E76B1"/>
    <w:rsid w:val="00416B27"/>
    <w:rsid w:val="00432F9F"/>
    <w:rsid w:val="0048166A"/>
    <w:rsid w:val="00492A65"/>
    <w:rsid w:val="00570C1C"/>
    <w:rsid w:val="005E2ACC"/>
    <w:rsid w:val="00635B7B"/>
    <w:rsid w:val="006539B5"/>
    <w:rsid w:val="006C3C87"/>
    <w:rsid w:val="00712202"/>
    <w:rsid w:val="00717957"/>
    <w:rsid w:val="00784B6E"/>
    <w:rsid w:val="007B3E2C"/>
    <w:rsid w:val="007E7D55"/>
    <w:rsid w:val="00817E66"/>
    <w:rsid w:val="008B47A4"/>
    <w:rsid w:val="008C0BE0"/>
    <w:rsid w:val="00926452"/>
    <w:rsid w:val="009A3272"/>
    <w:rsid w:val="009E50A3"/>
    <w:rsid w:val="00A1621F"/>
    <w:rsid w:val="00B011CC"/>
    <w:rsid w:val="00B0471A"/>
    <w:rsid w:val="00B91865"/>
    <w:rsid w:val="00B9292E"/>
    <w:rsid w:val="00BA10EF"/>
    <w:rsid w:val="00C46963"/>
    <w:rsid w:val="00C4787C"/>
    <w:rsid w:val="00D273C8"/>
    <w:rsid w:val="00D566EE"/>
    <w:rsid w:val="00D74255"/>
    <w:rsid w:val="00DB52A2"/>
    <w:rsid w:val="00EA5555"/>
    <w:rsid w:val="00F11729"/>
    <w:rsid w:val="00F65297"/>
    <w:rsid w:val="00FD40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5ED658"/>
  <w15:chartTrackingRefBased/>
  <w15:docId w15:val="{B72DE037-A3CC-4E3E-A60A-11E9DF926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B27"/>
  </w:style>
  <w:style w:type="paragraph" w:styleId="1">
    <w:name w:val="heading 1"/>
    <w:basedOn w:val="a"/>
    <w:next w:val="a"/>
    <w:link w:val="10"/>
    <w:uiPriority w:val="9"/>
    <w:qFormat/>
    <w:rsid w:val="00416B2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2">
    <w:name w:val="heading 2"/>
    <w:basedOn w:val="a"/>
    <w:next w:val="a"/>
    <w:link w:val="20"/>
    <w:uiPriority w:val="9"/>
    <w:unhideWhenUsed/>
    <w:qFormat/>
    <w:rsid w:val="00416B2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3">
    <w:name w:val="heading 3"/>
    <w:basedOn w:val="a"/>
    <w:next w:val="a"/>
    <w:link w:val="30"/>
    <w:uiPriority w:val="9"/>
    <w:semiHidden/>
    <w:unhideWhenUsed/>
    <w:qFormat/>
    <w:rsid w:val="00416B27"/>
    <w:pPr>
      <w:pBdr>
        <w:top w:val="single" w:sz="6" w:space="2" w:color="156082" w:themeColor="accent1"/>
      </w:pBdr>
      <w:spacing w:before="300" w:after="0"/>
      <w:outlineLvl w:val="2"/>
    </w:pPr>
    <w:rPr>
      <w:caps/>
      <w:color w:val="0A2F40" w:themeColor="accent1" w:themeShade="7F"/>
      <w:spacing w:val="15"/>
    </w:rPr>
  </w:style>
  <w:style w:type="paragraph" w:styleId="4">
    <w:name w:val="heading 4"/>
    <w:basedOn w:val="a"/>
    <w:next w:val="a"/>
    <w:link w:val="40"/>
    <w:uiPriority w:val="9"/>
    <w:semiHidden/>
    <w:unhideWhenUsed/>
    <w:qFormat/>
    <w:rsid w:val="00416B27"/>
    <w:pPr>
      <w:pBdr>
        <w:top w:val="dotted" w:sz="6" w:space="2" w:color="156082" w:themeColor="accent1"/>
      </w:pBdr>
      <w:spacing w:before="200" w:after="0"/>
      <w:outlineLvl w:val="3"/>
    </w:pPr>
    <w:rPr>
      <w:caps/>
      <w:color w:val="0F4761" w:themeColor="accent1" w:themeShade="BF"/>
      <w:spacing w:val="10"/>
    </w:rPr>
  </w:style>
  <w:style w:type="paragraph" w:styleId="5">
    <w:name w:val="heading 5"/>
    <w:basedOn w:val="a"/>
    <w:next w:val="a"/>
    <w:link w:val="50"/>
    <w:uiPriority w:val="9"/>
    <w:semiHidden/>
    <w:unhideWhenUsed/>
    <w:qFormat/>
    <w:rsid w:val="00416B27"/>
    <w:pPr>
      <w:pBdr>
        <w:bottom w:val="single" w:sz="6" w:space="1" w:color="156082" w:themeColor="accent1"/>
      </w:pBdr>
      <w:spacing w:before="200" w:after="0"/>
      <w:outlineLvl w:val="4"/>
    </w:pPr>
    <w:rPr>
      <w:caps/>
      <w:color w:val="0F4761" w:themeColor="accent1" w:themeShade="BF"/>
      <w:spacing w:val="10"/>
    </w:rPr>
  </w:style>
  <w:style w:type="paragraph" w:styleId="6">
    <w:name w:val="heading 6"/>
    <w:basedOn w:val="a"/>
    <w:next w:val="a"/>
    <w:link w:val="60"/>
    <w:uiPriority w:val="9"/>
    <w:semiHidden/>
    <w:unhideWhenUsed/>
    <w:qFormat/>
    <w:rsid w:val="00416B27"/>
    <w:pPr>
      <w:pBdr>
        <w:bottom w:val="dotted" w:sz="6" w:space="1" w:color="156082" w:themeColor="accent1"/>
      </w:pBdr>
      <w:spacing w:before="200" w:after="0"/>
      <w:outlineLvl w:val="5"/>
    </w:pPr>
    <w:rPr>
      <w:caps/>
      <w:color w:val="0F4761" w:themeColor="accent1" w:themeShade="BF"/>
      <w:spacing w:val="10"/>
    </w:rPr>
  </w:style>
  <w:style w:type="paragraph" w:styleId="7">
    <w:name w:val="heading 7"/>
    <w:basedOn w:val="a"/>
    <w:next w:val="a"/>
    <w:link w:val="70"/>
    <w:uiPriority w:val="9"/>
    <w:semiHidden/>
    <w:unhideWhenUsed/>
    <w:qFormat/>
    <w:rsid w:val="00416B27"/>
    <w:pPr>
      <w:spacing w:before="200" w:after="0"/>
      <w:outlineLvl w:val="6"/>
    </w:pPr>
    <w:rPr>
      <w:caps/>
      <w:color w:val="0F4761" w:themeColor="accent1" w:themeShade="BF"/>
      <w:spacing w:val="10"/>
    </w:rPr>
  </w:style>
  <w:style w:type="paragraph" w:styleId="8">
    <w:name w:val="heading 8"/>
    <w:basedOn w:val="a"/>
    <w:next w:val="a"/>
    <w:link w:val="80"/>
    <w:uiPriority w:val="9"/>
    <w:semiHidden/>
    <w:unhideWhenUsed/>
    <w:qFormat/>
    <w:rsid w:val="00416B27"/>
    <w:pPr>
      <w:spacing w:before="200" w:after="0"/>
      <w:outlineLvl w:val="7"/>
    </w:pPr>
    <w:rPr>
      <w:caps/>
      <w:spacing w:val="10"/>
      <w:sz w:val="18"/>
      <w:szCs w:val="18"/>
    </w:rPr>
  </w:style>
  <w:style w:type="paragraph" w:styleId="9">
    <w:name w:val="heading 9"/>
    <w:basedOn w:val="a"/>
    <w:next w:val="a"/>
    <w:link w:val="90"/>
    <w:uiPriority w:val="9"/>
    <w:semiHidden/>
    <w:unhideWhenUsed/>
    <w:qFormat/>
    <w:rsid w:val="00416B27"/>
    <w:pPr>
      <w:spacing w:before="200" w:after="0"/>
      <w:outlineLvl w:val="8"/>
    </w:pPr>
    <w:rPr>
      <w:i/>
      <w:iCs/>
      <w:caps/>
      <w:spacing w:val="1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6B27"/>
    <w:rPr>
      <w:caps/>
      <w:color w:val="FFFFFF" w:themeColor="background1"/>
      <w:spacing w:val="15"/>
      <w:sz w:val="22"/>
      <w:szCs w:val="22"/>
      <w:shd w:val="clear" w:color="auto" w:fill="156082" w:themeFill="accent1"/>
    </w:rPr>
  </w:style>
  <w:style w:type="character" w:customStyle="1" w:styleId="20">
    <w:name w:val="标题 2 字符"/>
    <w:basedOn w:val="a0"/>
    <w:link w:val="2"/>
    <w:uiPriority w:val="9"/>
    <w:rsid w:val="00416B27"/>
    <w:rPr>
      <w:caps/>
      <w:spacing w:val="15"/>
      <w:shd w:val="clear" w:color="auto" w:fill="C1E4F5" w:themeFill="accent1" w:themeFillTint="33"/>
    </w:rPr>
  </w:style>
  <w:style w:type="character" w:customStyle="1" w:styleId="30">
    <w:name w:val="标题 3 字符"/>
    <w:basedOn w:val="a0"/>
    <w:link w:val="3"/>
    <w:uiPriority w:val="9"/>
    <w:semiHidden/>
    <w:rsid w:val="00416B27"/>
    <w:rPr>
      <w:caps/>
      <w:color w:val="0A2F40" w:themeColor="accent1" w:themeShade="7F"/>
      <w:spacing w:val="15"/>
    </w:rPr>
  </w:style>
  <w:style w:type="character" w:customStyle="1" w:styleId="40">
    <w:name w:val="标题 4 字符"/>
    <w:basedOn w:val="a0"/>
    <w:link w:val="4"/>
    <w:uiPriority w:val="9"/>
    <w:semiHidden/>
    <w:rsid w:val="00416B27"/>
    <w:rPr>
      <w:caps/>
      <w:color w:val="0F4761" w:themeColor="accent1" w:themeShade="BF"/>
      <w:spacing w:val="10"/>
    </w:rPr>
  </w:style>
  <w:style w:type="character" w:customStyle="1" w:styleId="50">
    <w:name w:val="标题 5 字符"/>
    <w:basedOn w:val="a0"/>
    <w:link w:val="5"/>
    <w:uiPriority w:val="9"/>
    <w:semiHidden/>
    <w:rsid w:val="00416B27"/>
    <w:rPr>
      <w:caps/>
      <w:color w:val="0F4761" w:themeColor="accent1" w:themeShade="BF"/>
      <w:spacing w:val="10"/>
    </w:rPr>
  </w:style>
  <w:style w:type="character" w:customStyle="1" w:styleId="60">
    <w:name w:val="标题 6 字符"/>
    <w:basedOn w:val="a0"/>
    <w:link w:val="6"/>
    <w:uiPriority w:val="9"/>
    <w:semiHidden/>
    <w:rsid w:val="00416B27"/>
    <w:rPr>
      <w:caps/>
      <w:color w:val="0F4761" w:themeColor="accent1" w:themeShade="BF"/>
      <w:spacing w:val="10"/>
    </w:rPr>
  </w:style>
  <w:style w:type="character" w:customStyle="1" w:styleId="70">
    <w:name w:val="标题 7 字符"/>
    <w:basedOn w:val="a0"/>
    <w:link w:val="7"/>
    <w:uiPriority w:val="9"/>
    <w:semiHidden/>
    <w:rsid w:val="00416B27"/>
    <w:rPr>
      <w:caps/>
      <w:color w:val="0F4761" w:themeColor="accent1" w:themeShade="BF"/>
      <w:spacing w:val="10"/>
    </w:rPr>
  </w:style>
  <w:style w:type="character" w:customStyle="1" w:styleId="80">
    <w:name w:val="标题 8 字符"/>
    <w:basedOn w:val="a0"/>
    <w:link w:val="8"/>
    <w:uiPriority w:val="9"/>
    <w:semiHidden/>
    <w:rsid w:val="00416B27"/>
    <w:rPr>
      <w:caps/>
      <w:spacing w:val="10"/>
      <w:sz w:val="18"/>
      <w:szCs w:val="18"/>
    </w:rPr>
  </w:style>
  <w:style w:type="character" w:customStyle="1" w:styleId="90">
    <w:name w:val="标题 9 字符"/>
    <w:basedOn w:val="a0"/>
    <w:link w:val="9"/>
    <w:uiPriority w:val="9"/>
    <w:semiHidden/>
    <w:rsid w:val="00416B27"/>
    <w:rPr>
      <w:i/>
      <w:iCs/>
      <w:caps/>
      <w:spacing w:val="10"/>
      <w:sz w:val="18"/>
      <w:szCs w:val="18"/>
    </w:rPr>
  </w:style>
  <w:style w:type="paragraph" w:styleId="a3">
    <w:name w:val="Title"/>
    <w:basedOn w:val="a"/>
    <w:next w:val="a"/>
    <w:link w:val="a4"/>
    <w:uiPriority w:val="10"/>
    <w:qFormat/>
    <w:rsid w:val="00416B27"/>
    <w:pPr>
      <w:spacing w:before="0" w:after="0"/>
    </w:pPr>
    <w:rPr>
      <w:rFonts w:asciiTheme="majorHAnsi" w:eastAsiaTheme="majorEastAsia" w:hAnsiTheme="majorHAnsi" w:cstheme="majorBidi"/>
      <w:caps/>
      <w:color w:val="156082" w:themeColor="accent1"/>
      <w:spacing w:val="10"/>
      <w:sz w:val="52"/>
      <w:szCs w:val="52"/>
    </w:rPr>
  </w:style>
  <w:style w:type="character" w:customStyle="1" w:styleId="a4">
    <w:name w:val="标题 字符"/>
    <w:basedOn w:val="a0"/>
    <w:link w:val="a3"/>
    <w:uiPriority w:val="10"/>
    <w:rsid w:val="00416B27"/>
    <w:rPr>
      <w:rFonts w:asciiTheme="majorHAnsi" w:eastAsiaTheme="majorEastAsia" w:hAnsiTheme="majorHAnsi" w:cstheme="majorBidi"/>
      <w:caps/>
      <w:color w:val="156082" w:themeColor="accent1"/>
      <w:spacing w:val="10"/>
      <w:sz w:val="52"/>
      <w:szCs w:val="52"/>
    </w:rPr>
  </w:style>
  <w:style w:type="paragraph" w:styleId="a5">
    <w:name w:val="Subtitle"/>
    <w:basedOn w:val="a"/>
    <w:next w:val="a"/>
    <w:link w:val="a6"/>
    <w:uiPriority w:val="11"/>
    <w:qFormat/>
    <w:rsid w:val="00416B27"/>
    <w:pPr>
      <w:spacing w:before="0" w:after="500" w:line="240" w:lineRule="auto"/>
    </w:pPr>
    <w:rPr>
      <w:caps/>
      <w:color w:val="595959" w:themeColor="text1" w:themeTint="A6"/>
      <w:spacing w:val="10"/>
      <w:sz w:val="21"/>
      <w:szCs w:val="21"/>
    </w:rPr>
  </w:style>
  <w:style w:type="character" w:customStyle="1" w:styleId="a6">
    <w:name w:val="副标题 字符"/>
    <w:basedOn w:val="a0"/>
    <w:link w:val="a5"/>
    <w:uiPriority w:val="11"/>
    <w:rsid w:val="00416B27"/>
    <w:rPr>
      <w:caps/>
      <w:color w:val="595959" w:themeColor="text1" w:themeTint="A6"/>
      <w:spacing w:val="10"/>
      <w:sz w:val="21"/>
      <w:szCs w:val="21"/>
    </w:rPr>
  </w:style>
  <w:style w:type="paragraph" w:styleId="a7">
    <w:name w:val="Quote"/>
    <w:basedOn w:val="a"/>
    <w:next w:val="a"/>
    <w:link w:val="a8"/>
    <w:uiPriority w:val="29"/>
    <w:qFormat/>
    <w:rsid w:val="00416B27"/>
    <w:rPr>
      <w:i/>
      <w:iCs/>
      <w:sz w:val="24"/>
      <w:szCs w:val="24"/>
    </w:rPr>
  </w:style>
  <w:style w:type="character" w:customStyle="1" w:styleId="a8">
    <w:name w:val="引用 字符"/>
    <w:basedOn w:val="a0"/>
    <w:link w:val="a7"/>
    <w:uiPriority w:val="29"/>
    <w:rsid w:val="00416B27"/>
    <w:rPr>
      <w:i/>
      <w:iCs/>
      <w:sz w:val="24"/>
      <w:szCs w:val="24"/>
    </w:rPr>
  </w:style>
  <w:style w:type="paragraph" w:styleId="a9">
    <w:name w:val="List Paragraph"/>
    <w:basedOn w:val="a"/>
    <w:uiPriority w:val="34"/>
    <w:qFormat/>
    <w:rsid w:val="00C4787C"/>
    <w:pPr>
      <w:ind w:firstLineChars="200" w:firstLine="420"/>
    </w:pPr>
  </w:style>
  <w:style w:type="character" w:styleId="aa">
    <w:name w:val="Intense Emphasis"/>
    <w:uiPriority w:val="21"/>
    <w:qFormat/>
    <w:rsid w:val="00416B27"/>
    <w:rPr>
      <w:b/>
      <w:bCs/>
      <w:caps/>
      <w:color w:val="0A2F40" w:themeColor="accent1" w:themeShade="7F"/>
      <w:spacing w:val="10"/>
    </w:rPr>
  </w:style>
  <w:style w:type="paragraph" w:styleId="ab">
    <w:name w:val="Intense Quote"/>
    <w:basedOn w:val="a"/>
    <w:next w:val="a"/>
    <w:link w:val="ac"/>
    <w:uiPriority w:val="30"/>
    <w:qFormat/>
    <w:rsid w:val="00416B27"/>
    <w:pPr>
      <w:spacing w:before="240" w:after="240" w:line="240" w:lineRule="auto"/>
      <w:ind w:left="1080" w:right="1080"/>
      <w:jc w:val="center"/>
    </w:pPr>
    <w:rPr>
      <w:color w:val="156082" w:themeColor="accent1"/>
      <w:sz w:val="24"/>
      <w:szCs w:val="24"/>
    </w:rPr>
  </w:style>
  <w:style w:type="character" w:customStyle="1" w:styleId="ac">
    <w:name w:val="明显引用 字符"/>
    <w:basedOn w:val="a0"/>
    <w:link w:val="ab"/>
    <w:uiPriority w:val="30"/>
    <w:rsid w:val="00416B27"/>
    <w:rPr>
      <w:color w:val="156082" w:themeColor="accent1"/>
      <w:sz w:val="24"/>
      <w:szCs w:val="24"/>
    </w:rPr>
  </w:style>
  <w:style w:type="character" w:styleId="ad">
    <w:name w:val="Intense Reference"/>
    <w:uiPriority w:val="32"/>
    <w:qFormat/>
    <w:rsid w:val="00416B27"/>
    <w:rPr>
      <w:b/>
      <w:bCs/>
      <w:i/>
      <w:iCs/>
      <w:caps/>
      <w:color w:val="156082" w:themeColor="accent1"/>
    </w:rPr>
  </w:style>
  <w:style w:type="paragraph" w:styleId="ae">
    <w:name w:val="caption"/>
    <w:basedOn w:val="a"/>
    <w:next w:val="a"/>
    <w:uiPriority w:val="35"/>
    <w:semiHidden/>
    <w:unhideWhenUsed/>
    <w:qFormat/>
    <w:rsid w:val="00416B27"/>
    <w:rPr>
      <w:b/>
      <w:bCs/>
      <w:color w:val="0F4761" w:themeColor="accent1" w:themeShade="BF"/>
      <w:sz w:val="16"/>
      <w:szCs w:val="16"/>
    </w:rPr>
  </w:style>
  <w:style w:type="character" w:styleId="af">
    <w:name w:val="Strong"/>
    <w:uiPriority w:val="22"/>
    <w:qFormat/>
    <w:rsid w:val="00416B27"/>
    <w:rPr>
      <w:b/>
      <w:bCs/>
    </w:rPr>
  </w:style>
  <w:style w:type="character" w:styleId="af0">
    <w:name w:val="Emphasis"/>
    <w:uiPriority w:val="20"/>
    <w:qFormat/>
    <w:rsid w:val="00416B27"/>
    <w:rPr>
      <w:caps/>
      <w:color w:val="0A2F40" w:themeColor="accent1" w:themeShade="7F"/>
      <w:spacing w:val="5"/>
    </w:rPr>
  </w:style>
  <w:style w:type="paragraph" w:styleId="af1">
    <w:name w:val="No Spacing"/>
    <w:uiPriority w:val="1"/>
    <w:qFormat/>
    <w:rsid w:val="00416B27"/>
    <w:pPr>
      <w:spacing w:after="0" w:line="240" w:lineRule="auto"/>
    </w:pPr>
  </w:style>
  <w:style w:type="character" w:styleId="af2">
    <w:name w:val="Subtle Emphasis"/>
    <w:uiPriority w:val="19"/>
    <w:qFormat/>
    <w:rsid w:val="00416B27"/>
    <w:rPr>
      <w:i/>
      <w:iCs/>
      <w:color w:val="0A2F40" w:themeColor="accent1" w:themeShade="7F"/>
    </w:rPr>
  </w:style>
  <w:style w:type="character" w:styleId="af3">
    <w:name w:val="Subtle Reference"/>
    <w:uiPriority w:val="31"/>
    <w:qFormat/>
    <w:rsid w:val="00416B27"/>
    <w:rPr>
      <w:b/>
      <w:bCs/>
      <w:color w:val="156082" w:themeColor="accent1"/>
    </w:rPr>
  </w:style>
  <w:style w:type="character" w:styleId="af4">
    <w:name w:val="Book Title"/>
    <w:uiPriority w:val="33"/>
    <w:qFormat/>
    <w:rsid w:val="00416B27"/>
    <w:rPr>
      <w:b/>
      <w:bCs/>
      <w:i/>
      <w:iCs/>
      <w:spacing w:val="0"/>
    </w:rPr>
  </w:style>
  <w:style w:type="paragraph" w:styleId="TOC">
    <w:name w:val="TOC Heading"/>
    <w:basedOn w:val="1"/>
    <w:next w:val="a"/>
    <w:uiPriority w:val="39"/>
    <w:semiHidden/>
    <w:unhideWhenUsed/>
    <w:qFormat/>
    <w:rsid w:val="00416B27"/>
    <w:pPr>
      <w:outlineLvl w:val="9"/>
    </w:pPr>
  </w:style>
  <w:style w:type="paragraph" w:styleId="af5">
    <w:name w:val="header"/>
    <w:basedOn w:val="a"/>
    <w:link w:val="af6"/>
    <w:uiPriority w:val="99"/>
    <w:unhideWhenUsed/>
    <w:rsid w:val="00817E66"/>
    <w:pPr>
      <w:tabs>
        <w:tab w:val="center" w:pos="4153"/>
        <w:tab w:val="right" w:pos="8306"/>
      </w:tabs>
      <w:snapToGrid w:val="0"/>
      <w:spacing w:line="240" w:lineRule="auto"/>
      <w:jc w:val="center"/>
    </w:pPr>
    <w:rPr>
      <w:sz w:val="18"/>
      <w:szCs w:val="18"/>
    </w:rPr>
  </w:style>
  <w:style w:type="character" w:customStyle="1" w:styleId="af6">
    <w:name w:val="页眉 字符"/>
    <w:basedOn w:val="a0"/>
    <w:link w:val="af5"/>
    <w:uiPriority w:val="99"/>
    <w:rsid w:val="00817E66"/>
    <w:rPr>
      <w:sz w:val="18"/>
      <w:szCs w:val="18"/>
    </w:rPr>
  </w:style>
  <w:style w:type="paragraph" w:styleId="af7">
    <w:name w:val="footer"/>
    <w:basedOn w:val="a"/>
    <w:link w:val="af8"/>
    <w:uiPriority w:val="99"/>
    <w:unhideWhenUsed/>
    <w:rsid w:val="00817E66"/>
    <w:pPr>
      <w:tabs>
        <w:tab w:val="center" w:pos="4153"/>
        <w:tab w:val="right" w:pos="8306"/>
      </w:tabs>
      <w:snapToGrid w:val="0"/>
      <w:spacing w:line="240" w:lineRule="auto"/>
    </w:pPr>
    <w:rPr>
      <w:sz w:val="18"/>
      <w:szCs w:val="18"/>
    </w:rPr>
  </w:style>
  <w:style w:type="character" w:customStyle="1" w:styleId="af8">
    <w:name w:val="页脚 字符"/>
    <w:basedOn w:val="a0"/>
    <w:link w:val="af7"/>
    <w:uiPriority w:val="99"/>
    <w:rsid w:val="00817E6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18</Pages>
  <Words>1826</Words>
  <Characters>10412</Characters>
  <Application>Microsoft Office Word</Application>
  <DocSecurity>0</DocSecurity>
  <Lines>86</Lines>
  <Paragraphs>24</Paragraphs>
  <ScaleCrop>false</ScaleCrop>
  <Company/>
  <LinksUpToDate>false</LinksUpToDate>
  <CharactersWithSpaces>12214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弈卓 王</dc:creator>
  <cp:keywords/>
  <dc:description/>
  <cp:lastModifiedBy>Vito Wong</cp:lastModifiedBy>
  <cp:revision>34</cp:revision>
  <dcterms:created xsi:type="dcterms:W3CDTF">2025-10-15T10:06:00Z</dcterms:created>
  <dcterms:modified xsi:type="dcterms:W3CDTF">2025-10-15T15:19:00Z</dcterms:modified>
</cp:coreProperties>
</file>