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480" w:after="240"/>
        <w:jc w:val="center"/>
      </w:pPr>
      <w:r>
        <w:rPr>
          <w:rFonts w:ascii="Arial" w:cs="Arial" w:eastAsia="Arial" w:hAnsi="Arial"/>
          <w:b/>
          <w:bCs/>
          <w:color w:val="1F4E79"/>
          <w:sz w:val="48"/>
          <w:szCs w:val="48"/>
        </w:rPr>
        <w:t xml:space="preserve">VORTEM — ARQUITECTURA CRM</w:t>
      </w:r>
    </w:p>
    <w:p>
      <w:pPr>
        <w:spacing w:before="0" w:after="120"/>
        <w:jc w:val="center"/>
      </w:pPr>
      <w:r>
        <w:rPr>
          <w:rFonts w:ascii="Arial" w:cs="Arial" w:eastAsia="Arial" w:hAnsi="Arial"/>
          <w:color w:val="555555"/>
          <w:sz w:val="24"/>
          <w:szCs w:val="24"/>
        </w:rPr>
        <w:t xml:space="preserve">Documento de Arquitectura, Decisiones y Plan de Construcción</w:t>
      </w:r>
    </w:p>
    <w:p>
      <w:pPr>
        <w:spacing w:before="0" w:after="480"/>
        <w:jc w:val="center"/>
      </w:pPr>
      <w:r>
        <w:rPr>
          <w:rFonts w:ascii="Arial" w:cs="Arial" w:eastAsia="Arial" w:hAnsi="Arial"/>
          <w:i/>
          <w:iCs/>
          <w:color w:val="777777"/>
          <w:sz w:val="20"/>
          <w:szCs w:val="20"/>
        </w:rPr>
        <w:t xml:space="preserve">Versión 2.0 — Marzo 2026 — Confidencial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i/>
                <w:iCs/>
                <w:sz w:val="18"/>
                <w:szCs w:val="18"/>
              </w:rPr>
              <w:t xml:space="preserve">Este documento refleja el estado real del sistema construido. Las secciones marcadas con [ACTUALIZADO] difieren de la versión 1.3 original. El backend MVP (fases 1A–1E) está completo con 93 tests pasando. El frontend MVP (fases 2A–2E) está completo con 12 rutas, TypeScript build limpio. Commit: f231920.</w:t>
            </w:r>
          </w:p>
        </w:tc>
      </w:tr>
    </w:tbl>
    <w:p>
      <w:pPr>
        <w:spacing w:before="80" w:after="80"/>
      </w:pPr>
    </w:p>
    <w:p>
      <w:pPr>
        <w:spacing w:before="60" w:after="60"/>
      </w:pPr>
      <w:r>
        <w:rPr>
          <w:rFonts w:ascii="Arial" w:cs="Arial" w:eastAsia="Arial" w:hAnsi="Arial"/>
          <w:i/>
          <w:iCs/>
          <w:color w:val="555555"/>
          <w:sz w:val="20"/>
          <w:szCs w:val="20"/>
        </w:rPr>
        <w:t xml:space="preserve">Sirve como punto de retoma entre sesiones de desarrollo.</w:t>
      </w:r>
    </w:p>
    <w:p>
      <w:pPr>
        <w:spacing w:before="80" w:after="80"/>
      </w:pPr>
    </w:p>
    <w:p>
      <w:pPr>
        <w:pStyle w:val="Heading1"/>
        <w:spacing w:before="360" w:after="160"/>
      </w:pPr>
      <w:r>
        <w:rPr>
          <w:rFonts w:ascii="Arial" w:cs="Arial" w:eastAsia="Arial" w:hAnsi="Arial"/>
          <w:b/>
          <w:bCs/>
          <w:color w:val="1F4E79"/>
          <w:sz w:val="32"/>
          <w:szCs w:val="32"/>
        </w:rPr>
        <w:t xml:space="preserve">0. Contexto: VoiceHire y el origen de este CRM</w:t>
      </w:r>
    </w:p>
    <w:p>
      <w:pPr>
        <w:spacing w:before="60" w:after="60"/>
      </w:pPr>
      <w:r>
        <w:rPr>
          <w:rFonts w:ascii="Arial" w:cs="Arial" w:eastAsia="Arial" w:hAnsi="Arial"/>
          <w:sz w:val="20"/>
          <w:szCs w:val="20"/>
        </w:rPr>
        <w:t xml:space="preserve">Este CRM nace como complemento a VoiceHire, un agente de llamadas de ventas con IA desarrollado en sesiones previas. Entender VoiceHire es esencial para entender las decisiones de este CRM.</w:t>
      </w:r>
    </w:p>
    <w:p>
      <w:pPr>
        <w:spacing w:before="80" w:after="80"/>
      </w:pPr>
    </w:p>
    <w:p>
      <w:pPr>
        <w:spacing w:before="200" w:after="80"/>
      </w:pPr>
      <w:r>
        <w:rPr>
          <w:rFonts w:ascii="Arial" w:cs="Arial" w:eastAsia="Arial" w:hAnsi="Arial"/>
          <w:b/>
          <w:bCs/>
          <w:color w:val="404040"/>
          <w:sz w:val="22"/>
          <w:szCs w:val="22"/>
        </w:rPr>
        <w:t xml:space="preserve">¿Qué es VoiceHire?</w:t>
      </w:r>
    </w:p>
    <w:p>
      <w:pPr>
        <w:pStyle w:val="ListParagraph"/>
        <w:numPr>
          <w:ilvl w:val="0"/>
          <w:numId w:val="2"/>
        </w:numPr>
        <w:spacing w:before="40" w:after="40"/>
      </w:pPr>
      <w:r>
        <w:rPr>
          <w:rFonts w:ascii="Arial" w:cs="Arial" w:eastAsia="Arial" w:hAnsi="Arial"/>
          <w:sz w:val="20"/>
          <w:szCs w:val="20"/>
        </w:rPr>
        <w:t xml:space="preserve">Sistema de llamadas outbound automatizadas con dos agentes AI: Agente 1 (trust/calificador) y Agente 2 (closer).</w:t>
      </w:r>
    </w:p>
    <w:p>
      <w:pPr>
        <w:pStyle w:val="ListParagraph"/>
        <w:numPr>
          <w:ilvl w:val="0"/>
          <w:numId w:val="2"/>
        </w:numPr>
        <w:spacing w:before="40" w:after="40"/>
      </w:pPr>
      <w:r>
        <w:rPr>
          <w:rFonts w:ascii="Arial" w:cs="Arial" w:eastAsia="Arial" w:hAnsi="Arial"/>
          <w:sz w:val="20"/>
          <w:szCs w:val="20"/>
        </w:rPr>
        <w:t xml:space="preserve">Stack: FastAPI + PostgreSQL + Redis en Railway (backend), Next.js en Vercel (frontend).</w:t>
      </w:r>
    </w:p>
    <w:p>
      <w:pPr>
        <w:pStyle w:val="ListParagraph"/>
        <w:numPr>
          <w:ilvl w:val="0"/>
          <w:numId w:val="2"/>
        </w:numPr>
        <w:spacing w:before="40" w:after="40"/>
      </w:pPr>
      <w:r>
        <w:rPr>
          <w:rFonts w:ascii="Arial" w:cs="Arial" w:eastAsia="Arial" w:hAnsi="Arial"/>
          <w:sz w:val="20"/>
          <w:szCs w:val="20"/>
        </w:rPr>
        <w:t xml:space="preserve">Repo: https://github.com/sclav004dsbets-ux/VoiceHire</w:t>
      </w:r>
    </w:p>
    <w:p>
      <w:pPr>
        <w:pStyle w:val="ListParagraph"/>
        <w:numPr>
          <w:ilvl w:val="0"/>
          <w:numId w:val="2"/>
        </w:numPr>
        <w:spacing w:before="40" w:after="40"/>
      </w:pPr>
      <w:r>
        <w:rPr>
          <w:rFonts w:ascii="Arial" w:cs="Arial" w:eastAsia="Arial" w:hAnsi="Arial"/>
          <w:sz w:val="20"/>
          <w:szCs w:val="20"/>
        </w:rPr>
        <w:t xml:space="preserve">URLs producción: backend en Railway (voicehire-production-2fcc.up.railway.app), frontend en Vercel (voice-hire-five.vercel.app).</w:t>
      </w:r>
    </w:p>
    <w:p>
      <w:pPr>
        <w:pStyle w:val="ListParagraph"/>
        <w:numPr>
          <w:ilvl w:val="0"/>
          <w:numId w:val="2"/>
        </w:numPr>
        <w:spacing w:before="40" w:after="40"/>
      </w:pPr>
      <w:r>
        <w:rPr>
          <w:rFonts w:ascii="Arial" w:cs="Arial" w:eastAsia="Arial" w:hAnsi="Arial"/>
          <w:sz w:val="20"/>
          <w:szCs w:val="20"/>
        </w:rPr>
        <w:t xml:space="preserve">Estado actual (sesión 21): ElevenLabs TTS activo con voces reales, pipeline humanizado, Agent 2 scheduler funcionando, MercadoPago configurado (no testeado end-to-end), S3 configurado (no verificado).</w:t>
      </w:r>
    </w:p>
    <w:p>
      <w:pPr>
        <w:pStyle w:val="ListParagraph"/>
        <w:numPr>
          <w:ilvl w:val="0"/>
          <w:numId w:val="2"/>
        </w:numPr>
        <w:spacing w:before="40" w:after="40"/>
      </w:pPr>
      <w:r>
        <w:rPr>
          <w:rFonts w:ascii="Arial" w:cs="Arial" w:eastAsia="Arial" w:hAnsi="Arial"/>
          <w:sz w:val="20"/>
          <w:szCs w:val="20"/>
        </w:rPr>
        <w:t xml:space="preserve">Roadmap VoiceHire pendiente: AgentProfile (sesión 22), multi-tenant (sesión 24), billing (sesión 27), QA v1.0 (sesión 29).</w:t>
      </w:r>
    </w:p>
    <w:p>
      <w:pPr>
        <w:spacing w:before="80" w:after="80"/>
      </w:pPr>
    </w:p>
    <w:p>
      <w:pPr>
        <w:spacing w:before="200" w:after="80"/>
      </w:pPr>
      <w:r>
        <w:rPr>
          <w:rFonts w:ascii="Arial" w:cs="Arial" w:eastAsia="Arial" w:hAnsi="Arial"/>
          <w:b/>
          <w:bCs/>
          <w:color w:val="404040"/>
          <w:sz w:val="22"/>
          <w:szCs w:val="22"/>
        </w:rPr>
        <w:t xml:space="preserve">¿Cómo se relacionan VoiceHire y el CRM?</w:t>
      </w:r>
    </w:p>
    <w:p>
      <w:pPr>
        <w:pStyle w:val="ListParagraph"/>
        <w:numPr>
          <w:ilvl w:val="0"/>
          <w:numId w:val="2"/>
        </w:numPr>
        <w:spacing w:before="40" w:after="40"/>
      </w:pPr>
      <w:r>
        <w:rPr>
          <w:rFonts w:ascii="Arial" w:cs="Arial" w:eastAsia="Arial" w:hAnsi="Arial"/>
          <w:sz w:val="20"/>
          <w:szCs w:val="20"/>
        </w:rPr>
        <w:t xml:space="preserve">Son repos y deployments completamente independientes.</w:t>
      </w:r>
    </w:p>
    <w:p>
      <w:pPr>
        <w:pStyle w:val="ListParagraph"/>
        <w:numPr>
          <w:ilvl w:val="0"/>
          <w:numId w:val="2"/>
        </w:numPr>
        <w:spacing w:before="40" w:after="40"/>
      </w:pPr>
      <w:r>
        <w:rPr>
          <w:rFonts w:ascii="Arial" w:cs="Arial" w:eastAsia="Arial" w:hAnsi="Arial"/>
          <w:sz w:val="20"/>
          <w:szCs w:val="20"/>
        </w:rPr>
        <w:t xml:space="preserve">VoiceHire trabaja Leads (personas no calificadas). Vortem trabaja Contacts (personas calificadas y confirmadas).</w:t>
      </w:r>
    </w:p>
    <w:p>
      <w:pPr>
        <w:pStyle w:val="ListParagraph"/>
        <w:numPr>
          <w:ilvl w:val="0"/>
          <w:numId w:val="2"/>
        </w:numPr>
        <w:spacing w:before="40" w:after="40"/>
      </w:pPr>
      <w:r>
        <w:rPr>
          <w:rFonts w:ascii="Arial" w:cs="Arial" w:eastAsia="Arial" w:hAnsi="Arial"/>
          <w:sz w:val="20"/>
          <w:szCs w:val="20"/>
        </w:rPr>
        <w:t xml:space="preserve">Flujo: Vortem crea/importa Leads → los envía a VoiceHire → VoiceHire llama y califica → notifica a Vortem por webhook → supervisor asigna a agente humano → agente convierte Lead en Contact.</w:t>
      </w:r>
    </w:p>
    <w:p>
      <w:pPr>
        <w:pStyle w:val="ListParagraph"/>
        <w:numPr>
          <w:ilvl w:val="0"/>
          <w:numId w:val="2"/>
        </w:numPr>
        <w:spacing w:before="40" w:after="40"/>
      </w:pPr>
      <w:r>
        <w:rPr>
          <w:rFonts w:ascii="Arial" w:cs="Arial" w:eastAsia="Arial" w:hAnsi="Arial"/>
          <w:sz w:val="20"/>
          <w:szCs w:val="20"/>
        </w:rPr>
        <w:t xml:space="preserve">VoiceHire NO conoce el modelo de datos de Vortem. Solo envía eventos con lead_id y payload. Vortem interpreta.</w:t>
      </w:r>
    </w:p>
    <w:p>
      <w:pPr>
        <w:spacing w:before="80" w:after="80"/>
      </w:pPr>
    </w:p>
    <w:p>
      <w:pPr>
        <w:spacing w:before="200" w:after="80"/>
      </w:pPr>
      <w:r>
        <w:rPr>
          <w:rFonts w:ascii="Arial" w:cs="Arial" w:eastAsia="Arial" w:hAnsi="Arial"/>
          <w:b/>
          <w:bCs/>
          <w:color w:val="404040"/>
          <w:sz w:val="22"/>
          <w:szCs w:val="22"/>
        </w:rPr>
        <w:t xml:space="preserve">Contexto del cliente objetivo</w:t>
      </w:r>
    </w:p>
    <w:p>
      <w:pPr>
        <w:pStyle w:val="ListParagraph"/>
        <w:numPr>
          <w:ilvl w:val="0"/>
          <w:numId w:val="2"/>
        </w:numPr>
        <w:spacing w:before="40" w:after="40"/>
      </w:pPr>
      <w:r>
        <w:rPr>
          <w:rFonts w:ascii="Arial" w:cs="Arial" w:eastAsia="Arial" w:hAnsi="Arial"/>
          <w:sz w:val="20"/>
          <w:szCs w:val="20"/>
        </w:rPr>
        <w:t xml:space="preserve">Primer cliente: empresa con equipo de ventas propio (agentes humanos + VoiceHire AI en paralelo).</w:t>
      </w:r>
    </w:p>
    <w:p>
      <w:pPr>
        <w:pStyle w:val="ListParagraph"/>
        <w:numPr>
          <w:ilvl w:val="0"/>
          <w:numId w:val="2"/>
        </w:numPr>
        <w:spacing w:before="40" w:after="40"/>
      </w:pPr>
      <w:r>
        <w:rPr>
          <w:rFonts w:ascii="Arial" w:cs="Arial" w:eastAsia="Arial" w:hAnsi="Arial"/>
          <w:sz w:val="20"/>
          <w:szCs w:val="20"/>
        </w:rPr>
        <w:t xml:space="preserve">Tiene IT propio y puede administrar servidores — deployment on-premise.</w:t>
      </w:r>
    </w:p>
    <w:p>
      <w:pPr>
        <w:pStyle w:val="ListParagraph"/>
        <w:numPr>
          <w:ilvl w:val="0"/>
          <w:numId w:val="2"/>
        </w:numPr>
        <w:spacing w:before="40" w:after="40"/>
      </w:pPr>
      <w:r>
        <w:rPr>
          <w:rFonts w:ascii="Arial" w:cs="Arial" w:eastAsia="Arial" w:hAnsi="Arial"/>
          <w:sz w:val="20"/>
          <w:szCs w:val="20"/>
        </w:rPr>
        <w:t xml:space="preserve">Volumen estimado: 100–1000 llamadas/día. País: Latam (fuera de Colombia).</w:t>
      </w:r>
    </w:p>
    <w:p>
      <w:pPr>
        <w:pStyle w:val="ListParagraph"/>
        <w:numPr>
          <w:ilvl w:val="0"/>
          <w:numId w:val="2"/>
        </w:numPr>
        <w:spacing w:before="40" w:after="40"/>
      </w:pPr>
      <w:r>
        <w:rPr>
          <w:rFonts w:ascii="Arial" w:cs="Arial" w:eastAsia="Arial" w:hAnsi="Arial"/>
          <w:sz w:val="20"/>
          <w:szCs w:val="20"/>
        </w:rPr>
        <w:t xml:space="preserve">Necesita: gestión de contactos, pipeline de ventas, integración con VoiceHire, asignación de leads por supervisor, reportes.</w:t>
      </w:r>
    </w:p>
    <w:p>
      <w:pPr>
        <w:pStyle w:val="ListParagraph"/>
        <w:numPr>
          <w:ilvl w:val="0"/>
          <w:numId w:val="2"/>
        </w:numPr>
        <w:spacing w:before="40" w:after="40"/>
      </w:pPr>
      <w:r>
        <w:rPr>
          <w:rFonts w:ascii="Arial" w:cs="Arial" w:eastAsia="Arial" w:hAnsi="Arial"/>
          <w:sz w:val="20"/>
          <w:szCs w:val="20"/>
        </w:rPr>
        <w:t xml:space="preserve">Estructura interna: varias sucursales/equipos (Organizations). Un agente pertenece a una sola Organization en fase 1.</w:t>
      </w:r>
    </w:p>
    <w:p>
      <w:pPr>
        <w:pStyle w:val="ListParagraph"/>
        <w:numPr>
          <w:ilvl w:val="0"/>
          <w:numId w:val="2"/>
        </w:numPr>
        <w:spacing w:before="40" w:after="40"/>
      </w:pPr>
      <w:r>
        <w:rPr>
          <w:rFonts w:ascii="Arial" w:cs="Arial" w:eastAsia="Arial" w:hAnsi="Arial"/>
          <w:sz w:val="20"/>
          <w:szCs w:val="20"/>
        </w:rPr>
        <w:t xml:space="preserve">Pendiente confirmar: CRM actual que usan, número de agentes, número de sucursales, etapas del pipeline.</w:t>
      </w:r>
    </w:p>
    <w:p>
      <w:pPr>
        <w:spacing w:before="80" w:after="80"/>
      </w:pPr>
    </w:p>
    <w:p>
      <w:pPr>
        <w:spacing w:before="200" w:after="80"/>
      </w:pPr>
      <w:r>
        <w:rPr>
          <w:rFonts w:ascii="Arial" w:cs="Arial" w:eastAsia="Arial" w:hAnsi="Arial"/>
          <w:b/>
          <w:bCs/>
          <w:color w:val="404040"/>
          <w:sz w:val="22"/>
          <w:szCs w:val="22"/>
        </w:rPr>
        <w:t xml:space="preserve">Modelo de negocio del CRM</w:t>
      </w:r>
    </w:p>
    <w:p>
      <w:pPr>
        <w:pStyle w:val="ListParagraph"/>
        <w:numPr>
          <w:ilvl w:val="0"/>
          <w:numId w:val="2"/>
        </w:numPr>
        <w:spacing w:before="40" w:after="40"/>
      </w:pPr>
      <w:r>
        <w:rPr>
          <w:rFonts w:ascii="Arial" w:cs="Arial" w:eastAsia="Arial" w:hAnsi="Arial"/>
          <w:sz w:val="20"/>
          <w:szCs w:val="20"/>
        </w:rPr>
        <w:t xml:space="preserve">Se vende como licencia de software (pago único o suscripción por usuarios/contactos).</w:t>
      </w:r>
    </w:p>
    <w:p>
      <w:pPr>
        <w:pStyle w:val="ListParagraph"/>
        <w:numPr>
          <w:ilvl w:val="0"/>
          <w:numId w:val="2"/>
        </w:numPr>
        <w:spacing w:before="40" w:after="40"/>
      </w:pPr>
      <w:r>
        <w:rPr>
          <w:rFonts w:ascii="Arial" w:cs="Arial" w:eastAsia="Arial" w:hAnsi="Arial"/>
          <w:sz w:val="20"/>
          <w:szCs w:val="20"/>
        </w:rPr>
        <w:t xml:space="preserve">Cada cliente tiene su propio deployment — sin multi-tenancy entre clientes distintos.</w:t>
      </w:r>
    </w:p>
    <w:p>
      <w:pPr>
        <w:pStyle w:val="ListParagraph"/>
        <w:numPr>
          <w:ilvl w:val="0"/>
          <w:numId w:val="2"/>
        </w:numPr>
        <w:spacing w:before="40" w:after="40"/>
      </w:pPr>
      <w:r>
        <w:rPr>
          <w:rFonts w:ascii="Arial" w:cs="Arial" w:eastAsia="Arial" w:hAnsi="Arial"/>
          <w:sz w:val="20"/>
          <w:szCs w:val="20"/>
        </w:rPr>
        <w:t xml:space="preserve">El código debe ser lo suficientemente genérico para adaptarse a otros verticales (soporte, servicios, clínicas) sin demoler el backend.</w:t>
      </w:r>
    </w:p>
    <w:p>
      <w:pPr>
        <w:pStyle w:val="ListParagraph"/>
        <w:numPr>
          <w:ilvl w:val="0"/>
          <w:numId w:val="2"/>
        </w:numPr>
        <w:spacing w:before="40" w:after="40"/>
      </w:pPr>
      <w:r>
        <w:rPr>
          <w:rFonts w:ascii="Arial" w:cs="Arial" w:eastAsia="Arial" w:hAnsi="Arial"/>
          <w:sz w:val="20"/>
          <w:szCs w:val="20"/>
        </w:rPr>
        <w:t xml:space="preserve">El módulo de Pipeline/Deals es opcional por Organization — no todos los clientes son de ventas.</w:t>
      </w:r>
    </w:p>
    <w:p>
      <w:pPr>
        <w:spacing w:before="80" w:after="80"/>
      </w:pPr>
    </w:p>
    <w:p>
      <w:pPr>
        <w:pStyle w:val="Heading1"/>
        <w:spacing w:before="360" w:after="160"/>
      </w:pPr>
      <w:r>
        <w:rPr>
          <w:rFonts w:ascii="Arial" w:cs="Arial" w:eastAsia="Arial" w:hAnsi="Arial"/>
          <w:b/>
          <w:bCs/>
          <w:color w:val="1F4E79"/>
          <w:sz w:val="32"/>
          <w:szCs w:val="32"/>
        </w:rPr>
        <w:t xml:space="preserve">1. Contexto y objetivo del CRM</w:t>
      </w:r>
    </w:p>
    <w:p>
      <w:pPr>
        <w:spacing w:before="60" w:after="60"/>
      </w:pPr>
      <w:r>
        <w:rPr>
          <w:rFonts w:ascii="Arial" w:cs="Arial" w:eastAsia="Arial" w:hAnsi="Arial"/>
          <w:sz w:val="20"/>
          <w:szCs w:val="20"/>
        </w:rPr>
        <w:t xml:space="preserve">Vortem es una plataforma de gestión de clientes diseñada para correr completamente on-premise en los servidores del cliente. Se integra nativamente con VoiceHire (agente de llamadas AI) y está construida para ser vendida como producto independiente a múltiples clientes sin necesidad de modificar el código base.</w:t>
      </w:r>
    </w:p>
    <w:p>
      <w:pPr>
        <w:spacing w:before="80" w:after="80"/>
      </w:pPr>
    </w:p>
    <w:p>
      <w:pPr>
        <w:spacing w:before="200" w:after="80"/>
      </w:pPr>
      <w:r>
        <w:rPr>
          <w:rFonts w:ascii="Arial" w:cs="Arial" w:eastAsia="Arial" w:hAnsi="Arial"/>
          <w:b/>
          <w:bCs/>
          <w:color w:val="404040"/>
          <w:sz w:val="22"/>
          <w:szCs w:val="22"/>
        </w:rPr>
        <w:t xml:space="preserve">Problema que resuelve</w:t>
      </w:r>
    </w:p>
    <w:p>
      <w:pPr>
        <w:pStyle w:val="ListParagraph"/>
        <w:numPr>
          <w:ilvl w:val="0"/>
          <w:numId w:val="2"/>
        </w:numPr>
        <w:spacing w:before="40" w:after="40"/>
      </w:pPr>
      <w:r>
        <w:rPr>
          <w:rFonts w:ascii="Arial" w:cs="Arial" w:eastAsia="Arial" w:hAnsi="Arial"/>
          <w:sz w:val="20"/>
          <w:szCs w:val="20"/>
        </w:rPr>
        <w:t xml:space="preserve">Los CRMs disponibles en el mercado latinoamericano son costosos, en la nube y no se integran con agentes de voz AI locales.</w:t>
      </w:r>
    </w:p>
    <w:p>
      <w:pPr>
        <w:pStyle w:val="ListParagraph"/>
        <w:numPr>
          <w:ilvl w:val="0"/>
          <w:numId w:val="2"/>
        </w:numPr>
        <w:spacing w:before="40" w:after="40"/>
      </w:pPr>
      <w:r>
        <w:rPr>
          <w:rFonts w:ascii="Arial" w:cs="Arial" w:eastAsia="Arial" w:hAnsi="Arial"/>
          <w:sz w:val="20"/>
          <w:szCs w:val="20"/>
        </w:rPr>
        <w:t xml:space="preserve">Las empresas con equipos de ventas mixtos (AI + humanos) no tienen una herramienta unificada que gestione ambos flujos.</w:t>
      </w:r>
    </w:p>
    <w:p>
      <w:pPr>
        <w:pStyle w:val="ListParagraph"/>
        <w:numPr>
          <w:ilvl w:val="0"/>
          <w:numId w:val="2"/>
        </w:numPr>
        <w:spacing w:before="40" w:after="40"/>
      </w:pPr>
      <w:r>
        <w:rPr>
          <w:rFonts w:ascii="Arial" w:cs="Arial" w:eastAsia="Arial" w:hAnsi="Arial"/>
          <w:sz w:val="20"/>
          <w:szCs w:val="20"/>
        </w:rPr>
        <w:t xml:space="preserve">Los clientes con requerimientos de privacidad o regulatorios no pueden usar SaaS extranjero para sus datos de clientes.</w:t>
      </w:r>
    </w:p>
    <w:p>
      <w:pPr>
        <w:spacing w:before="80" w:after="80"/>
      </w:pPr>
    </w:p>
    <w:p>
      <w:pPr>
        <w:spacing w:before="200" w:after="80"/>
      </w:pPr>
      <w:r>
        <w:rPr>
          <w:rFonts w:ascii="Arial" w:cs="Arial" w:eastAsia="Arial" w:hAnsi="Arial"/>
          <w:b/>
          <w:bCs/>
          <w:color w:val="404040"/>
          <w:sz w:val="22"/>
          <w:szCs w:val="22"/>
        </w:rPr>
        <w:t xml:space="preserve">Visión del producto</w:t>
      </w:r>
    </w:p>
    <w:p>
      <w:pPr>
        <w:spacing w:before="60" w:after="60"/>
      </w:pPr>
      <w:r>
        <w:rPr>
          <w:rFonts w:ascii="Arial" w:cs="Arial" w:eastAsia="Arial" w:hAnsi="Arial"/>
          <w:sz w:val="20"/>
          <w:szCs w:val="20"/>
        </w:rPr>
        <w:t xml:space="preserve">Vortem: un CRM modular, on-premise, con integración nativa a VoiceHire, que pueda adaptarse a empresas de ventas, servicios, soporte u otros verticales sin demoler el backend. En una segunda fase, incorpora módulos de WFM (Workforce Management) para gestión de agentes humanos.</w:t>
      </w:r>
    </w:p>
    <w:p>
      <w:pPr>
        <w:spacing w:before="80" w:after="80"/>
      </w:pPr>
    </w:p>
    <w:p>
      <w:pPr>
        <w:pStyle w:val="Heading1"/>
        <w:spacing w:before="360" w:after="160"/>
      </w:pPr>
      <w:r>
        <w:rPr>
          <w:rFonts w:ascii="Arial" w:cs="Arial" w:eastAsia="Arial" w:hAnsi="Arial"/>
          <w:b/>
          <w:bCs/>
          <w:color w:val="1F4E79"/>
          <w:sz w:val="32"/>
          <w:szCs w:val="32"/>
        </w:rPr>
        <w:t xml:space="preserve">2. Decisiones de arquitectura</w:t>
      </w:r>
    </w:p>
    <w:p>
      <w:pPr>
        <w:spacing w:before="60" w:after="60"/>
      </w:pPr>
      <w:r>
        <w:rPr>
          <w:rFonts w:ascii="Arial" w:cs="Arial" w:eastAsia="Arial" w:hAnsi="Arial"/>
          <w:sz w:val="20"/>
          <w:szCs w:val="20"/>
        </w:rPr>
        <w:t xml:space="preserve">Las siguientes decisiones fueron tomadas antes de comenzar el desarrollo y no deben revertirse sin evaluar el impacto completo en el sistema.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Decisión</w:t>
            </w:r>
          </w:p>
        </w:tc>
        <w:tc>
          <w:tcPr>
            <w:tcW w:type="dxa" w:w="6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Resolución y 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Separación de repos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Vortem vive en un repo independiente de VoiceHire. Se comunican por API REST. Esto permite vender Vortem solo, VoiceHire solo, o ambos juntos.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Deployment por cliente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Cada cliente instala su propia instancia. No hay multi-tenancy entre clientes distintos. Los datos de cada cliente viven en sus propios servidores.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Organizations internas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Dentro de cada instancia existe el concepto de Organization (sucursal, equipo). Todo el modelo de datos tiene organization_id. Un usuario pertenece a una sola organization en la fase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Pipelines configurables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Existe un pipeline por defecto a nivel de instancia. Cada Organization puede sobrescribirlo con uno propio si lo necesita. Campo pipeline_id nullable en Organization.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Módulos opcionales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 y Deals son opcionales por Organization. El núcleo (contactos, actividades, usuarios) es siempre activo. Esto permite usar el CRM en verticales no comerciales.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Stack tecnológico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 PostgreSQL + Redis en backend. Next.js en frontend. Mismo stack que VoiceHire para reducir fricción de mantenimiento.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Más lógica en cliente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 el frontend se prioriza lógica client-side sobre SSR. Lección aprendida de VoiceHire: menos SSR = menos bugs de cookies, proxies y hydration.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Servicios en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lógica de negocio vive en /services/, no en los routers. Los routers solo validan entrada y llaman servicios. Lección aprendida de VoiceHire.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 de eventos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módulos se comunican a través de eventos internos (lead.converted, call.completed, deal.moved). Esto permite agregar módulos futuros sin tocar el código existente.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Lista de notificaciones estándar + alertas de alta prioridad generadas por el sistema. Sin tiempo real en fase 1 (polling cada 30s). WebSocket en Fase 2C.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Webhooks VoiceHire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/api/v1/webhooks/voicehire/{organization_id}. Sin JWT — autenticado por header X-VoiceHire-Secret. El secret se configura por instancia en .env. Implementado en Fase 1D.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Entorno de desarrollo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local. El docker-compose.yml de desarrollo es el mismo artefacto que se entrega al cliente. Sin Railway ni plataforma cloud. Entorno de desarrollo = entorno de producción desde el día 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Bootstrap de instancia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Endpoint POST /api/v1/setup para crear el primer admin al instalar una nueva instancia. Solo funciona si la tabla users está vacía; retorna 403 permanentemente después del primer 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User.organization_id es nullable. User.is_global_admin (bool, default false) indica que el usuario cruza todas las organizations. La invariante se valida en auth_service. Las queries normales filtran por organization_id sin manejar NULL.</w:t>
            </w:r>
          </w:p>
        </w:tc>
      </w:tr>
    </w:tbl>
    <w:p>
      <w:pPr>
        <w:spacing w:before="80" w:after="80"/>
      </w:pPr>
    </w:p>
    <w:p>
      <w:pPr>
        <w:pStyle w:val="Heading1"/>
        <w:spacing w:before="360" w:after="160"/>
      </w:pPr>
      <w:r>
        <w:rPr>
          <w:rFonts w:ascii="Arial" w:cs="Arial" w:eastAsia="Arial" w:hAnsi="Arial"/>
          <w:b/>
          <w:bCs/>
          <w:color w:val="1F4E79"/>
          <w:sz w:val="32"/>
          <w:szCs w:val="32"/>
        </w:rPr>
        <w:t xml:space="preserve">3. Modelo de datos — núcleo</w:t>
      </w:r>
    </w:p>
    <w:p>
      <w:pPr>
        <w:spacing w:before="60" w:after="60"/>
      </w:pPr>
      <w:r>
        <w:rPr>
          <w:rFonts w:ascii="Arial" w:cs="Arial" w:eastAsia="Arial" w:hAnsi="Arial"/>
          <w:sz w:val="20"/>
          <w:szCs w:val="20"/>
        </w:rPr>
        <w:t xml:space="preserve">Cada entidad tiene organization_id, id (UUID), created_at y updated_at como campos base implícitos.</w:t>
      </w:r>
    </w:p>
    <w:p>
      <w:pPr>
        <w:spacing w:before="80" w:after="80"/>
      </w:pPr>
    </w:p>
    <w:p>
      <w:pPr>
        <w:pStyle w:val="Heading2"/>
        <w:spacing w:before="280" w:after="120"/>
      </w:pPr>
      <w:r>
        <w:rPr>
          <w:rFonts w:ascii="Arial" w:cs="Arial" w:eastAsia="Arial" w:hAnsi="Arial"/>
          <w:b/>
          <w:bCs/>
          <w:color w:val="2E75B6"/>
          <w:sz w:val="26"/>
          <w:szCs w:val="26"/>
        </w:rPr>
        <w:t xml:space="preserve">3.1 Entidades de identidad y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Organization: id, name, description, logo_url, is_active, pipeline_id (nullable → FK a Pipeline propio, si null hereda el de la instancia), settings (JSONB), parent_id (nullable, jerarquía futura entre sucursales).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User: id, email, full_name, hashed_password, is_active, organization_id (nullable, null solo si is_global_admin=true), role → admin|supervisor|agent|viewer, is_global_admin (bool), avatar_url, phone (opcionales), timezone (String, default 'America/Bogota' — requerido por WFM futuro).</w:t>
            </w:r>
          </w:p>
        </w:tc>
      </w:tr>
    </w:tbl>
    <w:p>
      <w:pPr>
        <w:spacing w:before="80" w:after="80"/>
      </w:pPr>
    </w:p>
    <w:p>
      <w:pPr>
        <w:pStyle w:val="Heading2"/>
        <w:spacing w:before="280" w:after="120"/>
      </w:pPr>
      <w:r>
        <w:rPr>
          <w:rFonts w:ascii="Arial" w:cs="Arial" w:eastAsia="Arial" w:hAnsi="Arial"/>
          <w:b/>
          <w:bCs/>
          <w:color w:val="2E75B6"/>
          <w:sz w:val="26"/>
          <w:szCs w:val="26"/>
        </w:rPr>
        <w:t xml:space="preserve">3.2 Entidades de contactos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Lead: id, first_name, last_name, phone, email, country, status → new|contacted|qualified|converted|discarded, source → csv_import|manual|api|voicehire, campaign_id (nullable UUID, sin FK constraint), assigned_to (nullable FK → User), voicehire_data (JSONB, merge acumulativo). Entidad temporal — al convertirse genera un Contact y queda archivada con status='converted'.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Contact: id, first_name, last_name, phone, email, company, position, country, status → active|inactive|do_not_contact, lead_id (nullable FK → Lead de origen), assigned_to (nullable FK → User), tags (JSONB array), custom_fields (JSONB). Entidad permanente con historial completo de actividades.</w:t>
            </w:r>
          </w:p>
        </w:tc>
      </w:tr>
    </w:tbl>
    <w:p>
      <w:pPr>
        <w:spacing w:before="80" w:after="80"/>
      </w:pPr>
    </w:p>
    <w:p>
      <w:pPr>
        <w:pStyle w:val="Heading2"/>
        <w:spacing w:before="280" w:after="120"/>
      </w:pPr>
      <w:r>
        <w:rPr>
          <w:rFonts w:ascii="Arial" w:cs="Arial" w:eastAsia="Arial" w:hAnsi="Arial"/>
          <w:b/>
          <w:bCs/>
          <w:color w:val="2E75B6"/>
          <w:sz w:val="26"/>
          <w:szCs w:val="26"/>
        </w:rPr>
        <w:t xml:space="preserve">3.3 Entidades de pipeline (módulo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Pipeline: id, name, description, is_default, organization_id (nullable — null = pipeline de la instancia, compartido por todas las orgs que no tienen uno propio).</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Stage: id, name, order (int), color (hex, nullable), probability (int 0-100), is_won (bool), is_lost (bool), pipeline_id (FK). UNIQUE constraint en (pipeline_id, order).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Deal: id, name, value (Numeric 14,2), currency (default 'USD'), contact_id (FK), stage_id (FK), pipeline_id (FK), assigned_to (nullable FK → User), expected_close_date (Date, nullable), closed_at (DateTime, nullable), notes (Text), custom_fields (JSONB).</w:t>
            </w:r>
          </w:p>
        </w:tc>
      </w:tr>
    </w:tbl>
    <w:p>
      <w:pPr>
        <w:spacing w:before="80" w:after="80"/>
      </w:pPr>
    </w:p>
    <w:p>
      <w:pPr>
        <w:pStyle w:val="Heading2"/>
        <w:spacing w:before="280" w:after="120"/>
      </w:pPr>
      <w:r>
        <w:rPr>
          <w:rFonts w:ascii="Arial" w:cs="Arial" w:eastAsia="Arial" w:hAnsi="Arial"/>
          <w:b/>
          <w:bCs/>
          <w:color w:val="2E75B6"/>
          <w:sz w:val="26"/>
          <w:szCs w:val="26"/>
        </w:rPr>
        <w:t xml:space="preserve">3.4 Entidades de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Activity: id, type → call|note|task|email|meeting|voicehire_call, contact_id (nullable FK), lead_id (nullable FK), deal_id (nullable FK), assigned_to (nullable FK → User), due_at, completed_at, body (Text), metadata (JSONB — incluye started_at/ended_at para llamadas, requerido por WFM futuro). Entidad polimórfica que cubre todos los tipos de interacción.</w:t>
            </w:r>
          </w:p>
        </w:tc>
      </w:tr>
    </w:tbl>
    <w:p>
      <w:pPr>
        <w:spacing w:before="80" w:after="80"/>
      </w:pPr>
    </w:p>
    <w:p>
      <w:pPr>
        <w:pStyle w:val="Heading2"/>
        <w:spacing w:before="280" w:after="120"/>
      </w:pPr>
      <w:r>
        <w:rPr>
          <w:rFonts w:ascii="Arial" w:cs="Arial" w:eastAsia="Arial" w:hAnsi="Arial"/>
          <w:b/>
          <w:bCs/>
          <w:color w:val="2E75B6"/>
          <w:sz w:val="26"/>
          <w:szCs w:val="26"/>
        </w:rPr>
        <w:t xml:space="preserve">3.5 Entidades de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Notification: id, user_id (FK → User destinatario), type (str — lead_qualified|lead_assigned|deal_stage_changed|task_due|system_alert), priority → normal|high, title, body, entity_type (str, nullable), entity_id (UUID, nullable — referencia polimórfica), read_at (nullable), created_at.</w:t>
            </w:r>
          </w:p>
        </w:tc>
      </w:tr>
    </w:tbl>
    <w:p>
      <w:pPr>
        <w:spacing w:before="80" w:after="80"/>
      </w:pPr>
    </w:p>
    <w:p>
      <w:pPr>
        <w:pStyle w:val="Heading1"/>
        <w:spacing w:before="360" w:after="160"/>
      </w:pPr>
      <w:r>
        <w:rPr>
          <w:rFonts w:ascii="Arial" w:cs="Arial" w:eastAsia="Arial" w:hAnsi="Arial"/>
          <w:b/>
          <w:bCs/>
          <w:color w:val="1F4E79"/>
          <w:sz w:val="32"/>
          <w:szCs w:val="32"/>
        </w:rPr>
        <w:t xml:space="preserve">4. Flujo Lead → Contact</w:t>
      </w:r>
    </w:p>
    <w:p>
      <w:pPr>
        <w:spacing w:before="60" w:after="60"/>
      </w:pPr>
      <w:r>
        <w:rPr>
          <w:rFonts w:ascii="Arial" w:cs="Arial" w:eastAsia="Arial" w:hAnsi="Arial"/>
          <w:sz w:val="20"/>
          <w:szCs w:val="20"/>
        </w:rPr>
        <w:t xml:space="preserve">Este es el flujo central de integración entre VoiceHire y el CRM. Es un evento de negocio importante y debe ser trazable.</w:t>
      </w:r>
    </w:p>
    <w:p>
      <w:pPr>
        <w:spacing w:before="80" w:after="80"/>
      </w:pPr>
    </w:p>
    <w:p>
      <w:pPr>
        <w:pStyle w:val="ListParagraph"/>
        <w:numPr>
          <w:ilvl w:val="0"/>
          <w:numId w:val="2"/>
        </w:numPr>
        <w:spacing w:before="40" w:after="40"/>
      </w:pPr>
      <w:r>
        <w:rPr>
          <w:rFonts w:ascii="Arial" w:cs="Arial" w:eastAsia="Arial" w:hAnsi="Arial"/>
          <w:sz w:val="20"/>
          <w:szCs w:val="20"/>
        </w:rPr>
        <w:t xml:space="preserve">Vortem crea Leads (manual, CSV, o API).</w:t>
      </w:r>
    </w:p>
    <w:p>
      <w:pPr>
        <w:pStyle w:val="ListParagraph"/>
        <w:numPr>
          <w:ilvl w:val="0"/>
          <w:numId w:val="2"/>
        </w:numPr>
        <w:spacing w:before="40" w:after="40"/>
      </w:pPr>
      <w:r>
        <w:rPr>
          <w:rFonts w:ascii="Arial" w:cs="Arial" w:eastAsia="Arial" w:hAnsi="Arial"/>
          <w:sz w:val="20"/>
          <w:szCs w:val="20"/>
        </w:rPr>
        <w:t xml:space="preserve">El supervisor lanza una campaña en VoiceHire enviando los Leads vía API.</w:t>
      </w:r>
    </w:p>
    <w:p>
      <w:pPr>
        <w:pStyle w:val="ListParagraph"/>
        <w:numPr>
          <w:ilvl w:val="0"/>
          <w:numId w:val="2"/>
        </w:numPr>
        <w:spacing w:before="40" w:after="40"/>
      </w:pPr>
      <w:r>
        <w:rPr>
          <w:rFonts w:ascii="Arial" w:cs="Arial" w:eastAsia="Arial" w:hAnsi="Arial"/>
          <w:sz w:val="20"/>
          <w:szCs w:val="20"/>
        </w:rPr>
        <w:t xml:space="preserve">VoiceHire ejecuta las llamadas y actualiza el estado de cada Lead via webhook al CRM (POST /api/v1/webhooks/voicehire/{organization_id}).</w:t>
      </w:r>
    </w:p>
    <w:p>
      <w:pPr>
        <w:pStyle w:val="ListParagraph"/>
        <w:numPr>
          <w:ilvl w:val="0"/>
          <w:numId w:val="2"/>
        </w:numPr>
        <w:spacing w:before="40" w:after="40"/>
      </w:pPr>
      <w:r>
        <w:rPr>
          <w:rFonts w:ascii="Arial" w:cs="Arial" w:eastAsia="Arial" w:hAnsi="Arial"/>
          <w:sz w:val="20"/>
          <w:szCs w:val="20"/>
        </w:rPr>
        <w:t xml:space="preserve">Cuando VoiceHire marca un Lead como 'qualified', el sistema emite lead.qualified → el worker genera notificaciones para todos los supervisores de la org.</w:t>
      </w:r>
    </w:p>
    <w:p>
      <w:pPr>
        <w:pStyle w:val="ListParagraph"/>
        <w:numPr>
          <w:ilvl w:val="0"/>
          <w:numId w:val="2"/>
        </w:numPr>
        <w:spacing w:before="40" w:after="40"/>
      </w:pPr>
      <w:r>
        <w:rPr>
          <w:rFonts w:ascii="Arial" w:cs="Arial" w:eastAsia="Arial" w:hAnsi="Arial"/>
          <w:sz w:val="20"/>
          <w:szCs w:val="20"/>
        </w:rPr>
        <w:t xml:space="preserve">El supervisor ve los leads calificados sin asignar en GET /api/v1/supervisor/leads/queue (ordenados por created_at ASC — FIFO).</w:t>
      </w:r>
    </w:p>
    <w:p>
      <w:pPr>
        <w:pStyle w:val="ListParagraph"/>
        <w:numPr>
          <w:ilvl w:val="0"/>
          <w:numId w:val="2"/>
        </w:numPr>
        <w:spacing w:before="40" w:after="40"/>
      </w:pPr>
      <w:r>
        <w:rPr>
          <w:rFonts w:ascii="Arial" w:cs="Arial" w:eastAsia="Arial" w:hAnsi="Arial"/>
          <w:sz w:val="20"/>
          <w:szCs w:val="20"/>
        </w:rPr>
        <w:t xml:space="preserve">El supervisor asigna el Lead a un agente humano (PATCH /api/v1/supervisor/leads/{id}/assign) → emite lead.assigned → worker notifica al agente.</w:t>
      </w:r>
    </w:p>
    <w:p>
      <w:pPr>
        <w:pStyle w:val="ListParagraph"/>
        <w:numPr>
          <w:ilvl w:val="0"/>
          <w:numId w:val="2"/>
        </w:numPr>
        <w:spacing w:before="40" w:after="40"/>
      </w:pPr>
      <w:r>
        <w:rPr>
          <w:rFonts w:ascii="Arial" w:cs="Arial" w:eastAsia="Arial" w:hAnsi="Arial"/>
          <w:sz w:val="20"/>
          <w:szCs w:val="20"/>
        </w:rPr>
        <w:t xml:space="preserve">Cuando el supervisor o agente convierte el Lead (POST /api/v1/leads/{id}/convert), el sistema: crea un Contact con los datos del Lead, migra voicehire_data como Activity(type='voicehire_call'), opcionalmente crea un Deal en la primera etapa del pipeline, archiva el Lead (status='converted'), emite lead.converted.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i/>
                <w:iCs/>
                <w:sz w:val="18"/>
                <w:szCs w:val="18"/>
              </w:rPr>
              <w:t xml:space="preserve">Guarda de idempotencia: POST /leads/{id}/convert retorna 400 si lead.status ya es 'converted'. El ID del Contact se genera explícitamente antes del flush para evitar que el Deal lea contact.id=None.</w:t>
            </w:r>
          </w:p>
        </w:tc>
      </w:tr>
    </w:tbl>
    <w:p>
      <w:pPr>
        <w:spacing w:before="80" w:after="80"/>
      </w:pPr>
    </w:p>
    <w:p>
      <w:pPr>
        <w:pStyle w:val="Heading1"/>
        <w:spacing w:before="360" w:after="160"/>
      </w:pPr>
      <w:r>
        <w:rPr>
          <w:rFonts w:ascii="Arial" w:cs="Arial" w:eastAsia="Arial" w:hAnsi="Arial"/>
          <w:b/>
          <w:bCs/>
          <w:color w:val="1F4E79"/>
          <w:sz w:val="32"/>
          <w:szCs w:val="32"/>
        </w:rPr>
        <w:t xml:space="preserve">5. Integración con VoiceHire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Dirección</w:t>
            </w:r>
          </w:p>
        </w:tc>
        <w:tc>
          <w:tcPr>
            <w:tcW w:type="dxa" w:w="7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CRM → VoiceHire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/api/v1/leads/bulk — envía lista de Leads con campaign_id para iniciar campaña.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VoiceHire → CRM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 /api/v1/webhooks/voicehire/{organization_id} — recibe eventos: call_completed, lead_qualified, lead_discarded. Autenticado por X-VoiceHire-Secret header. Hace merge de voicehire_data (acumulativo, no reemplaza). Crea Activity por cada evento.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CRM (polling)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/api/v1/campaigns/{id}/status — el CRM consulta periódicamente el estado de campañas activas.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i/>
                <w:iCs/>
                <w:sz w:val="18"/>
                <w:szCs w:val="18"/>
              </w:rPr>
              <w:t xml:space="preserve">Principio: VoiceHire no conoce el modelo de datos del CRM. Solo envía eventos con lead_id y payload. Vortem interpreta esos eventos y actualiza su propio modelo. Esto permite que Vortem funcione sin VoiceHire y viceversa.</w:t>
            </w:r>
          </w:p>
        </w:tc>
      </w:tr>
    </w:tbl>
    <w:p>
      <w:pPr>
        <w:spacing w:before="80" w:after="80"/>
      </w:pPr>
    </w:p>
    <w:p>
      <w:pPr>
        <w:pStyle w:val="Heading1"/>
        <w:spacing w:before="360" w:after="160"/>
      </w:pPr>
      <w:r>
        <w:rPr>
          <w:rFonts w:ascii="Arial" w:cs="Arial" w:eastAsia="Arial" w:hAnsi="Arial"/>
          <w:b/>
          <w:bCs/>
          <w:color w:val="1F4E79"/>
          <w:sz w:val="32"/>
          <w:szCs w:val="32"/>
        </w:rPr>
        <w:t xml:space="preserve">6. Stack técnico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Capa</w:t>
            </w:r>
          </w:p>
        </w:tc>
        <w:tc>
          <w:tcPr>
            <w:tcW w:type="dxa" w:w="7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Tecnología y decisión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Backend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FastAPI + Python. Routers delgados, lógica en /services/. SQLAlchemy async + asyncpg.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 de datos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PostgreSQL 16. Migraciones con Alembic (idempotentes, ADD COLUMN IF NOT EXISTS). 4 migraciones: 0001 foundation, 0002 contacts+leads, 0003 pipeline+deals+activities, 0004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Cache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Redis 7. Caché de sesiones y cola de eventos internos.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Next.js (App Router). Lógica client-side preferida sobre SSR. TanStack Query para estado del servidor. Proxy /api/v1/[...path] hacia el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JWT con httpOnly cookies. Access token (corto plazo) + refresh token (largo plazo). secure=True solo en producción.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 Compose. Un docker-compose.yml por cliente. Servicios: db:5433, redis:6380, backend:8000, worker. Sin dependencia de cloud.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 de eventos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Tabla events en PostgreSQL + worker asyncio en contenedor separado. LISTEN/NOTIFY sin polling. FastAPI escribe el evento y Postgres notifica al worker. Sin Kafka ni RabbitMQ en fase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Comunicación Vortem↔VoiceHire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 + webhooks. Sin mensajería asíncrona compleja en fase 1.</w:t>
            </w:r>
          </w:p>
        </w:tc>
      </w:tr>
    </w:tbl>
    <w:p>
      <w:pPr>
        <w:spacing w:before="80" w:after="80"/>
      </w:pPr>
    </w:p>
    <w:p>
      <w:pPr>
        <w:pStyle w:val="Heading1"/>
        <w:spacing w:before="360" w:after="160"/>
      </w:pPr>
      <w:r>
        <w:rPr>
          <w:rFonts w:ascii="Arial" w:cs="Arial" w:eastAsia="Arial" w:hAnsi="Arial"/>
          <w:b/>
          <w:bCs/>
          <w:color w:val="1F4E79"/>
          <w:sz w:val="32"/>
          <w:szCs w:val="32"/>
        </w:rPr>
        <w:t xml:space="preserve">7. Estructura de carpetas (backend)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vortem/backend/app/
  api/v1/         → routers delgados (validación + llamada a service)
    auth.py, setup.py, contacts.py, leads.py, deals.py
    pipelines.py, stages.py, users.py, reports.py
    supervisor.py  → cola de asignación
    notifications.py
    webhooks.py    → eventos entrantes de VoiceHire
    router.py      → agrega todos los sub-routers
  services/       → toda la lógica de negocio
    auth_service.py, setup_service.py
    contact_service.py, lead_service.py
    deal_service.py, pipeline_service.py, stage_service.py
    conversion_service.py  → flujo Lead → Contact
    notification_service.py
    supervisor_service.py
    webhook_service.py     → procesa eventos de VoiceHire
    report_service.py      → funnel, agent performance, by-campaign
    user_service.py
  models/         → SQLAlchemy ORM (lazy='raise' en todos)
  schemas/        → Pydantic (request/response, from_attributes=True)
  events/         → catalog.py, publisher.py, worker.py
  db/             → session.py (NullPool en tests), redis.py
  core/           → config.py, security.py, logging.py
  middleware/     → auth.py (require_auth, require_roles, get_current_org_id)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i/>
                <w:iCs/>
                <w:sz w:val="18"/>
                <w:szCs w:val="18"/>
              </w:rPr>
              <w:t xml:space="preserve">vortem/frontend/  (completo — sesiones 6–10)
  app/
    (auth)/           → /login
    dashboard/        → layout con sidebar (responsive, hamburger en mobile)
      page.tsx        → /dashboard — KPI cards con funnel stats
      leads/          → lista con filtros + cola supervisor + detalle
      contacts/       → lista con filtros + detalle + sección deals
      deals/          → kanban drag-and-drop por stage
      reports/        → funnel + agent performance + by-campaign (admin/supervisor)
      settings/       → user management + pipeline config (admin)
    not-found.tsx     → 404 personalizado
    error.tsx         → error boundary con botón reintentar
    api/v1/[...path]/ → proxy al backend
  components/         → UI por módulo (layout, leads, contacts, deals, settings, shared)
  hooks/              → useLeads, useContacts, useDeals, usePipelines, useStages,
                        useUsers, useNotifications, useReports
  lib/                → api.ts, types.ts, server-api.ts</w:t>
            </w:r>
          </w:p>
        </w:tc>
      </w:tr>
    </w:tbl>
    <w:p>
      <w:pPr>
        <w:spacing w:before="80" w:after="80"/>
      </w:pPr>
    </w:p>
    <w:p>
      <w:pPr>
        <w:pStyle w:val="Heading1"/>
        <w:spacing w:before="360" w:after="160"/>
      </w:pPr>
      <w:r>
        <w:rPr>
          <w:rFonts w:ascii="Arial" w:cs="Arial" w:eastAsia="Arial" w:hAnsi="Arial"/>
          <w:b/>
          <w:bCs/>
          <w:color w:val="1F4E79"/>
          <w:sz w:val="32"/>
          <w:szCs w:val="32"/>
        </w:rPr>
        <w:t xml:space="preserve">8. Fases de construcción [ACTUALIZADO]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i/>
                <w:iCs/>
                <w:sz w:val="18"/>
                <w:szCs w:val="18"/>
              </w:rPr>
              <w:t xml:space="preserve">Las fases 1A–1E del backend están completas (93/93 tests). La nomenclatura real difiere de la versión 1.3 — las fases se comprimieron durante la construcción. Esta tabla refleja lo que se construyó.</w:t>
            </w:r>
          </w:p>
        </w:tc>
      </w:tr>
    </w:tbl>
    <w:p>
      <w:pPr>
        <w:spacing w:before="80" w:after="80"/>
      </w:pPr>
    </w:p>
    <w:p>
      <w:pPr>
        <w:pStyle w:val="Heading2"/>
        <w:spacing w:before="280" w:after="120"/>
      </w:pPr>
      <w:r>
        <w:rPr>
          <w:rFonts w:ascii="Arial" w:cs="Arial" w:eastAsia="Arial" w:hAnsi="Arial"/>
          <w:b/>
          <w:bCs/>
          <w:color w:val="2E75B6"/>
          <w:sz w:val="26"/>
          <w:szCs w:val="26"/>
        </w:rPr>
        <w:t xml:space="preserve">8.1 Backend — completado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560"/>
        <w:gridCol w:w="1200"/>
        <w:gridCol w:w="1500"/>
      </w:tblGrid>
      <w:tr>
        <w:trPr>
          <w:tblHeader/>
        </w:trP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Fase</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Módulos construidos</w:t>
            </w:r>
          </w:p>
        </w:tc>
        <w:tc>
          <w:tcPr>
            <w:tcW w:type="dxa" w:w="2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Objetivo logrado</w:t>
            </w:r>
          </w:p>
        </w:tc>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Tests</w:t>
            </w:r>
          </w:p>
        </w:tc>
        <w:tc>
          <w:tcPr>
            <w:tcW w:type="dxa" w:w="1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Commit</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1A</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Auth + Organizations + Users + permisos por rol + event bus + bootstrap</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Sistema base con login, orgs, JWT y bus de eventos PostgreSQL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15/15</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650a674</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1B</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Contacts + Leads — CRUD completo con permisos por rol</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Gestión de leads y contactos, aislamiento por org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35/35</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f4144c1</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1C</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 + Stages + Deals + Activity + conversión Lead→Contact</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Flujo central completo con historial de actividades y deals opcionales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57/57</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f261e79</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1D</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Vista supervisor + asignación + webhooks VoiceHire + notificaciones</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Supervisor puede ver cola de leads calificados, asignar agentes y recibir eventos de VoiceHire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76/76</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9d8cee3</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1E</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management + reportes (funnel, agent performance, by-campaign)</w:t>
            </w:r>
          </w:p>
        </w:tc>
        <w:tc>
          <w:tcPr>
            <w:tcW w:type="dxa" w:w="2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 puede gestionar usuarios. Reportes de conversión y rendimiento disponibles.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93/93</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f8b1fa7</w:t>
            </w:r>
          </w:p>
        </w:tc>
      </w:tr>
    </w:tbl>
    <w:p>
      <w:pPr>
        <w:spacing w:before="80" w:after="80"/>
      </w:pPr>
    </w:p>
    <w:p>
      <w:pPr>
        <w:pStyle w:val="Heading2"/>
        <w:spacing w:before="280" w:after="120"/>
      </w:pPr>
      <w:r>
        <w:rPr>
          <w:rFonts w:ascii="Arial" w:cs="Arial" w:eastAsia="Arial" w:hAnsi="Arial"/>
          <w:b/>
          <w:bCs/>
          <w:color w:val="2E75B6"/>
          <w:sz w:val="26"/>
          <w:szCs w:val="26"/>
        </w:rPr>
        <w:t xml:space="preserve">8.2 Frontend — completado (sesiones 6–10, 2026-03-28)</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Fase</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Módulos</w:t>
            </w:r>
          </w:p>
        </w:tc>
        <w:tc>
          <w:tcPr>
            <w:tcW w:type="dxa" w:w="52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Objetivo</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2A</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Login + layout base + sidebar</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Usuario puede autenticarse y navegar por la app. Commit: 878201a</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2B</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Leads — lista + vista supervisor + asignación</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Supervisor puede ver cola y asignar desde el frontend. Commit: 3acced3</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2C</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Contacts — lista, detalle, crear/editar</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Gestión completa de contactos. Commit: 01add3a</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2D</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Deals — kanban de pipeline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Agente puede mover deals entre etapas. Commit: e42dd21</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2E</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Reportes + Settings (usuarios, pipeline)</w:t>
            </w:r>
          </w:p>
        </w:tc>
        <w:tc>
          <w:tcPr>
            <w:tcW w:type="dxa" w:w="5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de métricas y configuración de la instancia. Commit: f231920</w:t>
            </w:r>
          </w:p>
        </w:tc>
      </w:tr>
    </w:tbl>
    <w:p>
      <w:pPr>
        <w:spacing w:before="80" w:after="80"/>
      </w:pPr>
    </w:p>
    <w:p>
      <w:pPr>
        <w:pStyle w:val="Heading2"/>
        <w:spacing w:before="280" w:after="120"/>
      </w:pPr>
      <w:r>
        <w:rPr>
          <w:rFonts w:ascii="Arial" w:cs="Arial" w:eastAsia="Arial" w:hAnsi="Arial"/>
          <w:b/>
          <w:bCs/>
          <w:color w:val="2E75B6"/>
          <w:sz w:val="26"/>
          <w:szCs w:val="26"/>
        </w:rPr>
        <w:t xml:space="preserve">8.3 Fases futuras (post-MVP)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Fase</w:t>
            </w:r>
          </w:p>
        </w:tc>
        <w:tc>
          <w:tcPr>
            <w:tcW w:type="dxa" w:w="7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Descripción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Fase 3A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WFM básico: turnos y disponibilidad de agentes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Fase 3B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Motor de asignación automática de leads según disponibilidad y carga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Fase 3C</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Notificaciones en tiempo real (WebSocket)</w:t>
            </w:r>
          </w:p>
        </w:tc>
      </w:tr>
    </w:tbl>
    <w:p>
      <w:pPr>
        <w:spacing w:before="80" w:after="80"/>
      </w:pPr>
    </w:p>
    <w:p>
      <w:pPr>
        <w:spacing w:before="60" w:after="60"/>
      </w:pPr>
      <w:r>
        <w:rPr>
          <w:rFonts w:ascii="Arial" w:cs="Arial" w:eastAsia="Arial" w:hAnsi="Arial"/>
          <w:i/>
          <w:iCs/>
          <w:color w:val="555555"/>
          <w:sz w:val="20"/>
          <w:szCs w:val="20"/>
        </w:rPr>
        <w:t xml:space="preserve">Nota: Las fases 1A–2E son el MVP vendible. Las fases 3A–3C son el diferenciador competitivo.</w:t>
      </w:r>
    </w:p>
    <w:p>
      <w:pPr>
        <w:spacing w:before="80" w:after="80"/>
      </w:pPr>
    </w:p>
    <w:p>
      <w:pPr>
        <w:pStyle w:val="Heading1"/>
        <w:spacing w:before="360" w:after="160"/>
      </w:pPr>
      <w:r>
        <w:rPr>
          <w:rFonts w:ascii="Arial" w:cs="Arial" w:eastAsia="Arial" w:hAnsi="Arial"/>
          <w:b/>
          <w:bCs/>
          <w:color w:val="1F4E79"/>
          <w:sz w:val="32"/>
          <w:szCs w:val="32"/>
        </w:rPr>
        <w:t xml:space="preserve">9. Reglas de desarrollo</w:t>
      </w:r>
    </w:p>
    <w:p>
      <w:pPr>
        <w:spacing w:before="60" w:after="60"/>
      </w:pPr>
      <w:r>
        <w:rPr>
          <w:rFonts w:ascii="Arial" w:cs="Arial" w:eastAsia="Arial" w:hAnsi="Arial"/>
          <w:sz w:val="20"/>
          <w:szCs w:val="20"/>
        </w:rPr>
        <w:t xml:space="preserve">Estas reglas aplican a todas las sesiones de desarrollo y no deben negociarse sesión a sesión.</w:t>
      </w:r>
    </w:p>
    <w:p>
      <w:pPr>
        <w:spacing w:before="80" w:after="80"/>
      </w:pPr>
    </w:p>
    <w:p>
      <w:pPr>
        <w:spacing w:before="200" w:after="80"/>
      </w:pPr>
      <w:r>
        <w:rPr>
          <w:rFonts w:ascii="Arial" w:cs="Arial" w:eastAsia="Arial" w:hAnsi="Arial"/>
          <w:b/>
          <w:bCs/>
          <w:color w:val="404040"/>
          <w:sz w:val="22"/>
          <w:szCs w:val="22"/>
        </w:rPr>
        <w:t xml:space="preserve">Backend</w:t>
      </w:r>
    </w:p>
    <w:p>
      <w:pPr>
        <w:pStyle w:val="ListParagraph"/>
        <w:numPr>
          <w:ilvl w:val="0"/>
          <w:numId w:val="2"/>
        </w:numPr>
        <w:spacing w:before="40" w:after="40"/>
      </w:pPr>
      <w:r>
        <w:rPr>
          <w:rFonts w:ascii="Arial" w:cs="Arial" w:eastAsia="Arial" w:hAnsi="Arial"/>
          <w:sz w:val="20"/>
          <w:szCs w:val="20"/>
        </w:rPr>
        <w:t xml:space="preserve">Ningún router contiene lógica de negocio. Solo: validar entrada → llamar service → retornar respuesta.</w:t>
      </w:r>
    </w:p>
    <w:p>
      <w:pPr>
        <w:pStyle w:val="ListParagraph"/>
        <w:numPr>
          <w:ilvl w:val="0"/>
          <w:numId w:val="2"/>
        </w:numPr>
        <w:spacing w:before="40" w:after="40"/>
      </w:pPr>
      <w:r>
        <w:rPr>
          <w:rFonts w:ascii="Arial" w:cs="Arial" w:eastAsia="Arial" w:hAnsi="Arial"/>
          <w:sz w:val="20"/>
          <w:szCs w:val="20"/>
        </w:rPr>
        <w:t xml:space="preserve">Toda migración de Alembic es idempotente (ADD COLUMN IF NOT EXISTS, CREATE TABLE IF NOT EXISTS).</w:t>
      </w:r>
    </w:p>
    <w:p>
      <w:pPr>
        <w:pStyle w:val="ListParagraph"/>
        <w:numPr>
          <w:ilvl w:val="0"/>
          <w:numId w:val="2"/>
        </w:numPr>
        <w:spacing w:before="40" w:after="40"/>
      </w:pPr>
      <w:r>
        <w:rPr>
          <w:rFonts w:ascii="Arial" w:cs="Arial" w:eastAsia="Arial" w:hAnsi="Arial"/>
          <w:sz w:val="20"/>
          <w:szCs w:val="20"/>
        </w:rPr>
        <w:t xml:space="preserve">Todo endpoint que recibe datos del exterior valida con Pydantic antes de pasar al service.</w:t>
      </w:r>
    </w:p>
    <w:p>
      <w:pPr>
        <w:pStyle w:val="ListParagraph"/>
        <w:numPr>
          <w:ilvl w:val="0"/>
          <w:numId w:val="2"/>
        </w:numPr>
        <w:spacing w:before="40" w:after="40"/>
      </w:pPr>
      <w:r>
        <w:rPr>
          <w:rFonts w:ascii="Arial" w:cs="Arial" w:eastAsia="Arial" w:hAnsi="Arial"/>
          <w:sz w:val="20"/>
          <w:szCs w:val="20"/>
        </w:rPr>
        <w:t xml:space="preserve">Los eventos se emiten DESPUÉS del commit a la base de datos, nunca antes.</w:t>
      </w:r>
    </w:p>
    <w:p>
      <w:pPr>
        <w:pStyle w:val="ListParagraph"/>
        <w:numPr>
          <w:ilvl w:val="0"/>
          <w:numId w:val="2"/>
        </w:numPr>
        <w:spacing w:before="40" w:after="40"/>
      </w:pPr>
      <w:r>
        <w:rPr>
          <w:rFonts w:ascii="Arial" w:cs="Arial" w:eastAsia="Arial" w:hAnsi="Arial"/>
          <w:sz w:val="20"/>
          <w:szCs w:val="20"/>
        </w:rPr>
        <w:t xml:space="preserve">organization_id se filtra en TODAS las queries. Sin excepción.</w:t>
      </w:r>
    </w:p>
    <w:p>
      <w:pPr>
        <w:pStyle w:val="ListParagraph"/>
        <w:numPr>
          <w:ilvl w:val="0"/>
          <w:numId w:val="2"/>
        </w:numPr>
        <w:spacing w:before="40" w:after="40"/>
      </w:pPr>
      <w:r>
        <w:rPr>
          <w:rFonts w:ascii="Arial" w:cs="Arial" w:eastAsia="Arial" w:hAnsi="Arial"/>
          <w:sz w:val="20"/>
          <w:szCs w:val="20"/>
        </w:rPr>
        <w:t xml:space="preserve">lazy='raise' en todas las relaciones ORM. Sin N+1 silenciosos.</w:t>
      </w:r>
    </w:p>
    <w:p>
      <w:pPr>
        <w:pStyle w:val="ListParagraph"/>
        <w:numPr>
          <w:ilvl w:val="0"/>
          <w:numId w:val="2"/>
        </w:numPr>
        <w:spacing w:before="40" w:after="40"/>
      </w:pPr>
      <w:r>
        <w:rPr>
          <w:rFonts w:ascii="Arial" w:cs="Arial" w:eastAsia="Arial" w:hAnsi="Arial"/>
          <w:sz w:val="20"/>
          <w:szCs w:val="20"/>
        </w:rPr>
        <w:t xml:space="preserve">Los servicios llaman flush(), no commit(). Los endpoints llaman commit() explícitamente antes de publicar eventos.</w:t>
      </w:r>
    </w:p>
    <w:p>
      <w:pPr>
        <w:spacing w:before="80" w:after="80"/>
      </w:pPr>
    </w:p>
    <w:p>
      <w:pPr>
        <w:spacing w:before="200" w:after="80"/>
      </w:pPr>
      <w:r>
        <w:rPr>
          <w:rFonts w:ascii="Arial" w:cs="Arial" w:eastAsia="Arial" w:hAnsi="Arial"/>
          <w:b/>
          <w:bCs/>
          <w:color w:val="404040"/>
          <w:sz w:val="22"/>
          <w:szCs w:val="22"/>
        </w:rPr>
        <w:t xml:space="preserve">Frontend</w:t>
      </w:r>
    </w:p>
    <w:p>
      <w:pPr>
        <w:pStyle w:val="ListParagraph"/>
        <w:numPr>
          <w:ilvl w:val="0"/>
          <w:numId w:val="2"/>
        </w:numPr>
        <w:spacing w:before="40" w:after="40"/>
      </w:pPr>
      <w:r>
        <w:rPr>
          <w:rFonts w:ascii="Arial" w:cs="Arial" w:eastAsia="Arial" w:hAnsi="Arial"/>
          <w:sz w:val="20"/>
          <w:szCs w:val="20"/>
        </w:rPr>
        <w:t xml:space="preserve">No hay fetch en Server Components salvo para datos de página inicial. Todo lo demás es client-side con TanStack Query.</w:t>
      </w:r>
    </w:p>
    <w:p>
      <w:pPr>
        <w:pStyle w:val="ListParagraph"/>
        <w:numPr>
          <w:ilvl w:val="0"/>
          <w:numId w:val="2"/>
        </w:numPr>
        <w:spacing w:before="40" w:after="40"/>
      </w:pPr>
      <w:r>
        <w:rPr>
          <w:rFonts w:ascii="Arial" w:cs="Arial" w:eastAsia="Arial" w:hAnsi="Arial"/>
          <w:sz w:val="20"/>
          <w:szCs w:val="20"/>
        </w:rPr>
        <w:t xml:space="preserve">El proxy /api/v1/[...path] maneja todos los requests al backend. Ningún componente llama al backend directamente.</w:t>
      </w:r>
    </w:p>
    <w:p>
      <w:pPr>
        <w:pStyle w:val="ListParagraph"/>
        <w:numPr>
          <w:ilvl w:val="0"/>
          <w:numId w:val="2"/>
        </w:numPr>
        <w:spacing w:before="40" w:after="40"/>
      </w:pPr>
      <w:r>
        <w:rPr>
          <w:rFonts w:ascii="Arial" w:cs="Arial" w:eastAsia="Arial" w:hAnsi="Arial"/>
          <w:sz w:val="20"/>
          <w:szCs w:val="20"/>
        </w:rPr>
        <w:t xml:space="preserve">Los formularios usan react-hook-form + zod. Sin validación manual.</w:t>
      </w:r>
    </w:p>
    <w:p>
      <w:pPr>
        <w:pStyle w:val="ListParagraph"/>
        <w:numPr>
          <w:ilvl w:val="0"/>
          <w:numId w:val="2"/>
        </w:numPr>
        <w:spacing w:before="40" w:after="40"/>
      </w:pPr>
      <w:r>
        <w:rPr>
          <w:rFonts w:ascii="Arial" w:cs="Arial" w:eastAsia="Arial" w:hAnsi="Arial"/>
          <w:sz w:val="20"/>
          <w:szCs w:val="20"/>
        </w:rPr>
        <w:t xml:space="preserve">Ningún componente tiene más de una responsabilidad. Si crece, se divide.</w:t>
      </w:r>
    </w:p>
    <w:p>
      <w:pPr>
        <w:spacing w:before="80" w:after="80"/>
      </w:pPr>
    </w:p>
    <w:p>
      <w:pPr>
        <w:spacing w:before="200" w:after="80"/>
      </w:pPr>
      <w:r>
        <w:rPr>
          <w:rFonts w:ascii="Arial" w:cs="Arial" w:eastAsia="Arial" w:hAnsi="Arial"/>
          <w:b/>
          <w:bCs/>
          <w:color w:val="404040"/>
          <w:sz w:val="22"/>
          <w:szCs w:val="22"/>
        </w:rPr>
        <w:t xml:space="preserve">General — checklist obligatorio de cierre de sesión</w:t>
      </w:r>
    </w:p>
    <w:p>
      <w:pPr>
        <w:pStyle w:val="ListParagraph"/>
        <w:numPr>
          <w:ilvl w:val="0"/>
          <w:numId w:val="2"/>
        </w:numPr>
        <w:spacing w:before="40" w:after="40"/>
      </w:pPr>
      <w:r>
        <w:rPr>
          <w:rFonts w:ascii="Arial" w:cs="Arial" w:eastAsia="Arial" w:hAnsi="Arial"/>
          <w:sz w:val="20"/>
          <w:szCs w:val="20"/>
        </w:rPr>
        <w:t xml:space="preserve">(1) Correr los tests — todos deben pasar antes de cerrar.</w:t>
      </w:r>
    </w:p>
    <w:p>
      <w:pPr>
        <w:pStyle w:val="ListParagraph"/>
        <w:numPr>
          <w:ilvl w:val="0"/>
          <w:numId w:val="2"/>
        </w:numPr>
        <w:spacing w:before="40" w:after="40"/>
      </w:pPr>
      <w:r>
        <w:rPr>
          <w:rFonts w:ascii="Arial" w:cs="Arial" w:eastAsia="Arial" w:hAnsi="Arial"/>
          <w:sz w:val="20"/>
          <w:szCs w:val="20"/>
        </w:rPr>
        <w:t xml:space="preserve">(2) Actualizar SESSIONS.md con el summary de la sesión.</w:t>
      </w:r>
    </w:p>
    <w:p>
      <w:pPr>
        <w:pStyle w:val="ListParagraph"/>
        <w:numPr>
          <w:ilvl w:val="0"/>
          <w:numId w:val="2"/>
        </w:numPr>
        <w:spacing w:before="40" w:after="40"/>
      </w:pPr>
      <w:r>
        <w:rPr>
          <w:rFonts w:ascii="Arial" w:cs="Arial" w:eastAsia="Arial" w:hAnsi="Arial"/>
          <w:sz w:val="20"/>
          <w:szCs w:val="20"/>
        </w:rPr>
        <w:t xml:space="preserve">(3) Commit con mensaje en Conventional Commits format.</w:t>
      </w:r>
    </w:p>
    <w:p>
      <w:pPr>
        <w:pStyle w:val="ListParagraph"/>
        <w:numPr>
          <w:ilvl w:val="0"/>
          <w:numId w:val="2"/>
        </w:numPr>
        <w:spacing w:before="40" w:after="40"/>
      </w:pPr>
      <w:r>
        <w:rPr>
          <w:rFonts w:ascii="Arial" w:cs="Arial" w:eastAsia="Arial" w:hAnsi="Arial"/>
          <w:sz w:val="20"/>
          <w:szCs w:val="20"/>
        </w:rPr>
        <w:t xml:space="preserve">(4) Push a origin main.</w:t>
      </w:r>
    </w:p>
    <w:p>
      <w:pPr>
        <w:spacing w:before="60" w:after="60"/>
      </w:pPr>
      <w:r>
        <w:rPr>
          <w:rFonts w:ascii="Arial" w:cs="Arial" w:eastAsia="Arial" w:hAnsi="Arial"/>
          <w:sz w:val="20"/>
          <w:szCs w:val="20"/>
        </w:rPr>
        <w:t xml:space="preserve">Este checklist vive también en README.md y SESSIONS.md del repo.</w:t>
      </w:r>
    </w:p>
    <w:p>
      <w:pPr>
        <w:spacing w:before="80" w:after="80"/>
      </w:pPr>
    </w:p>
    <w:p>
      <w:pPr>
        <w:pStyle w:val="Heading1"/>
        <w:spacing w:before="360" w:after="160"/>
      </w:pPr>
      <w:r>
        <w:rPr>
          <w:rFonts w:ascii="Arial" w:cs="Arial" w:eastAsia="Arial" w:hAnsi="Arial"/>
          <w:b/>
          <w:bCs/>
          <w:color w:val="1F4E79"/>
          <w:sz w:val="32"/>
          <w:szCs w:val="32"/>
        </w:rPr>
        <w:t xml:space="preserve">10. Preguntas pendientes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i/>
                <w:iCs/>
                <w:sz w:val="18"/>
                <w:szCs w:val="18"/>
              </w:rPr>
              <w:t xml:space="preserve">Confirmar con el primer cliente antes de arrancar el frontend:
• ¿Actualmente usan algún CRM? (HubSpot, Salesforce, Excel, nada) → define si hay migración de datos.
• ¿Cuántos agentes humanos tiene el equipo de ventas? → define escala inicial.
• ¿Cuántas sucursales/organizations necesita en la fase 1? → define fixtures de setup inicial.
• ¿Necesitan campos personalizados en contactos desde el inicio? → custom_fields JSONB ya está en el modelo.
• ¿El pipeline de ventas tiene etapas definidas? → se configura en el onboarding.
• ¿Qué reportes necesitan ver primero? → prioriza el orden de construcción del frontend.</w:t>
            </w:r>
          </w:p>
        </w:tc>
      </w:tr>
    </w:tbl>
    <w:p>
      <w:pPr>
        <w:spacing w:before="80" w:after="80"/>
      </w:pPr>
    </w:p>
    <w:p>
      <w:pPr>
        <w:pStyle w:val="Heading1"/>
        <w:spacing w:before="360" w:after="160"/>
      </w:pPr>
      <w:r>
        <w:rPr>
          <w:rFonts w:ascii="Arial" w:cs="Arial" w:eastAsia="Arial" w:hAnsi="Arial"/>
          <w:b/>
          <w:bCs/>
          <w:color w:val="1F4E79"/>
          <w:sz w:val="32"/>
          <w:szCs w:val="32"/>
        </w:rPr>
        <w:t xml:space="preserve">11. Módulo WFM — Workforce Management (fase futura)</w:t>
      </w:r>
    </w:p>
    <w:p>
      <w:pPr>
        <w:spacing w:before="60" w:after="60"/>
      </w:pPr>
      <w:r>
        <w:rPr>
          <w:rFonts w:ascii="Arial" w:cs="Arial" w:eastAsia="Arial" w:hAnsi="Arial"/>
          <w:sz w:val="20"/>
          <w:szCs w:val="20"/>
        </w:rPr>
        <w:t xml:space="preserve">Este módulo NO forma parte del MVP ni de las fases 1A–2E. Se documenta aquí para que las decisiones de arquitectura del núcleo no lo bloqueen cuando llegue el momento de construirlo.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i/>
                <w:iCs/>
                <w:sz w:val="18"/>
                <w:szCs w:val="18"/>
              </w:rPr>
              <w:t xml:space="preserve">Principio de diseño del WFM:
• Es un módulo adicional que se activa por instancia, igual que Pipeline/Deals.
• No modifica el núcleo del CRM. Se apoya en entidades existentes (User, Organization, Activity).
• Gestiona cualquier rol del equipo, no solo agentes de llamadas.
• Los criterios de asignación y las estructuras de metas los configura cada cliente.
• El sistema da alertas y sugiere — el supervisor siempre tiene la decisión final.</w:t>
            </w:r>
          </w:p>
        </w:tc>
      </w:tr>
    </w:tbl>
    <w:p>
      <w:pPr>
        <w:spacing w:before="80" w:after="80"/>
      </w:pPr>
    </w:p>
    <w:p>
      <w:pPr>
        <w:spacing w:before="200" w:after="80"/>
      </w:pPr>
      <w:r>
        <w:rPr>
          <w:rFonts w:ascii="Arial" w:cs="Arial" w:eastAsia="Arial" w:hAnsi="Arial"/>
          <w:b/>
          <w:bCs/>
          <w:color w:val="404040"/>
          <w:sz w:val="22"/>
          <w:szCs w:val="22"/>
        </w:rPr>
        <w:t xml:space="preserve">11.1 Lo que ya está preparado en el núcleo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Qué está listo</w:t>
            </w:r>
          </w:p>
        </w:tc>
        <w:tc>
          <w:tcPr>
            <w:tcW w:type="dxa" w:w="6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r>
              <w:rPr>
                <w:rFonts w:ascii="Arial" w:cs="Arial" w:eastAsia="Arial" w:hAnsi="Arial"/>
                <w:b/>
                <w:bCs/>
                <w:color w:val="1F4E79"/>
                <w:sz w:val="18"/>
                <w:szCs w:val="18"/>
              </w:rPr>
              <w:t xml:space="preserve">Por qué importa para el WFM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User.timezone (String, default='America/Bogota') — implementado en Fase 1A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Los turnos son horarios locales. Sin timezone por usuario, los cálculos de adherencia y forecasting serán incorrectos para clientes en distintas zonas horarias.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Activity.metadata JSONB con started_at/ended_at para actividades de tipo call — implementado en Fase 1C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adherencia compara turno planificado vs actividad real. Sin timestamps precisos no hay datos para calcularla.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Bus de eventos con LEAD_ASSIGNED, VOICEHIRE_CALL_COMPLETED — implementado en Fase 1D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 módulo WFM escuchará estos eventos para calcular adherencia sin hacer polling constante a la tabla Activity.</w:t>
            </w:r>
          </w:p>
        </w:tc>
      </w:tr>
    </w:tbl>
    <w:p>
      <w:pPr>
        <w:spacing w:before="80" w:after="80"/>
      </w:pPr>
    </w:p>
    <w:p>
      <w:pPr>
        <w:spacing w:before="200" w:after="80"/>
      </w:pPr>
      <w:r>
        <w:rPr>
          <w:rFonts w:ascii="Arial" w:cs="Arial" w:eastAsia="Arial" w:hAnsi="Arial"/>
          <w:b/>
          <w:bCs/>
          <w:color w:val="404040"/>
          <w:sz w:val="22"/>
          <w:szCs w:val="22"/>
        </w:rPr>
        <w:t xml:space="preserve">11.2 Funciones del módulo (diseño, no construido)</w:t>
      </w:r>
    </w:p>
    <w:p>
      <w:pPr>
        <w:pStyle w:val="ListParagraph"/>
        <w:numPr>
          <w:ilvl w:val="0"/>
          <w:numId w:val="2"/>
        </w:numPr>
        <w:spacing w:before="40" w:after="40"/>
      </w:pPr>
      <w:r>
        <w:rPr>
          <w:rFonts w:ascii="Arial" w:cs="Arial" w:eastAsia="Arial" w:hAnsi="Arial"/>
          <w:sz w:val="20"/>
          <w:szCs w:val="20"/>
        </w:rPr>
        <w:t xml:space="preserve">Turnos y horarios: definición de turnos por Organization, asignación a usuarios, vista de calendario, turnos rotativos y fijos.</w:t>
      </w:r>
    </w:p>
    <w:p>
      <w:pPr>
        <w:pStyle w:val="ListParagraph"/>
        <w:numPr>
          <w:ilvl w:val="0"/>
          <w:numId w:val="2"/>
        </w:numPr>
        <w:spacing w:before="40" w:after="40"/>
      </w:pPr>
      <w:r>
        <w:rPr>
          <w:rFonts w:ascii="Arial" w:cs="Arial" w:eastAsia="Arial" w:hAnsi="Arial"/>
          <w:sz w:val="20"/>
          <w:szCs w:val="20"/>
        </w:rPr>
        <w:t xml:space="preserve">Solicitudes de permisos y ausentismo: flujo agente → supervisor con aprobación/rechazo.</w:t>
      </w:r>
    </w:p>
    <w:p>
      <w:pPr>
        <w:pStyle w:val="ListParagraph"/>
        <w:numPr>
          <w:ilvl w:val="0"/>
          <w:numId w:val="2"/>
        </w:numPr>
        <w:spacing w:before="40" w:after="40"/>
      </w:pPr>
      <w:r>
        <w:rPr>
          <w:rFonts w:ascii="Arial" w:cs="Arial" w:eastAsia="Arial" w:hAnsi="Arial"/>
          <w:sz w:val="20"/>
          <w:szCs w:val="20"/>
        </w:rPr>
        <w:t xml:space="preserve">Capacidad y carga de trabajo: indicador bajo/normal/alto por agente, umbral configurable.</w:t>
      </w:r>
    </w:p>
    <w:p>
      <w:pPr>
        <w:pStyle w:val="ListParagraph"/>
        <w:numPr>
          <w:ilvl w:val="0"/>
          <w:numId w:val="2"/>
        </w:numPr>
        <w:spacing w:before="40" w:after="40"/>
      </w:pPr>
      <w:r>
        <w:rPr>
          <w:rFonts w:ascii="Arial" w:cs="Arial" w:eastAsia="Arial" w:hAnsi="Arial"/>
          <w:sz w:val="20"/>
          <w:szCs w:val="20"/>
        </w:rPr>
        <w:t xml:space="preserve">Asignación automática de leads: reglas configurables por cliente, dos modos (automático o sugerido).</w:t>
      </w:r>
    </w:p>
    <w:p>
      <w:pPr>
        <w:pStyle w:val="ListParagraph"/>
        <w:numPr>
          <w:ilvl w:val="0"/>
          <w:numId w:val="2"/>
        </w:numPr>
        <w:spacing w:before="40" w:after="40"/>
      </w:pPr>
      <w:r>
        <w:rPr>
          <w:rFonts w:ascii="Arial" w:cs="Arial" w:eastAsia="Arial" w:hAnsi="Arial"/>
          <w:sz w:val="20"/>
          <w:szCs w:val="20"/>
        </w:rPr>
        <w:t xml:space="preserve">Forecasting: predicción de volumen por promedio móvil, exportable a CSV.</w:t>
      </w:r>
    </w:p>
    <w:p>
      <w:pPr>
        <w:pStyle w:val="ListParagraph"/>
        <w:numPr>
          <w:ilvl w:val="0"/>
          <w:numId w:val="2"/>
        </w:numPr>
        <w:spacing w:before="40" w:after="40"/>
      </w:pPr>
      <w:r>
        <w:rPr>
          <w:rFonts w:ascii="Arial" w:cs="Arial" w:eastAsia="Arial" w:hAnsi="Arial"/>
          <w:sz w:val="20"/>
          <w:szCs w:val="20"/>
        </w:rPr>
        <w:t xml:space="preserve">Adherencia: turno planificado vs actividad real en el CRM.</w:t>
      </w:r>
    </w:p>
    <w:p>
      <w:pPr>
        <w:pStyle w:val="ListParagraph"/>
        <w:numPr>
          <w:ilvl w:val="0"/>
          <w:numId w:val="2"/>
        </w:numPr>
        <w:spacing w:before="40" w:after="40"/>
      </w:pPr>
      <w:r>
        <w:rPr>
          <w:rFonts w:ascii="Arial" w:cs="Arial" w:eastAsia="Arial" w:hAnsi="Arial"/>
          <w:sz w:val="20"/>
          <w:szCs w:val="20"/>
        </w:rPr>
        <w:t xml:space="preserve">Metas y seguimiento: deals cerrados, valor, leads contactados, tasa de conversión. Reporte exportable para nómina (el sistema NO procesa pagos).</w:t>
      </w:r>
    </w:p>
    <w:p>
      <w:pPr>
        <w:spacing w:before="80" w:after="80"/>
      </w:pPr>
    </w:p>
    <w:p>
      <w:pPr>
        <w:spacing w:before="80" w:after="80"/>
      </w:pPr>
    </w:p>
    <w:p>
      <w:pPr>
        <w:pBdr>
          <w:top w:val="single" w:color="2E75B6" w:sz="6" w:space="1"/>
        </w:pBdr>
        <w:spacing w:before="480" w:after="0"/>
        <w:jc w:val="center"/>
      </w:pPr>
      <w:r>
        <w:rPr>
          <w:rFonts w:ascii="Arial" w:cs="Arial" w:eastAsia="Arial" w:hAnsi="Arial"/>
          <w:i/>
          <w:iCs/>
          <w:color w:val="777777"/>
          <w:sz w:val="16"/>
          <w:szCs w:val="16"/>
        </w:rPr>
        <w:t xml:space="preserve">Vortem CRM — Documento de Arquitectura v2.0 — Marzo 2026 — Confidencial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2026-03-28T21:32:39.317Z</dcterms:created>
  <dcterms:modified xsi:type="dcterms:W3CDTF">2026-03-28T21:32:39.318Z</dcterms:modified>
</cp:coreProperties>
</file>

<file path=docProps/custom.xml><?xml version="1.0" encoding="utf-8"?>
<Properties xmlns="http://schemas.openxmlformats.org/officeDocument/2006/custom-properties" xmlns:vt="http://schemas.openxmlformats.org/officeDocument/2006/docPropsVTypes"/>
</file>