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85.png" ContentType="image/png"/>
  <Override PartName="/word/media/rId88.png" ContentType="image/png"/>
  <Override PartName="/word/media/rId104.png" ContentType="image/png"/>
  <Override PartName="/word/media/rId65.png" ContentType="image/png"/>
  <Override PartName="/word/media/rId68.png" ContentType="image/png"/>
  <Override PartName="/word/media/rId59.png" ContentType="image/png"/>
  <Override PartName="/word/media/rId62.png" ContentType="image/png"/>
  <Override PartName="/word/media/rId74.png" ContentType="image/png"/>
  <Override PartName="/word/media/rId71.png" ContentType="image/png"/>
  <Override PartName="/word/media/rId80.jpg" ContentType="image/jpeg"/>
  <Override PartName="/word/media/rId20.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Remote sensing of marine vegetation for monitoring and managing coastal ecosystems</w:t>
      </w:r>
    </w:p>
    <w:p>
      <w:pPr>
        <w:pStyle w:val="Author"/>
      </w:pPr>
      <w:r>
        <w:t xml:space="preserve">Fernando García-González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11" w:name="research-plan"/>
    <w:p>
      <w:pPr>
        <w:pStyle w:val="Heading2"/>
      </w:pPr>
      <w:r>
        <w:t xml:space="preserve">Research plan</w:t>
      </w:r>
    </w:p>
    <w:p>
      <w:pPr>
        <w:pStyle w:val="FirstParagraph"/>
      </w:pPr>
      <w:r>
        <w:rPr>
          <w:b/>
          <w:bCs/>
        </w:rPr>
        <w:t xml:space="preserve">PhD candidate</w:t>
      </w:r>
      <w:r>
        <w:br/>
      </w:r>
      <w:r>
        <w:t xml:space="preserve">Fernando García-González</w:t>
      </w:r>
      <w:r>
        <w:t xml:space="preserve"> </w:t>
      </w:r>
      <w:hyperlink r:id="rId23">
        <w:r>
          <w:drawing>
            <wp:inline>
              <wp:extent cx="203200" cy="203200"/>
              <wp:effectExtent b="0" l="0" r="0" t="0"/>
              <wp:docPr descr="ORCID" title="" id="21" name="Picture"/>
              <a:graphic>
                <a:graphicData uri="http://schemas.openxmlformats.org/drawingml/2006/picture">
                  <pic:pic>
                    <pic:nvPicPr>
                      <pic:cNvPr descr="https://orcid.org/sites/default/files/images/orcid_16x16.png" id="22" name="Picture"/>
                      <pic:cNvPicPr>
                        <a:picLocks noChangeArrowheads="1" noChangeAspect="1"/>
                      </pic:cNvPicPr>
                    </pic:nvPicPr>
                    <pic:blipFill>
                      <a:blip r:embed="rId20"/>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w:t>
      </w:r>
      <w:hyperlink r:id="rId27">
        <w:r>
          <w:drawing>
            <wp:inline>
              <wp:extent cx="304800" cy="304800"/>
              <wp:effectExtent b="0" l="0" r="0" t="0"/>
              <wp:docPr descr="" title="" id="25" name="Picture"/>
              <a:graphic>
                <a:graphicData uri="http://schemas.openxmlformats.org/drawingml/2006/picture">
                  <pic:pic>
                    <pic:nvPicPr>
                      <pic:cNvPr descr="assets/img/img.png" id="26" name="Picture"/>
                      <pic:cNvPicPr>
                        <a:picLocks noChangeArrowheads="1" noChangeAspect="1"/>
                      </pic:cNvPicPr>
                    </pic:nvPicPr>
                    <pic:blipFill>
                      <a:blip r:embed="rId24"/>
                      <a:stretch>
                        <a:fillRect/>
                      </a:stretch>
                    </pic:blipFill>
                    <pic:spPr bwMode="auto">
                      <a:xfrm>
                        <a:off x="0" y="0"/>
                        <a:ext cx="304800" cy="304800"/>
                      </a:xfrm>
                      <a:prstGeom prst="rect">
                        <a:avLst/>
                      </a:prstGeom>
                      <a:noFill/>
                      <a:ln w="9525">
                        <a:noFill/>
                        <a:headEnd/>
                        <a:tailEnd/>
                      </a:ln>
                    </pic:spPr>
                  </pic:pic>
                </a:graphicData>
              </a:graphic>
            </wp:inline>
          </w:drawing>
        </w:r>
      </w:hyperlink>
      <w:r>
        <w:t xml:space="preserve"> </w:t>
      </w:r>
      <w:hyperlink r:id="rId30">
        <w:r>
          <w:drawing>
            <wp:inline>
              <wp:extent cx="304800" cy="304800"/>
              <wp:effectExtent b="0" l="0" r="0" t="0"/>
              <wp:docPr descr="" title="" id="28" name="Picture"/>
              <a:graphic>
                <a:graphicData uri="http://schemas.openxmlformats.org/drawingml/2006/picture">
                  <pic:pic>
                    <pic:nvPicPr>
                      <pic:cNvPr descr="assets/img/img.png" id="29" name="Picture"/>
                      <pic:cNvPicPr>
                        <a:picLocks noChangeArrowheads="1" noChangeAspect="1"/>
                      </pic:cNvPicPr>
                    </pic:nvPicPr>
                    <pic:blipFill>
                      <a:blip r:embed="rId24"/>
                      <a:stretch>
                        <a:fillRect/>
                      </a:stretch>
                    </pic:blipFill>
                    <pic:spPr bwMode="auto">
                      <a:xfrm>
                        <a:off x="0" y="0"/>
                        <a:ext cx="304800" cy="304800"/>
                      </a:xfrm>
                      <a:prstGeom prst="rect">
                        <a:avLst/>
                      </a:prstGeom>
                      <a:noFill/>
                      <a:ln w="9525">
                        <a:noFill/>
                        <a:headEnd/>
                        <a:tailEnd/>
                      </a:ln>
                    </pic:spPr>
                  </pic:pic>
                </a:graphicData>
              </a:graphic>
            </wp:inline>
          </w:drawing>
        </w:r>
      </w:hyperlink>
      <w:r>
        <w:t xml:space="preserve"> </w:t>
      </w:r>
      <w:r>
        <w:t xml:space="preserve">(</w:t>
      </w:r>
      <w:hyperlink r:id="rId31">
        <w:r>
          <w:rPr>
            <w:rStyle w:val="Hyperlink"/>
          </w:rPr>
          <w:t xml:space="preserve">Seagrass Ecology Group, IEO-CSIC</w:t>
        </w:r>
      </w:hyperlink>
      <w:r>
        <w:t xml:space="preserve">)</w:t>
      </w:r>
    </w:p>
    <w:p>
      <w:pPr>
        <w:pStyle w:val="BodyText"/>
      </w:pPr>
      <w:r>
        <w:rPr>
          <w:b/>
          <w:bCs/>
        </w:rPr>
        <w:t xml:space="preserve">PhD directors</w:t>
      </w:r>
      <w:r>
        <w:br/>
      </w:r>
      <w:r>
        <w:t xml:space="preserve">Jaime Bernardeau Esteller</w:t>
      </w:r>
      <w:r>
        <w:t xml:space="preserve"> </w:t>
      </w:r>
      <w:hyperlink r:id="rId34">
        <w:r>
          <w:drawing>
            <wp:inline>
              <wp:extent cx="203200" cy="203200"/>
              <wp:effectExtent b="0" l="0" r="0" t="0"/>
              <wp:docPr descr="ORCID" title="" id="32" name="Picture"/>
              <a:graphic>
                <a:graphicData uri="http://schemas.openxmlformats.org/drawingml/2006/picture">
                  <pic:pic>
                    <pic:nvPicPr>
                      <pic:cNvPr descr="https://orcid.org/sites/default/files/images/orcid_16x16.png" id="33" name="Picture"/>
                      <pic:cNvPicPr>
                        <a:picLocks noChangeArrowheads="1" noChangeAspect="1"/>
                      </pic:cNvPicPr>
                    </pic:nvPicPr>
                    <pic:blipFill>
                      <a:blip r:embed="rId20"/>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w:t>
      </w:r>
      <w:hyperlink r:id="rId37">
        <w:r>
          <w:drawing>
            <wp:inline>
              <wp:extent cx="304800" cy="304800"/>
              <wp:effectExtent b="0" l="0" r="0" t="0"/>
              <wp:docPr descr="" title="" id="35" name="Picture"/>
              <a:graphic>
                <a:graphicData uri="http://schemas.openxmlformats.org/drawingml/2006/picture">
                  <pic:pic>
                    <pic:nvPicPr>
                      <pic:cNvPr descr="assets/img/img.png" id="36" name="Picture"/>
                      <pic:cNvPicPr>
                        <a:picLocks noChangeArrowheads="1" noChangeAspect="1"/>
                      </pic:cNvPicPr>
                    </pic:nvPicPr>
                    <pic:blipFill>
                      <a:blip r:embed="rId24"/>
                      <a:stretch>
                        <a:fillRect/>
                      </a:stretch>
                    </pic:blipFill>
                    <pic:spPr bwMode="auto">
                      <a:xfrm>
                        <a:off x="0" y="0"/>
                        <a:ext cx="304800" cy="304800"/>
                      </a:xfrm>
                      <a:prstGeom prst="rect">
                        <a:avLst/>
                      </a:prstGeom>
                      <a:noFill/>
                      <a:ln w="9525">
                        <a:noFill/>
                        <a:headEnd/>
                        <a:tailEnd/>
                      </a:ln>
                    </pic:spPr>
                  </pic:pic>
                </a:graphicData>
              </a:graphic>
            </wp:inline>
          </w:drawing>
        </w:r>
      </w:hyperlink>
      <w:r>
        <w:t xml:space="preserve"> </w:t>
      </w:r>
      <w:r>
        <w:t xml:space="preserve">(</w:t>
      </w:r>
      <w:hyperlink r:id="rId31">
        <w:r>
          <w:rPr>
            <w:rStyle w:val="Hyperlink"/>
          </w:rPr>
          <w:t xml:space="preserve">Seagrass Ecology Group, IEO-CSIC</w:t>
        </w:r>
      </w:hyperlink>
      <w:r>
        <w:t xml:space="preserve">)</w:t>
      </w:r>
      <w:r>
        <w:br/>
      </w:r>
      <w:r>
        <w:t xml:space="preserve">Jordi Boada</w:t>
      </w:r>
      <w:r>
        <w:t xml:space="preserve"> </w:t>
      </w:r>
      <w:hyperlink r:id="rId40">
        <w:r>
          <w:drawing>
            <wp:inline>
              <wp:extent cx="203200" cy="203200"/>
              <wp:effectExtent b="0" l="0" r="0" t="0"/>
              <wp:docPr descr="ORCID" title="" id="38" name="Picture"/>
              <a:graphic>
                <a:graphicData uri="http://schemas.openxmlformats.org/drawingml/2006/picture">
                  <pic:pic>
                    <pic:nvPicPr>
                      <pic:cNvPr descr="https://orcid.org/sites/default/files/images/orcid_16x16.png" id="39" name="Picture"/>
                      <pic:cNvPicPr>
                        <a:picLocks noChangeArrowheads="1" noChangeAspect="1"/>
                      </pic:cNvPicPr>
                    </pic:nvPicPr>
                    <pic:blipFill>
                      <a:blip r:embed="rId20"/>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w:t>
      </w:r>
      <w:hyperlink r:id="rId43">
        <w:r>
          <w:drawing>
            <wp:inline>
              <wp:extent cx="304800" cy="304800"/>
              <wp:effectExtent b="0" l="0" r="0" t="0"/>
              <wp:docPr descr="" title="" id="41" name="Picture"/>
              <a:graphic>
                <a:graphicData uri="http://schemas.openxmlformats.org/drawingml/2006/picture">
                  <pic:pic>
                    <pic:nvPicPr>
                      <pic:cNvPr descr="assets/img/img.png" id="42" name="Picture"/>
                      <pic:cNvPicPr>
                        <a:picLocks noChangeArrowheads="1" noChangeAspect="1"/>
                      </pic:cNvPicPr>
                    </pic:nvPicPr>
                    <pic:blipFill>
                      <a:blip r:embed="rId24"/>
                      <a:stretch>
                        <a:fillRect/>
                      </a:stretch>
                    </pic:blipFill>
                    <pic:spPr bwMode="auto">
                      <a:xfrm>
                        <a:off x="0" y="0"/>
                        <a:ext cx="304800" cy="304800"/>
                      </a:xfrm>
                      <a:prstGeom prst="rect">
                        <a:avLst/>
                      </a:prstGeom>
                      <a:noFill/>
                      <a:ln w="9525">
                        <a:noFill/>
                        <a:headEnd/>
                        <a:tailEnd/>
                      </a:ln>
                    </pic:spPr>
                  </pic:pic>
                </a:graphicData>
              </a:graphic>
            </wp:inline>
          </w:drawing>
        </w:r>
      </w:hyperlink>
      <w:r>
        <w:t xml:space="preserve"> </w:t>
      </w:r>
      <w:r>
        <w:t xml:space="preserve">(</w:t>
      </w:r>
      <w:hyperlink r:id="rId44">
        <w:r>
          <w:rPr>
            <w:rStyle w:val="Hyperlink"/>
          </w:rPr>
          <w:t xml:space="preserve">CEAB-CSIC</w:t>
        </w:r>
      </w:hyperlink>
      <w:r>
        <w:t xml:space="preserve">)</w:t>
      </w:r>
      <w:r>
        <w:br/>
      </w:r>
      <w:r>
        <w:t xml:space="preserve">Pablo González-González</w:t>
      </w:r>
      <w:r>
        <w:t xml:space="preserve"> </w:t>
      </w:r>
      <w:hyperlink r:id="rId47">
        <w:r>
          <w:drawing>
            <wp:inline>
              <wp:extent cx="203200" cy="203200"/>
              <wp:effectExtent b="0" l="0" r="0" t="0"/>
              <wp:docPr descr="ORCID" title="" id="45" name="Picture"/>
              <a:graphic>
                <a:graphicData uri="http://schemas.openxmlformats.org/drawingml/2006/picture">
                  <pic:pic>
                    <pic:nvPicPr>
                      <pic:cNvPr descr="https://orcid.org/sites/default/files/images/orcid_16x16.png" id="46" name="Picture"/>
                      <pic:cNvPicPr>
                        <a:picLocks noChangeArrowheads="1" noChangeAspect="1"/>
                      </pic:cNvPicPr>
                    </pic:nvPicPr>
                    <pic:blipFill>
                      <a:blip r:embed="rId20"/>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w:t>
      </w:r>
      <w:hyperlink r:id="rId50">
        <w:r>
          <w:drawing>
            <wp:inline>
              <wp:extent cx="304800" cy="304800"/>
              <wp:effectExtent b="0" l="0" r="0" t="0"/>
              <wp:docPr descr="" title="" id="48" name="Picture"/>
              <a:graphic>
                <a:graphicData uri="http://schemas.openxmlformats.org/drawingml/2006/picture">
                  <pic:pic>
                    <pic:nvPicPr>
                      <pic:cNvPr descr="assets/img/img.png" id="49" name="Picture"/>
                      <pic:cNvPicPr>
                        <a:picLocks noChangeArrowheads="1" noChangeAspect="1"/>
                      </pic:cNvPicPr>
                    </pic:nvPicPr>
                    <pic:blipFill>
                      <a:blip r:embed="rId24"/>
                      <a:stretch>
                        <a:fillRect/>
                      </a:stretch>
                    </pic:blipFill>
                    <pic:spPr bwMode="auto">
                      <a:xfrm>
                        <a:off x="0" y="0"/>
                        <a:ext cx="304800" cy="304800"/>
                      </a:xfrm>
                      <a:prstGeom prst="rect">
                        <a:avLst/>
                      </a:prstGeom>
                      <a:noFill/>
                      <a:ln w="9525">
                        <a:noFill/>
                        <a:headEnd/>
                        <a:tailEnd/>
                      </a:ln>
                    </pic:spPr>
                  </pic:pic>
                </a:graphicData>
              </a:graphic>
            </wp:inline>
          </w:drawing>
        </w:r>
      </w:hyperlink>
      <w:r>
        <w:t xml:space="preserve"> </w:t>
      </w:r>
      <w:r>
        <w:t xml:space="preserve">(</w:t>
      </w:r>
      <w:hyperlink r:id="rId51">
        <w:r>
          <w:rPr>
            <w:rStyle w:val="Hyperlink"/>
          </w:rPr>
          <w:t xml:space="preserve">Artificial Intelligence Center, Oviedo University</w:t>
        </w:r>
      </w:hyperlink>
      <w:r>
        <w:t xml:space="preserve">)</w:t>
      </w:r>
    </w:p>
    <w:p>
      <w:pPr>
        <w:pStyle w:val="BodyText"/>
      </w:pPr>
      <w:r>
        <w:rPr>
          <w:b/>
          <w:bCs/>
        </w:rPr>
        <w:t xml:space="preserve">Academic tutor</w:t>
      </w:r>
      <w:r>
        <w:br/>
      </w:r>
      <w:r>
        <w:t xml:space="preserve">Jana Verdura</w:t>
      </w:r>
      <w:r>
        <w:t xml:space="preserve"> </w:t>
      </w:r>
      <w:hyperlink r:id="rId54">
        <w:r>
          <w:drawing>
            <wp:inline>
              <wp:extent cx="203200" cy="203200"/>
              <wp:effectExtent b="0" l="0" r="0" t="0"/>
              <wp:docPr descr="ORCID" title="" id="52" name="Picture"/>
              <a:graphic>
                <a:graphicData uri="http://schemas.openxmlformats.org/drawingml/2006/picture">
                  <pic:pic>
                    <pic:nvPicPr>
                      <pic:cNvPr descr="https://orcid.org/sites/default/files/images/orcid_16x16.png" id="53" name="Picture"/>
                      <pic:cNvPicPr>
                        <a:picLocks noChangeArrowheads="1" noChangeAspect="1"/>
                      </pic:cNvPicPr>
                    </pic:nvPicPr>
                    <pic:blipFill>
                      <a:blip r:embed="rId20"/>
                      <a:stretch>
                        <a:fillRect/>
                      </a:stretch>
                    </pic:blipFill>
                    <pic:spPr bwMode="auto">
                      <a:xfrm>
                        <a:off x="0" y="0"/>
                        <a:ext cx="203200" cy="203200"/>
                      </a:xfrm>
                      <a:prstGeom prst="rect">
                        <a:avLst/>
                      </a:prstGeom>
                      <a:noFill/>
                      <a:ln w="9525">
                        <a:noFill/>
                        <a:headEnd/>
                        <a:tailEnd/>
                      </a:ln>
                    </pic:spPr>
                  </pic:pic>
                </a:graphicData>
              </a:graphic>
            </wp:inline>
          </w:drawing>
        </w:r>
      </w:hyperlink>
      <w:r>
        <w:t xml:space="preserve"> </w:t>
      </w:r>
      <w:hyperlink r:id="rId57">
        <w:r>
          <w:drawing>
            <wp:inline>
              <wp:extent cx="304800" cy="304800"/>
              <wp:effectExtent b="0" l="0" r="0" t="0"/>
              <wp:docPr descr="" title="" id="55" name="Picture"/>
              <a:graphic>
                <a:graphicData uri="http://schemas.openxmlformats.org/drawingml/2006/picture">
                  <pic:pic>
                    <pic:nvPicPr>
                      <pic:cNvPr descr="assets/img/img.png" id="56" name="Picture"/>
                      <pic:cNvPicPr>
                        <a:picLocks noChangeArrowheads="1" noChangeAspect="1"/>
                      </pic:cNvPicPr>
                    </pic:nvPicPr>
                    <pic:blipFill>
                      <a:blip r:embed="rId24"/>
                      <a:stretch>
                        <a:fillRect/>
                      </a:stretch>
                    </pic:blipFill>
                    <pic:spPr bwMode="auto">
                      <a:xfrm>
                        <a:off x="0" y="0"/>
                        <a:ext cx="304800" cy="304800"/>
                      </a:xfrm>
                      <a:prstGeom prst="rect">
                        <a:avLst/>
                      </a:prstGeom>
                      <a:noFill/>
                      <a:ln w="9525">
                        <a:noFill/>
                        <a:headEnd/>
                        <a:tailEnd/>
                      </a:ln>
                    </pic:spPr>
                  </pic:pic>
                </a:graphicData>
              </a:graphic>
            </wp:inline>
          </w:drawing>
        </w:r>
      </w:hyperlink>
      <w:r>
        <w:t xml:space="preserve"> </w:t>
      </w:r>
      <w:r>
        <w:t xml:space="preserve">(</w:t>
      </w:r>
      <w:hyperlink r:id="rId58">
        <w:r>
          <w:rPr>
            <w:rStyle w:val="Hyperlink"/>
          </w:rPr>
          <w:t xml:space="preserve">GR MAR, Girona University</w:t>
        </w:r>
      </w:hyperlink>
      <w:r>
        <w:t xml:space="preserve">)</w:t>
      </w:r>
    </w:p>
    <w:p>
      <w:pPr>
        <w:pStyle w:val="BodyText"/>
      </w:pPr>
      <w:r>
        <w:t xml:space="preserve"> </w:t>
      </w:r>
      <w:r>
        <w:t xml:space="preserve"> </w:t>
      </w:r>
      <w:r>
        <w:t xml:space="preserve"> </w:t>
      </w:r>
      <w:r>
        <w:t xml:space="preserve"> </w:t>
      </w:r>
      <w:r>
        <w:t xml:space="preserve"> </w:t>
      </w:r>
    </w:p>
    <w:p>
      <w:pPr>
        <w:pStyle w:val="BodyText"/>
      </w:pPr>
      <w:r>
        <w:drawing>
          <wp:inline>
            <wp:extent cx="762000" cy="750454"/>
            <wp:effectExtent b="0" l="0" r="0" t="0"/>
            <wp:docPr descr="" title="" id="60" name="Picture"/>
            <a:graphic>
              <a:graphicData uri="http://schemas.openxmlformats.org/drawingml/2006/picture">
                <pic:pic>
                  <pic:nvPicPr>
                    <pic:cNvPr descr="assets/img/logo_GEAM.png" id="61" name="Picture"/>
                    <pic:cNvPicPr>
                      <a:picLocks noChangeArrowheads="1" noChangeAspect="1"/>
                    </pic:cNvPicPr>
                  </pic:nvPicPr>
                  <pic:blipFill>
                    <a:blip r:embed="rId59"/>
                    <a:stretch>
                      <a:fillRect/>
                    </a:stretch>
                  </pic:blipFill>
                  <pic:spPr bwMode="auto">
                    <a:xfrm>
                      <a:off x="0" y="0"/>
                      <a:ext cx="762000" cy="750454"/>
                    </a:xfrm>
                    <a:prstGeom prst="rect">
                      <a:avLst/>
                    </a:prstGeom>
                    <a:noFill/>
                    <a:ln w="9525">
                      <a:noFill/>
                      <a:headEnd/>
                      <a:tailEnd/>
                    </a:ln>
                  </pic:spPr>
                </pic:pic>
              </a:graphicData>
            </a:graphic>
          </wp:inline>
        </w:drawing>
      </w:r>
      <w:r>
        <w:t xml:space="preserve">     </w:t>
      </w:r>
      <w:r>
        <w:t xml:space="preserve"> </w:t>
      </w:r>
      <w:r>
        <w:drawing>
          <wp:inline>
            <wp:extent cx="762000" cy="762000"/>
            <wp:effectExtent b="0" l="0" r="0" t="0"/>
            <wp:docPr descr="" title="" id="63" name="Picture"/>
            <a:graphic>
              <a:graphicData uri="http://schemas.openxmlformats.org/drawingml/2006/picture">
                <pic:pic>
                  <pic:nvPicPr>
                    <pic:cNvPr descr="assets/img/logo_IEO.png" id="64" name="Picture"/>
                    <pic:cNvPicPr>
                      <a:picLocks noChangeArrowheads="1" noChangeAspect="1"/>
                    </pic:cNvPicPr>
                  </pic:nvPicPr>
                  <pic:blipFill>
                    <a:blip r:embed="rId62"/>
                    <a:stretch>
                      <a:fillRect/>
                    </a:stretch>
                  </pic:blipFill>
                  <pic:spPr bwMode="auto">
                    <a:xfrm>
                      <a:off x="0" y="0"/>
                      <a:ext cx="762000" cy="762000"/>
                    </a:xfrm>
                    <a:prstGeom prst="rect">
                      <a:avLst/>
                    </a:prstGeom>
                    <a:noFill/>
                    <a:ln w="9525">
                      <a:noFill/>
                      <a:headEnd/>
                      <a:tailEnd/>
                    </a:ln>
                  </pic:spPr>
                </pic:pic>
              </a:graphicData>
            </a:graphic>
          </wp:inline>
        </w:drawing>
      </w:r>
      <w:r>
        <w:t xml:space="preserve">     </w:t>
      </w:r>
      <w:r>
        <w:t xml:space="preserve"> </w:t>
      </w:r>
      <w:r>
        <w:drawing>
          <wp:inline>
            <wp:extent cx="1047750" cy="290221"/>
            <wp:effectExtent b="0" l="0" r="0" t="0"/>
            <wp:docPr descr="" title="" id="66" name="Picture"/>
            <a:graphic>
              <a:graphicData uri="http://schemas.openxmlformats.org/drawingml/2006/picture">
                <pic:pic>
                  <pic:nvPicPr>
                    <pic:cNvPr descr="assets/img/logo_CEAB.png" id="67" name="Picture"/>
                    <pic:cNvPicPr>
                      <a:picLocks noChangeArrowheads="1" noChangeAspect="1"/>
                    </pic:cNvPicPr>
                  </pic:nvPicPr>
                  <pic:blipFill>
                    <a:blip r:embed="rId65"/>
                    <a:stretch>
                      <a:fillRect/>
                    </a:stretch>
                  </pic:blipFill>
                  <pic:spPr bwMode="auto">
                    <a:xfrm>
                      <a:off x="0" y="0"/>
                      <a:ext cx="1047750" cy="290221"/>
                    </a:xfrm>
                    <a:prstGeom prst="rect">
                      <a:avLst/>
                    </a:prstGeom>
                    <a:noFill/>
                    <a:ln w="9525">
                      <a:noFill/>
                      <a:headEnd/>
                      <a:tailEnd/>
                    </a:ln>
                  </pic:spPr>
                </pic:pic>
              </a:graphicData>
            </a:graphic>
          </wp:inline>
        </w:drawing>
      </w:r>
      <w:r>
        <w:t xml:space="preserve">     </w:t>
      </w:r>
      <w:r>
        <w:t xml:space="preserve"> </w:t>
      </w:r>
      <w:r>
        <w:drawing>
          <wp:inline>
            <wp:extent cx="952500" cy="233362"/>
            <wp:effectExtent b="0" l="0" r="0" t="0"/>
            <wp:docPr descr="" title="" id="69" name="Picture"/>
            <a:graphic>
              <a:graphicData uri="http://schemas.openxmlformats.org/drawingml/2006/picture">
                <pic:pic>
                  <pic:nvPicPr>
                    <pic:cNvPr descr="assets/img/logo_CSIC.png" id="70" name="Picture"/>
                    <pic:cNvPicPr>
                      <a:picLocks noChangeArrowheads="1" noChangeAspect="1"/>
                    </pic:cNvPicPr>
                  </pic:nvPicPr>
                  <pic:blipFill>
                    <a:blip r:embed="rId68"/>
                    <a:stretch>
                      <a:fillRect/>
                    </a:stretch>
                  </pic:blipFill>
                  <pic:spPr bwMode="auto">
                    <a:xfrm>
                      <a:off x="0" y="0"/>
                      <a:ext cx="952500" cy="233362"/>
                    </a:xfrm>
                    <a:prstGeom prst="rect">
                      <a:avLst/>
                    </a:prstGeom>
                    <a:noFill/>
                    <a:ln w="9525">
                      <a:noFill/>
                      <a:headEnd/>
                      <a:tailEnd/>
                    </a:ln>
                  </pic:spPr>
                </pic:pic>
              </a:graphicData>
            </a:graphic>
          </wp:inline>
        </w:drawing>
      </w:r>
      <w:r>
        <w:t xml:space="preserve">     </w:t>
      </w:r>
      <w:r>
        <w:t xml:space="preserve"> </w:t>
      </w:r>
      <w:r>
        <w:drawing>
          <wp:inline>
            <wp:extent cx="952500" cy="702258"/>
            <wp:effectExtent b="0" l="0" r="0" t="0"/>
            <wp:docPr descr="" title="" id="72" name="Picture"/>
            <a:graphic>
              <a:graphicData uri="http://schemas.openxmlformats.org/drawingml/2006/picture">
                <pic:pic>
                  <pic:nvPicPr>
                    <pic:cNvPr descr="assets/img/logo_uniovi.png" id="73" name="Picture"/>
                    <pic:cNvPicPr>
                      <a:picLocks noChangeArrowheads="1" noChangeAspect="1"/>
                    </pic:cNvPicPr>
                  </pic:nvPicPr>
                  <pic:blipFill>
                    <a:blip r:embed="rId71"/>
                    <a:stretch>
                      <a:fillRect/>
                    </a:stretch>
                  </pic:blipFill>
                  <pic:spPr bwMode="auto">
                    <a:xfrm>
                      <a:off x="0" y="0"/>
                      <a:ext cx="952500" cy="702258"/>
                    </a:xfrm>
                    <a:prstGeom prst="rect">
                      <a:avLst/>
                    </a:prstGeom>
                    <a:noFill/>
                    <a:ln w="9525">
                      <a:noFill/>
                      <a:headEnd/>
                      <a:tailEnd/>
                    </a:ln>
                  </pic:spPr>
                </pic:pic>
              </a:graphicData>
            </a:graphic>
          </wp:inline>
        </w:drawing>
      </w:r>
      <w:r>
        <w:t xml:space="preserve">     </w:t>
      </w:r>
      <w:r>
        <w:t xml:space="preserve"> </w:t>
      </w:r>
      <w:r>
        <w:drawing>
          <wp:inline>
            <wp:extent cx="952500" cy="651222"/>
            <wp:effectExtent b="0" l="0" r="0" t="0"/>
            <wp:docPr descr="" title="" id="75" name="Picture"/>
            <a:graphic>
              <a:graphicData uri="http://schemas.openxmlformats.org/drawingml/2006/picture">
                <pic:pic>
                  <pic:nvPicPr>
                    <pic:cNvPr descr="assets/img/logo_UdG.png" id="76" name="Picture"/>
                    <pic:cNvPicPr>
                      <a:picLocks noChangeArrowheads="1" noChangeAspect="1"/>
                    </pic:cNvPicPr>
                  </pic:nvPicPr>
                  <pic:blipFill>
                    <a:blip r:embed="rId74"/>
                    <a:stretch>
                      <a:fillRect/>
                    </a:stretch>
                  </pic:blipFill>
                  <pic:spPr bwMode="auto">
                    <a:xfrm>
                      <a:off x="0" y="0"/>
                      <a:ext cx="952500" cy="651222"/>
                    </a:xfrm>
                    <a:prstGeom prst="rect">
                      <a:avLst/>
                    </a:prstGeom>
                    <a:noFill/>
                    <a:ln w="9525">
                      <a:noFill/>
                      <a:headEnd/>
                      <a:tailEnd/>
                    </a:ln>
                  </pic:spPr>
                </pic:pic>
              </a:graphicData>
            </a:graphic>
          </wp:inline>
        </w:drawing>
      </w:r>
    </w:p>
    <w:p>
      <w:pPr>
        <w:pStyle w:val="BodyText"/>
      </w:pPr>
      <w:r>
        <w:t xml:space="preserve"> </w:t>
      </w:r>
      <w:r>
        <w:t xml:space="preserve"> </w:t>
      </w:r>
      <w:r>
        <w:t xml:space="preserve"> </w:t>
      </w:r>
    </w:p>
    <w:p>
      <w:pPr>
        <w:pStyle w:val="BodyText"/>
      </w:pPr>
      <w:r>
        <w:t xml:space="preserve">For improved readability please refer to the</w:t>
      </w:r>
      <w:r>
        <w:t xml:space="preserve"> </w:t>
      </w:r>
      <w:hyperlink r:id="rId77">
        <w:r>
          <w:rPr>
            <w:rStyle w:val="Hyperlink"/>
          </w:rPr>
          <w:t xml:space="preserve">online version of this document</w:t>
        </w:r>
      </w:hyperlink>
      <w:r>
        <w:t xml:space="preserve">.</w:t>
      </w:r>
    </w:p>
    <w:bookmarkStart w:id="83" w:name="abstract"/>
    <w:p>
      <w:pPr>
        <w:pStyle w:val="Heading3"/>
      </w:pPr>
      <w:r>
        <w:t xml:space="preserve">Abstract</w:t>
      </w:r>
    </w:p>
    <w:p>
      <w:pPr>
        <w:pStyle w:val="FirstParagraph"/>
      </w:pPr>
      <w:r>
        <w:t xml:space="preserve">Ocean environmental conditions are changing at unprecedented rates, leading to profound transformations of marine ecosystems. These changes are especially important along the coast where intensifying human activity tends to concentrate. As a result, marine vegetated ecosystems are severely degrading and substantial areas of both seagrass meadows and macroalgal forests have already been lost. As key foundation species, their decline undermines marine biodiversity, ecosystem functioning, and the services they provide to society.</w:t>
      </w:r>
    </w:p>
    <w:p>
      <w:pPr>
        <w:pStyle w:val="BodyText"/>
      </w:pPr>
      <w:r>
        <w:t xml:space="preserve">The challenge of reconciling development and conservation must be urgently addressed at the global scale. In this context, the European Union (EU) has implemented an ambitious</w:t>
      </w:r>
      <w:r>
        <w:t xml:space="preserve"> </w:t>
      </w:r>
      <w:hyperlink r:id="rId78">
        <w:r>
          <w:rPr>
            <w:rStyle w:val="Hyperlink"/>
          </w:rPr>
          <w:t xml:space="preserve">Integrated Maritime Policy</w:t>
        </w:r>
      </w:hyperlink>
      <w:r>
        <w:t xml:space="preserve">, based on two main pillars: (i) the Marine Strategy Framework Directive (MSFD, 2008/56/EC), aimed at managing anthropogenic activities and achieving Good Environmental Status, and (ii) the Maritime Spatial Planning Framework Directive (MSPFD, 2014/89/EU). Within this ecosystem-based approach, the EU has also adopted the</w:t>
      </w:r>
      <w:r>
        <w:t xml:space="preserve"> </w:t>
      </w:r>
      <w:hyperlink r:id="rId79">
        <w:r>
          <w:rPr>
            <w:rStyle w:val="Hyperlink"/>
          </w:rPr>
          <w:t xml:space="preserve">European Biodiversity Strategy</w:t>
        </w:r>
      </w:hyperlink>
      <w:r>
        <w:t xml:space="preserve">, aligned with the objectives of the Convention on Biological Diversity, which aims to improve biodiversity and ecosystem services, maintaining ecological integrity and connectivity, and strengthening genetic diversity. In addition, other European directives and international agreements—such as the Habitats Directive (92/43/EEC), the Barcelona Convention, and OSPAR—aim to protect coastal marine ecosystems through habitat conservation, biodiversity protection, and the reduction of anthropogenic pressures.</w:t>
      </w:r>
    </w:p>
    <w:p>
      <w:pPr>
        <w:pStyle w:val="BodyText"/>
      </w:pPr>
      <w:r>
        <w:t xml:space="preserve">Achieving these conservation goals requires robust, scientifically grounded methodologies for assessing the status of coastal ecosystems to guide evidence-based decision making. A key component of these assessments is the ability to monitor habitat distribution periodically across multiple spatial scales, evaluating aspects such as range, extent, and the degree of fragmentation or connectivity. In this context, there is a clear trade-off between scale and accuracy. Traditional in situ distribution monitoring techniques provide high precision but are limited to small spatial scales. In contrast, the recent growth of remote sensing (RS) and geospatial data analysis offers considerable potential to address habitat distribution at broader scales.</w:t>
      </w:r>
    </w:p>
    <w:p>
      <w:pPr>
        <w:pStyle w:val="BodyText"/>
      </w:pPr>
      <w:r>
        <w:t xml:space="preserve">The fundamental challenge lies in ensuring that cartographic products derived from remote sensors support solid scientific inference</w:t>
      </w:r>
      <w:r>
        <w:t xml:space="preserve"> </w:t>
      </w:r>
      <w:r>
        <w:t xml:space="preserve">(Olofsson et al. 2014; McRoberts 2011; Foody 2002; Congalton 1991)</w:t>
      </w:r>
      <w:r>
        <w:t xml:space="preserve"> </w:t>
      </w:r>
      <w:r>
        <w:t xml:space="preserve">and align with the transdisciplinary knowledge required for effective environmental decision-making</w:t>
      </w:r>
      <w:r>
        <w:t xml:space="preserve"> </w:t>
      </w:r>
      <w:r>
        <w:t xml:space="preserve">(Kilminster et al. 2015)</w:t>
      </w:r>
      <w:r>
        <w:t xml:space="preserve">. Achieving this requires a balance between in situ and remotely sensed data, and between technical and ecological knowledge. These considerations are essential for remote sensing to contribute effectively to conservation status assessment and coastal management.</w:t>
      </w:r>
    </w:p>
    <w:p>
      <w:pPr>
        <w:pStyle w:val="BodyText"/>
      </w:pPr>
      <w:r>
        <w:t xml:space="preserve">The main objective of this research project is to</w:t>
      </w:r>
      <w:r>
        <w:t xml:space="preserve"> </w:t>
      </w:r>
      <w:r>
        <w:rPr>
          <w:b/>
          <w:bCs/>
        </w:rPr>
        <w:t xml:space="preserve">develop and test novel RS and geospatial methodologies for mapping and monitoring marine vegetated ecosystems in the intertidal and subtidal coastal zones by leveraging strong ecological expertise and long term in situ datasets</w:t>
      </w:r>
      <w:r>
        <w:t xml:space="preserve">. To achieve this, the potential of different RS platforms will be explored across</w:t>
      </w:r>
      <w:r>
        <w:t xml:space="preserve"> </w:t>
      </w:r>
      <w:r>
        <w:rPr>
          <w:b/>
          <w:bCs/>
        </w:rPr>
        <w:t xml:space="preserve">two spatial scales</w:t>
      </w:r>
      <w:r>
        <w:t xml:space="preserve">. At the</w:t>
      </w:r>
      <w:r>
        <w:t xml:space="preserve"> </w:t>
      </w:r>
      <w:r>
        <w:rPr>
          <w:b/>
          <w:bCs/>
        </w:rPr>
        <w:t xml:space="preserve">fine scale</w:t>
      </w:r>
      <w:r>
        <w:t xml:space="preserve">, underwater and aerial drones will be used to produce high-resolution maps, enabling the study of habitat spatial configuration, fragmentation and ecological status. At the</w:t>
      </w:r>
      <w:r>
        <w:t xml:space="preserve"> </w:t>
      </w:r>
      <w:r>
        <w:rPr>
          <w:b/>
          <w:bCs/>
        </w:rPr>
        <w:t xml:space="preserve">broad scale</w:t>
      </w:r>
      <w:r>
        <w:t xml:space="preserve">, satellite imagery will be employed to generate maps of habitat distribution and to investigate temporal dynamics in habitat extent.</w:t>
      </w:r>
    </w:p>
    <w:p>
      <w:pPr>
        <w:pStyle w:val="CaptionedFigure"/>
      </w:pPr>
      <w:r>
        <w:drawing>
          <wp:inline>
            <wp:extent cx="3733800" cy="2489200"/>
            <wp:effectExtent b="0" l="0" r="0" t="0"/>
            <wp:docPr descr="Interaction between the different observation scales." title="" id="81" name="Picture"/>
            <a:graphic>
              <a:graphicData uri="http://schemas.openxmlformats.org/drawingml/2006/picture">
                <pic:pic>
                  <pic:nvPicPr>
                    <pic:cNvPr descr="assets/img/scales.JPG" id="82" name="Picture"/>
                    <pic:cNvPicPr>
                      <a:picLocks noChangeArrowheads="1" noChangeAspect="1"/>
                    </pic:cNvPicPr>
                  </pic:nvPicPr>
                  <pic:blipFill>
                    <a:blip r:embed="rId80"/>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Interaction between the different observation scales.</w:t>
      </w:r>
    </w:p>
    <w:bookmarkEnd w:id="83"/>
    <w:bookmarkStart w:id="92" w:name="background"/>
    <w:p>
      <w:pPr>
        <w:pStyle w:val="Heading3"/>
      </w:pPr>
      <w:r>
        <w:t xml:space="preserve">Background</w:t>
      </w:r>
    </w:p>
    <w:p>
      <w:pPr>
        <w:pStyle w:val="FirstParagraph"/>
      </w:pPr>
      <w:r>
        <w:t xml:space="preserve">RS relies on the propagation of signals, optical or acoustic, between the target and the sensor enabling large-scale and long-term data collection. Instruments on satellites, aircrafts and submarines provide high-resolution imagery and measurements critical for monitoring environmental changes. These technologies have evolved from early aerial photography and low-resolution satellite sensors to the modern high-resolution, multispectral, and hyperspectral platforms allowing systematic data collection over extended areas and time periods and providing the foundation for Earth Observation.</w:t>
      </w:r>
    </w:p>
    <w:p>
      <w:pPr>
        <w:pStyle w:val="BodyText"/>
      </w:pPr>
      <w:r>
        <w:t xml:space="preserve">Optical RS for coastal habitat mapping and monitoring is a fast evolving field with many advancements in the recent years, both in the</w:t>
      </w:r>
      <w:r>
        <w:t xml:space="preserve"> </w:t>
      </w:r>
      <w:r>
        <w:rPr>
          <w:b/>
          <w:bCs/>
        </w:rPr>
        <w:t xml:space="preserve">intertidal</w:t>
      </w:r>
      <w:r>
        <w:t xml:space="preserve"> </w:t>
      </w:r>
      <w:r>
        <w:t xml:space="preserve">(Calleja et al. 2017; Zoffoli et al. 2020, 2021, 2022; Davies et al. 2023, 2024a, 2024b, 2026; Oiry et al. 2024)</w:t>
      </w:r>
      <w:r>
        <w:t xml:space="preserve"> </w:t>
      </w:r>
      <w:r>
        <w:t xml:space="preserve">and</w:t>
      </w:r>
      <w:r>
        <w:t xml:space="preserve"> </w:t>
      </w:r>
      <w:r>
        <w:rPr>
          <w:b/>
          <w:bCs/>
        </w:rPr>
        <w:t xml:space="preserve">subtidal</w:t>
      </w:r>
      <w:r>
        <w:t xml:space="preserve"> </w:t>
      </w:r>
      <w:r>
        <w:t xml:space="preserve">zones</w:t>
      </w:r>
      <w:r>
        <w:t xml:space="preserve"> </w:t>
      </w:r>
      <w:r>
        <w:t xml:space="preserve">(Fornes et al. 2006; Brando et al. 2009; Traganos and Reinartz 2018; Poursanidis et al. 2019; Traganos et al. 2022)</w:t>
      </w:r>
      <w:r>
        <w:t xml:space="preserve">. Within this context, I developed my Master’s thesis</w:t>
      </w:r>
      <w:r>
        <w:t xml:space="preserve"> </w:t>
      </w:r>
      <w:hyperlink r:id="rId84">
        <w:r>
          <w:rPr>
            <w:rStyle w:val="Hyperlink"/>
          </w:rPr>
          <w:t xml:space="preserve">Remote Sensing Applications in marine protected areas:</w:t>
        </w:r>
        <w:r>
          <w:rPr>
            <w:rStyle w:val="Hyperlink"/>
          </w:rPr>
          <w:t xml:space="preserve"> </w:t>
        </w:r>
        <w:r>
          <w:rPr>
            <w:rStyle w:val="Hyperlink"/>
          </w:rPr>
          <w:t xml:space="preserve">using Sentinel-2 for satellite bathymetry estimation and benthic habitat mapping</w:t>
        </w:r>
      </w:hyperlink>
      <w:r>
        <w:t xml:space="preserve">, which, in 2021, constitued a pioneering application of Sentinel-2 imagery in the Balearic Archipelago.</w:t>
      </w:r>
    </w:p>
    <w:p>
      <w:pPr>
        <w:pStyle w:val="CaptionedFigure"/>
      </w:pPr>
      <w:r>
        <w:drawing>
          <wp:inline>
            <wp:extent cx="4800600" cy="3450431"/>
            <wp:effectExtent b="0" l="0" r="0" t="0"/>
            <wp:docPr descr="Subtidal habitat mapping in Es Freus Marine Protected Area using Sentinel-2. Master’s thesis, 2021." title="" id="86" name="Picture"/>
            <a:graphic>
              <a:graphicData uri="http://schemas.openxmlformats.org/drawingml/2006/picture">
                <pic:pic>
                  <pic:nvPicPr>
                    <pic:cNvPr descr="assets/img/img1.png" id="87" name="Picture"/>
                    <pic:cNvPicPr>
                      <a:picLocks noChangeArrowheads="1" noChangeAspect="1"/>
                    </pic:cNvPicPr>
                  </pic:nvPicPr>
                  <pic:blipFill>
                    <a:blip r:embed="rId85"/>
                    <a:stretch>
                      <a:fillRect/>
                    </a:stretch>
                  </pic:blipFill>
                  <pic:spPr bwMode="auto">
                    <a:xfrm>
                      <a:off x="0" y="0"/>
                      <a:ext cx="4800600" cy="3450431"/>
                    </a:xfrm>
                    <a:prstGeom prst="rect">
                      <a:avLst/>
                    </a:prstGeom>
                    <a:noFill/>
                    <a:ln w="9525">
                      <a:noFill/>
                      <a:headEnd/>
                      <a:tailEnd/>
                    </a:ln>
                  </pic:spPr>
                </pic:pic>
              </a:graphicData>
            </a:graphic>
          </wp:inline>
        </w:drawing>
      </w:r>
    </w:p>
    <w:p>
      <w:pPr>
        <w:pStyle w:val="ImageCaption"/>
      </w:pPr>
      <w:r>
        <w:t xml:space="preserve">Subtidal habitat mapping in Es Freus Marine Protected Area using Sentinel-2. Master’s thesis, 2021.</w:t>
      </w:r>
    </w:p>
    <w:p>
      <w:pPr>
        <w:pStyle w:val="BodyText"/>
      </w:pPr>
      <w:r>
        <w:t xml:space="preserve">Using RS to map</w:t>
      </w:r>
      <w:r>
        <w:t xml:space="preserve"> </w:t>
      </w:r>
      <w:r>
        <w:rPr>
          <w:b/>
          <w:bCs/>
        </w:rPr>
        <w:t xml:space="preserve">subtidal or underwater vegetation</w:t>
      </w:r>
      <w:r>
        <w:t xml:space="preserve"> </w:t>
      </w:r>
      <w:r>
        <w:t xml:space="preserve">is inherently challenging because the water medium is highly absorbing. As a result, the electromagnetic signal that reaches the seabed and is reflected back to the sensor, the benthic reflectance, is largely restricted to the visible wavelengths (400-700 nm). This benthic reflectance varies spectrally with bottom composition and typically exhibits peaks and troughs related to pigments and other light absorbing, scattering and fluorescent features of the benthos. Together, these features form a spectral</w:t>
      </w:r>
      <w:r>
        <w:t xml:space="preserve"> </w:t>
      </w:r>
      <w:r>
        <w:t xml:space="preserve">“fingerprint”</w:t>
      </w:r>
      <w:r>
        <w:t xml:space="preserve"> </w:t>
      </w:r>
      <w:r>
        <w:t xml:space="preserve">characteristic of benthic constituent type, mixtures of constituents, pigment concentration, leaf area index, sediment grain size, and ecosystem condition. Moreover, subtidal mapping using</w:t>
      </w:r>
      <w:r>
        <w:t xml:space="preserve"> </w:t>
      </w:r>
      <w:r>
        <w:rPr>
          <w:b/>
          <w:bCs/>
        </w:rPr>
        <w:t xml:space="preserve">aerial drones</w:t>
      </w:r>
      <w:r>
        <w:t xml:space="preserve"> </w:t>
      </w:r>
      <w:r>
        <w:t xml:space="preserve">or</w:t>
      </w:r>
      <w:r>
        <w:t xml:space="preserve"> </w:t>
      </w:r>
      <w:r>
        <w:rPr>
          <w:b/>
          <w:bCs/>
        </w:rPr>
        <w:t xml:space="preserve">satellites</w:t>
      </w:r>
      <w:r>
        <w:t xml:space="preserve"> </w:t>
      </w:r>
      <w:r>
        <w:t xml:space="preserve">is restricted to the optically shallow waters, defined as regions where the bottom exerts a measurable influence on the water-leaving reflectance. Optically shallow waters are dependent on the bathymetry and the varying optical properties of both the water column and the benthos. Some of these limitations can be partially overcame through the use of</w:t>
      </w:r>
      <w:r>
        <w:t xml:space="preserve"> </w:t>
      </w:r>
      <w:r>
        <w:rPr>
          <w:b/>
          <w:bCs/>
        </w:rPr>
        <w:t xml:space="preserve">underwater drones</w:t>
      </w:r>
      <w:r>
        <w:t xml:space="preserve"> </w:t>
      </w:r>
      <w:r>
        <w:t xml:space="preserve">also called Underwater Autonomous Vehicles (AUVs), which operate closer to the seabed and are therefore able to more directly capture benthic reflectance, albeit at the cost of reduced spatial coverage.</w:t>
      </w:r>
    </w:p>
    <w:p>
      <w:pPr>
        <w:pStyle w:val="CaptionedFigure"/>
      </w:pPr>
      <w:r>
        <w:drawing>
          <wp:inline>
            <wp:extent cx="5334000" cy="2452123"/>
            <wp:effectExtent b="0" l="0" r="0" t="0"/>
            <wp:docPr descr="Combination of satellite an AUV to monitor P. oceanica deep limit in the Tabarca Marine Protected Area. Full presentation available here." title="" id="89" name="Picture"/>
            <a:graphic>
              <a:graphicData uri="http://schemas.openxmlformats.org/drawingml/2006/picture">
                <pic:pic>
                  <pic:nvPicPr>
                    <pic:cNvPr descr="assets/img/img2.png" id="90" name="Picture"/>
                    <pic:cNvPicPr>
                      <a:picLocks noChangeArrowheads="1" noChangeAspect="1"/>
                    </pic:cNvPicPr>
                  </pic:nvPicPr>
                  <pic:blipFill>
                    <a:blip r:embed="rId88"/>
                    <a:stretch>
                      <a:fillRect/>
                    </a:stretch>
                  </pic:blipFill>
                  <pic:spPr bwMode="auto">
                    <a:xfrm>
                      <a:off x="0" y="0"/>
                      <a:ext cx="5334000" cy="2452123"/>
                    </a:xfrm>
                    <a:prstGeom prst="rect">
                      <a:avLst/>
                    </a:prstGeom>
                    <a:noFill/>
                    <a:ln w="9525">
                      <a:noFill/>
                      <a:headEnd/>
                      <a:tailEnd/>
                    </a:ln>
                  </pic:spPr>
                </pic:pic>
              </a:graphicData>
            </a:graphic>
          </wp:inline>
        </w:drawing>
      </w:r>
    </w:p>
    <w:p>
      <w:pPr>
        <w:pStyle w:val="ImageCaption"/>
      </w:pPr>
      <w:r>
        <w:t xml:space="preserve">Combination of satellite an AUV to monitor</w:t>
      </w:r>
      <w:r>
        <w:t xml:space="preserve"> </w:t>
      </w:r>
      <w:r>
        <w:rPr>
          <w:i/>
          <w:iCs/>
        </w:rPr>
        <w:t xml:space="preserve">P. oceanica</w:t>
      </w:r>
      <w:r>
        <w:t xml:space="preserve"> </w:t>
      </w:r>
      <w:r>
        <w:t xml:space="preserve">deep limit in the Tabarca Marine Protected Area. Full presentation available</w:t>
      </w:r>
      <w:r>
        <w:t xml:space="preserve"> </w:t>
      </w:r>
      <w:hyperlink r:id="rId91">
        <w:r>
          <w:rPr>
            <w:rStyle w:val="Hyperlink"/>
          </w:rPr>
          <w:t xml:space="preserve">here</w:t>
        </w:r>
      </w:hyperlink>
      <w:r>
        <w:t xml:space="preserve">.</w:t>
      </w:r>
    </w:p>
    <w:p>
      <w:pPr>
        <w:pStyle w:val="BodyText"/>
      </w:pPr>
      <w:r>
        <w:t xml:space="preserve">Monitoring</w:t>
      </w:r>
      <w:r>
        <w:t xml:space="preserve"> </w:t>
      </w:r>
      <w:r>
        <w:rPr>
          <w:b/>
          <w:bCs/>
        </w:rPr>
        <w:t xml:space="preserve">intertidal vegetation</w:t>
      </w:r>
      <w:r>
        <w:t xml:space="preserve"> </w:t>
      </w:r>
      <w:r>
        <w:t xml:space="preserve">with RS also presents specific challenges. Although water absorption is not a limiting factor, intertidal environments are characterized by high spatial complexity and strong temporal variability driven by tides. As a result, analyses must rely on imagery acquired under low-tide conditions to ensure consistency. In this context, the combined use of</w:t>
      </w:r>
      <w:r>
        <w:t xml:space="preserve"> </w:t>
      </w:r>
      <w:r>
        <w:rPr>
          <w:b/>
          <w:bCs/>
        </w:rPr>
        <w:t xml:space="preserve">aerial drones</w:t>
      </w:r>
      <w:r>
        <w:t xml:space="preserve"> </w:t>
      </w:r>
      <w:r>
        <w:t xml:space="preserve">and</w:t>
      </w:r>
      <w:r>
        <w:t xml:space="preserve"> </w:t>
      </w:r>
      <w:r>
        <w:rPr>
          <w:b/>
          <w:bCs/>
        </w:rPr>
        <w:t xml:space="preserve">satellites</w:t>
      </w:r>
      <w:r>
        <w:t xml:space="preserve"> </w:t>
      </w:r>
      <w:r>
        <w:t xml:space="preserve">allows the complementary strengths of both platforms to be exploited, balancing the fine spatial detail provided by drones with the broader spatial and temporal coverage offered by satellites.</w:t>
      </w:r>
    </w:p>
    <w:bookmarkEnd w:id="92"/>
    <w:bookmarkStart w:id="99" w:name="objectives"/>
    <w:p>
      <w:pPr>
        <w:pStyle w:val="Heading3"/>
      </w:pPr>
      <w:r>
        <w:t xml:space="preserve">Objectives</w:t>
      </w:r>
    </w:p>
    <w:bookmarkStart w:id="93" w:name="main-phd-objective"/>
    <w:p>
      <w:pPr>
        <w:pStyle w:val="Heading4"/>
      </w:pPr>
      <w:r>
        <w:t xml:space="preserve">Main phd objective</w:t>
      </w:r>
    </w:p>
    <w:p>
      <w:pPr>
        <w:pStyle w:val="FirstParagraph"/>
      </w:pPr>
      <w:r>
        <w:rPr>
          <w:b/>
          <w:bCs/>
        </w:rPr>
        <w:t xml:space="preserve">To develop and test novel RS and geospatial methodologies for mapping and monitoring marine vegetated ecosystems in the intertidal and subtidal coastal zones by leveraging strong ecological expertise and long term in situ datasets</w:t>
      </w:r>
    </w:p>
    <w:bookmarkEnd w:id="93"/>
    <w:bookmarkStart w:id="98" w:name="specific-objectives"/>
    <w:p>
      <w:pPr>
        <w:pStyle w:val="Heading4"/>
      </w:pPr>
      <w:r>
        <w:t xml:space="preserve">Specific objectives</w:t>
      </w:r>
    </w:p>
    <w:bookmarkStart w:id="94" w:name="X0d91001acf99a0fe97805d356ba8d4fcbacd301"/>
    <w:p>
      <w:pPr>
        <w:pStyle w:val="Heading5"/>
      </w:pPr>
      <w:r>
        <w:t xml:space="preserve">Broad scale I: mapping subtidal marine vegetation with Sentinel-2</w:t>
      </w:r>
    </w:p>
    <w:p>
      <w:pPr>
        <w:pStyle w:val="FirstParagraph"/>
      </w:pPr>
      <w:r>
        <w:t xml:space="preserve">There is a growing use of Sentinel-2 imagery and machine learning techniques to map seagrass meadows and macroalgal forests. Despite the advances achieved, important methodological considerations remain, particularly regarding accuracy assessment practices and the constraints imposed by the water column on habitat detection and discrimination.</w:t>
      </w:r>
    </w:p>
    <w:p>
      <w:pPr>
        <w:pStyle w:val="BodyText"/>
      </w:pPr>
      <w:r>
        <w:t xml:space="preserve">This work aims to design a scalable and reproducible Python-based processing workflow for mapping underwater vegetation using</w:t>
      </w:r>
      <w:r>
        <w:t xml:space="preserve"> </w:t>
      </w:r>
      <w:r>
        <w:rPr>
          <w:b/>
          <w:bCs/>
        </w:rPr>
        <w:t xml:space="preserve">Sentinel-2</w:t>
      </w:r>
      <w:r>
        <w:t xml:space="preserve"> </w:t>
      </w:r>
      <w:r>
        <w:t xml:space="preserve">in Special Areas of Conservation (SACs), as defined by the Habitat Directive. The workflow will integrate machine learning methods and physics-based modelling approaches. The study will assess the spectral separability of different species and bottom types across bioregions and will leverage extensive high-quality field validation data to develop a robust accuracy assessment framework applicable to remote sensing-derived cartographies and other mapping products. Temporal trends in habitat distribution will also be analyzed for dynamic seagrass species.</w:t>
      </w:r>
    </w:p>
    <w:bookmarkEnd w:id="94"/>
    <w:bookmarkStart w:id="95" w:name="Xebe60fcd5718e2f5a222a97d69fd72d2e8de11a"/>
    <w:p>
      <w:pPr>
        <w:pStyle w:val="Heading5"/>
      </w:pPr>
      <w:r>
        <w:t xml:space="preserve">Broad scale II: mapping intertidal seagrass meadows with Sentinel-2 and in situ data.</w:t>
      </w:r>
    </w:p>
    <w:p>
      <w:pPr>
        <w:pStyle w:val="FirstParagraph"/>
      </w:pPr>
      <w:r>
        <w:t xml:space="preserve">Intertidal environments offer favorable conditions for remote sensing analyses, as imagery acquired during spring low tides minimizes the influence of the water column and enhances the detection of benthic habitats. These conditions increase the spectral discrimination potential of habitat types, including intertidal seagrass meadows.</w:t>
      </w:r>
    </w:p>
    <w:p>
      <w:pPr>
        <w:pStyle w:val="BodyText"/>
      </w:pPr>
      <w:r>
        <w:t xml:space="preserve">This work aims to develop a scalable and reproducible Python-based processing workflow for mapping intertidal</w:t>
      </w:r>
      <w:r>
        <w:t xml:space="preserve"> </w:t>
      </w:r>
      <w:r>
        <w:rPr>
          <w:i/>
          <w:iCs/>
        </w:rPr>
        <w:t xml:space="preserve">Nanozostera noltei</w:t>
      </w:r>
      <w:r>
        <w:t xml:space="preserve"> </w:t>
      </w:r>
      <w:r>
        <w:t xml:space="preserve">meadows along the north coast of Spain using Planet and Sentinel-2 imagery. Building upon methodological advances previously implemented in France (</w:t>
      </w:r>
      <w:r>
        <w:t xml:space="preserve">Davies et al. (2024b)</w:t>
      </w:r>
      <w:r>
        <w:t xml:space="preserve">), the workflow will integrate satellite observations with in situ data from the collaborative seagrass monitoring program NORGRASS, to assess meadow distribution and analyze temporal trends.</w:t>
      </w:r>
    </w:p>
    <w:bookmarkEnd w:id="95"/>
    <w:bookmarkStart w:id="96" w:name="X3da14dc339355cf48f82fadf13cac374522d70b"/>
    <w:p>
      <w:pPr>
        <w:pStyle w:val="Heading5"/>
      </w:pPr>
      <w:r>
        <w:t xml:space="preserve">Fine scale I: monitoring</w:t>
      </w:r>
      <w:r>
        <w:t xml:space="preserve"> </w:t>
      </w:r>
      <w:r>
        <w:rPr>
          <w:i/>
          <w:iCs/>
        </w:rPr>
        <w:t xml:space="preserve">P. oceanica</w:t>
      </w:r>
      <w:r>
        <w:t xml:space="preserve"> </w:t>
      </w:r>
      <w:r>
        <w:t xml:space="preserve">seagrass meadows limits at depth and the associated landscape metrics as ecological indicators</w:t>
      </w:r>
    </w:p>
    <w:p>
      <w:pPr>
        <w:pStyle w:val="FirstParagraph"/>
      </w:pPr>
      <w:r>
        <w:t xml:space="preserve">At depths where sunlight cannot penetrate sufficiently for the electromagnetic signal to reach the seabed and return to the satellite, alternative monitoring approaches are required. This study we will explore the integration of underwater photogrammetry,</w:t>
      </w:r>
      <w:r>
        <w:t xml:space="preserve"> </w:t>
      </w:r>
      <w:r>
        <w:rPr>
          <w:b/>
          <w:bCs/>
        </w:rPr>
        <w:t xml:space="preserve">autonomous underwater vehicles</w:t>
      </w:r>
      <w:r>
        <w:t xml:space="preserve">, and advanced image analysis to overcome traditional limitations in monitoring the deep limit of</w:t>
      </w:r>
      <w:r>
        <w:t xml:space="preserve"> </w:t>
      </w:r>
      <w:r>
        <w:rPr>
          <w:i/>
          <w:iCs/>
        </w:rPr>
        <w:t xml:space="preserve">P. oceanica</w:t>
      </w:r>
      <w:r>
        <w:t xml:space="preserve">. Generating millimetric-resolution maps of the deep meadow limits enables greater spatial precision, allowing the application of landscape metrics to asses the structure and spatial configuration of the meadow limits. These seascape metrics provide a promising perspective to be incorporated in the assessment of the ecological status of</w:t>
      </w:r>
      <w:r>
        <w:t xml:space="preserve"> </w:t>
      </w:r>
      <w:r>
        <w:rPr>
          <w:i/>
          <w:iCs/>
        </w:rPr>
        <w:t xml:space="preserve">P. oceanica</w:t>
      </w:r>
      <w:r>
        <w:t xml:space="preserve"> </w:t>
      </w:r>
      <w:r>
        <w:t xml:space="preserve">meadows, complementing traditional indicators.</w:t>
      </w:r>
    </w:p>
    <w:bookmarkEnd w:id="96"/>
    <w:bookmarkStart w:id="97" w:name="Xcec335468e9236173a237cd9afbf9b13c473821"/>
    <w:p>
      <w:pPr>
        <w:pStyle w:val="Heading5"/>
      </w:pPr>
      <w:r>
        <w:t xml:space="preserve">Fine scale II: quantifying the capacity of marine vegetation to recover from sea urchin barrens in relation with harvesting effort</w:t>
      </w:r>
    </w:p>
    <w:p>
      <w:pPr>
        <w:pStyle w:val="FirstParagraph"/>
      </w:pPr>
      <w:r>
        <w:t xml:space="preserve">When thespatial resolution of satellite imagery is insufficient to detect fine-scale changes in marine vegetation cover,</w:t>
      </w:r>
      <w:r>
        <w:t xml:space="preserve"> </w:t>
      </w:r>
      <w:r>
        <w:rPr>
          <w:b/>
          <w:bCs/>
        </w:rPr>
        <w:t xml:space="preserve">aerial drones</w:t>
      </w:r>
      <w:r>
        <w:t xml:space="preserve"> </w:t>
      </w:r>
      <w:r>
        <w:t xml:space="preserve">provide a practical solution. In this study, I will first develop a methodology, based on drones, to quantily underwater bare-rock areas caused by the overgrazing of herbivorous sea urchins</w:t>
      </w:r>
      <w:r>
        <w:t xml:space="preserve"> </w:t>
      </w:r>
      <w:r>
        <w:rPr>
          <w:i/>
          <w:iCs/>
        </w:rPr>
        <w:t xml:space="preserve">P. lividus</w:t>
      </w:r>
      <w:r>
        <w:t xml:space="preserve"> </w:t>
      </w:r>
      <w:r>
        <w:t xml:space="preserve">and</w:t>
      </w:r>
      <w:r>
        <w:t xml:space="preserve"> </w:t>
      </w:r>
      <w:r>
        <w:rPr>
          <w:i/>
          <w:iCs/>
        </w:rPr>
        <w:t xml:space="preserve">A. lixula</w:t>
      </w:r>
      <w:r>
        <w:t xml:space="preserve">. Then, I will analyze the temporal dynamics of barren expansion and contraction in relation to sea urchin harvesting pressure, using data from a pilot study area encompassing more than 5 fishing grounds for which sea urchin harvesters provide seasonal catch information. This approach will contribute to understanding how fisheries management can enhance the resilience and recovery potential of marine vegetation.</w:t>
      </w:r>
    </w:p>
    <w:bookmarkEnd w:id="97"/>
    <w:bookmarkEnd w:id="98"/>
    <w:bookmarkEnd w:id="99"/>
    <w:bookmarkStart w:id="103" w:name="timeline"/>
    <w:p>
      <w:pPr>
        <w:pStyle w:val="Heading3"/>
      </w:pPr>
      <w:r>
        <w:t xml:space="preserve">Timeline</w:t>
      </w:r>
    </w:p>
    <w:p>
      <w:pPr>
        <w:pStyle w:val="FirstParagraph"/>
      </w:pPr>
      <w:r>
        <w:t xml:space="preserve">Having worked as a geospatial data analyst and research assistant for the past five years has paved the way for this PhD. Part of the proposed work will therefore build on and bring to completion ongoing and previously initiated studies. As a result, the timeline of the PhD is closely aligned with the continuation of my current work and research activities.</w:t>
      </w:r>
    </w:p>
    <w:p>
      <w:pPr>
        <w:pStyle w:val="BodyText"/>
      </w:pPr>
    </w:p>
    <w:p>
      <w:pPr>
        <w:pStyle w:val="BodyText"/>
      </w:pPr>
      <w:r>
        <w:drawing>
          <wp:inline>
            <wp:extent cx="5334000" cy="2449073"/>
            <wp:effectExtent b="0" l="0" r="0" t="0"/>
            <wp:docPr descr="" title="" id="101" name="Picture"/>
            <a:graphic>
              <a:graphicData uri="http://schemas.openxmlformats.org/drawingml/2006/picture">
                <pic:pic>
                  <pic:nvPicPr>
                    <pic:cNvPr descr="index_files/figure-docx/mermaid-figure-1.png" id="102" name="Picture"/>
                    <pic:cNvPicPr>
                      <a:picLocks noChangeArrowheads="1" noChangeAspect="1"/>
                    </pic:cNvPicPr>
                  </pic:nvPicPr>
                  <pic:blipFill>
                    <a:blip r:embed="rId100"/>
                    <a:stretch>
                      <a:fillRect/>
                    </a:stretch>
                  </pic:blipFill>
                  <pic:spPr bwMode="auto">
                    <a:xfrm>
                      <a:off x="0" y="0"/>
                      <a:ext cx="5334000" cy="2449073"/>
                    </a:xfrm>
                    <a:prstGeom prst="rect">
                      <a:avLst/>
                    </a:prstGeom>
                    <a:noFill/>
                    <a:ln w="9525">
                      <a:noFill/>
                      <a:headEnd/>
                      <a:tailEnd/>
                    </a:ln>
                  </pic:spPr>
                </pic:pic>
              </a:graphicData>
            </a:graphic>
          </wp:inline>
        </w:drawing>
      </w:r>
    </w:p>
    <w:p>
      <w:pPr>
        <w:pStyle w:val="BodyText"/>
      </w:pPr>
    </w:p>
    <w:bookmarkEnd w:id="103"/>
    <w:bookmarkStart w:id="107" w:name="methodology"/>
    <w:p>
      <w:pPr>
        <w:pStyle w:val="Heading3"/>
      </w:pPr>
      <w:r>
        <w:t xml:space="preserve">Methodology</w:t>
      </w:r>
    </w:p>
    <w:p>
      <w:pPr>
        <w:pStyle w:val="FirstParagraph"/>
      </w:pPr>
      <w:r>
        <w:t xml:space="preserve">The methodological framework is based on the integration of</w:t>
      </w:r>
      <w:r>
        <w:t xml:space="preserve"> </w:t>
      </w:r>
      <w:r>
        <w:rPr>
          <w:b/>
          <w:bCs/>
        </w:rPr>
        <w:t xml:space="preserve">multi-platform remote sensing</w:t>
      </w:r>
      <w:r>
        <w:t xml:space="preserve"> </w:t>
      </w:r>
      <w:r>
        <w:t xml:space="preserve">data acquired at different spatial and temporal scales</w:t>
      </w:r>
      <w:r>
        <w:t xml:space="preserve"> </w:t>
      </w:r>
      <w:r>
        <w:rPr>
          <w:b/>
          <w:bCs/>
        </w:rPr>
        <w:t xml:space="preserve">with high-quality field data</w:t>
      </w:r>
      <w:r>
        <w:t xml:space="preserve">. Ultra-high-resolution imagery obtained from autonomous underwater vehicles (AUVs) and aerial drones is first processed using photogrammetric workflows to generate georeferenced orthomosaics and three-dimensional products of the seabed and intertidal zones. These datasets provide detailed information on habitat structure and are used both for fine-scale mapping and as reference data for model calibration and validation. At broader scales, satellite imagery is processed through standardized pre-processing steps, including atmospheric and water-column corrections. Spectral, textural, and contextual features are then extracted from all platforms and harmonized within a common geospatial framework. Habitat mapping is performed using a combination of empirical classification approaches, physics-based models, and machine-learning techniques, producing probabilistic raster outputs that represent class membership or habitat probability. Finally, these probabilistic products are thresholded and post-processed to generate categorical habitat maps, whose accuracy and uncertainty are assessed using</w:t>
      </w:r>
      <w:r>
        <w:t xml:space="preserve"> </w:t>
      </w:r>
      <w:r>
        <w:rPr>
          <w:b/>
          <w:bCs/>
        </w:rPr>
        <w:t xml:space="preserve">independent field observations</w:t>
      </w:r>
      <w:r>
        <w:t xml:space="preserve"> </w:t>
      </w:r>
      <w:r>
        <w:t xml:space="preserve">and</w:t>
      </w:r>
      <w:r>
        <w:t xml:space="preserve"> </w:t>
      </w:r>
      <w:r>
        <w:rPr>
          <w:b/>
          <w:bCs/>
        </w:rPr>
        <w:t xml:space="preserve">high-resolution reference data</w:t>
      </w:r>
      <w:r>
        <w:t xml:space="preserve">.</w:t>
      </w:r>
    </w:p>
    <w:p>
      <w:pPr>
        <w:pStyle w:val="CaptionedFigure"/>
      </w:pPr>
      <w:r>
        <w:drawing>
          <wp:inline>
            <wp:extent cx="4800600" cy="2358111"/>
            <wp:effectExtent b="0" l="0" r="0" t="0"/>
            <wp:docPr descr="General workflow illustrating the transformation of imagery and ancillary variables within a datacube into probabilistic rasters and final categorical maps" title="" id="105" name="Picture"/>
            <a:graphic>
              <a:graphicData uri="http://schemas.openxmlformats.org/drawingml/2006/picture">
                <pic:pic>
                  <pic:nvPicPr>
                    <pic:cNvPr descr="assets/img/img3.png" id="106" name="Picture"/>
                    <pic:cNvPicPr>
                      <a:picLocks noChangeArrowheads="1" noChangeAspect="1"/>
                    </pic:cNvPicPr>
                  </pic:nvPicPr>
                  <pic:blipFill>
                    <a:blip r:embed="rId104"/>
                    <a:stretch>
                      <a:fillRect/>
                    </a:stretch>
                  </pic:blipFill>
                  <pic:spPr bwMode="auto">
                    <a:xfrm>
                      <a:off x="0" y="0"/>
                      <a:ext cx="4800600" cy="2358111"/>
                    </a:xfrm>
                    <a:prstGeom prst="rect">
                      <a:avLst/>
                    </a:prstGeom>
                    <a:noFill/>
                    <a:ln w="9525">
                      <a:noFill/>
                      <a:headEnd/>
                      <a:tailEnd/>
                    </a:ln>
                  </pic:spPr>
                </pic:pic>
              </a:graphicData>
            </a:graphic>
          </wp:inline>
        </w:drawing>
      </w:r>
    </w:p>
    <w:p>
      <w:pPr>
        <w:pStyle w:val="ImageCaption"/>
      </w:pPr>
      <w:r>
        <w:t xml:space="preserve">General workflow illustrating the transformation of imagery and ancillary variables within a datacube into probabilistic rasters and final categorical maps</w:t>
      </w:r>
    </w:p>
    <w:bookmarkEnd w:id="107"/>
    <w:bookmarkStart w:id="110" w:name="data-management-plan"/>
    <w:p>
      <w:pPr>
        <w:pStyle w:val="Heading3"/>
      </w:pPr>
      <w:r>
        <w:t xml:space="preserve">Data management plan</w:t>
      </w:r>
    </w:p>
    <w:bookmarkStart w:id="108" w:name="general-considerations"/>
    <w:p>
      <w:pPr>
        <w:pStyle w:val="Heading4"/>
      </w:pPr>
      <w:r>
        <w:t xml:space="preserve">General considerations</w:t>
      </w:r>
    </w:p>
    <w:p>
      <w:pPr>
        <w:pStyle w:val="FirstParagraph"/>
      </w:pPr>
      <w:r>
        <w:t xml:space="preserve">This project will leverage a unique, long-term dataset of seagrass and other marine vegetation observations collected over the past 20 years by the</w:t>
      </w:r>
      <w:r>
        <w:t xml:space="preserve"> </w:t>
      </w:r>
      <w:r>
        <w:rPr>
          <w:b/>
          <w:bCs/>
        </w:rPr>
        <w:t xml:space="preserve">Seagrass Ecology Group (IEO-CSIC)</w:t>
      </w:r>
      <w:r>
        <w:t xml:space="preserve"> </w:t>
      </w:r>
      <w:r>
        <w:t xml:space="preserve">and</w:t>
      </w:r>
      <w:r>
        <w:t xml:space="preserve"> </w:t>
      </w:r>
      <w:r>
        <w:rPr>
          <w:b/>
          <w:bCs/>
        </w:rPr>
        <w:t xml:space="preserve">CEAB-CSIC</w:t>
      </w:r>
      <w:r>
        <w:t xml:space="preserve">. These in situ observations will serve to calibrate, validate, and interpret multi-temporal remote sensing products.</w:t>
      </w:r>
    </w:p>
    <w:p>
      <w:pPr>
        <w:pStyle w:val="BodyText"/>
      </w:pPr>
      <w:r>
        <w:t xml:space="preserve">The research will integrate heterogeneous datasets including (i) long-term field observations (e.g. presence/absence, cover, depth limits, structural descriptors), (ii) ultra-high-resolution imagery derived from AUV and aerial drone surveys, and (iii) satellite-based remote sensing products. Newly generated datasets (orthomosaics, derived indices, probabilistic rasters, categorical habitat maps, and accuracy assessment outputs) will be produced following standardized and reproducible processing workflows, generating high-value datasets for coastal ecosystem monitoring, trend analysis, and future conservation efforts.</w:t>
      </w:r>
    </w:p>
    <w:bookmarkEnd w:id="108"/>
    <w:bookmarkStart w:id="109" w:name="fair-principles"/>
    <w:p>
      <w:pPr>
        <w:pStyle w:val="Heading4"/>
      </w:pPr>
      <w:r>
        <w:t xml:space="preserve">FAIR Principles</w:t>
      </w:r>
    </w:p>
    <w:p>
      <w:pPr>
        <w:pStyle w:val="FirstParagraph"/>
      </w:pPr>
      <w:r>
        <w:rPr>
          <w:b/>
          <w:bCs/>
        </w:rPr>
        <w:t xml:space="preserve">Findable:</w:t>
      </w:r>
      <w:r>
        <w:t xml:space="preserve"> </w:t>
      </w:r>
      <w:r>
        <w:t xml:space="preserve">Datasets will have persistent identifiers (DOIs) and standardized metadata (Darwin Core, ISO 19115/INSPIRE), including spatial/temporal coverage, provenance, and uncertainty.</w:t>
      </w:r>
    </w:p>
    <w:p>
      <w:pPr>
        <w:pStyle w:val="BodyText"/>
      </w:pPr>
      <w:r>
        <w:rPr>
          <w:b/>
          <w:bCs/>
        </w:rPr>
        <w:t xml:space="preserve">Accessible:</w:t>
      </w:r>
      <w:r>
        <w:t xml:space="preserve"> </w:t>
      </w:r>
      <w:r>
        <w:t xml:space="preserve">Data will be openly available whenever possible through trusted repositories such as</w:t>
      </w:r>
      <w:r>
        <w:t xml:space="preserve"> </w:t>
      </w:r>
      <w:r>
        <w:rPr>
          <w:b/>
          <w:bCs/>
        </w:rPr>
        <w:t xml:space="preserve">OBIS</w:t>
      </w:r>
      <w:r>
        <w:t xml:space="preserve">,</w:t>
      </w:r>
      <w:r>
        <w:t xml:space="preserve"> </w:t>
      </w:r>
      <w:r>
        <w:rPr>
          <w:b/>
          <w:bCs/>
        </w:rPr>
        <w:t xml:space="preserve">EMODnet</w:t>
      </w:r>
      <w:r>
        <w:t xml:space="preserve">,</w:t>
      </w:r>
      <w:r>
        <w:t xml:space="preserve"> </w:t>
      </w:r>
      <w:r>
        <w:rPr>
          <w:b/>
          <w:bCs/>
        </w:rPr>
        <w:t xml:space="preserve">Zenodo</w:t>
      </w:r>
      <w:r>
        <w:t xml:space="preserve">, or institutional data portals of IEO-CSIC, respecting embargo periods when required. Access conditions will be clearly stated, and data will be provided using open, non-proprietary formats (e.g. GeoTIFF, NetCDF, GeoPackage, CSV).</w:t>
      </w:r>
    </w:p>
    <w:p>
      <w:pPr>
        <w:pStyle w:val="BodyText"/>
      </w:pPr>
      <w:r>
        <w:rPr>
          <w:b/>
          <w:bCs/>
        </w:rPr>
        <w:t xml:space="preserve">Interoperable:</w:t>
      </w:r>
      <w:r>
        <w:t xml:space="preserve"> </w:t>
      </w:r>
      <w:r>
        <w:t xml:space="preserve">Data will follow community standards, harmonized coordinate systems, and consistent variable naming and units to enable integration with long-term field observations.</w:t>
      </w:r>
    </w:p>
    <w:p>
      <w:pPr>
        <w:pStyle w:val="BodyText"/>
      </w:pPr>
      <w:r>
        <w:rPr>
          <w:b/>
          <w:bCs/>
        </w:rPr>
        <w:t xml:space="preserve">Reusable:</w:t>
      </w:r>
      <w:r>
        <w:t xml:space="preserve"> </w:t>
      </w:r>
      <w:r>
        <w:t xml:space="preserve">Documentation will include data dictionaries, methodology, and quality-control procedures. Open licenses (CC BY/CC BY-NC) will facilitate reuse for monitoring, validation, and conservation planning.</w:t>
      </w:r>
    </w:p>
    <w:bookmarkEnd w:id="109"/>
    <w:bookmarkEnd w:id="110"/>
    <w:bookmarkEnd w:id="111"/>
    <w:bookmarkStart w:id="125" w:name="researcher-development-plan"/>
    <w:p>
      <w:pPr>
        <w:pStyle w:val="Heading2"/>
      </w:pPr>
      <w:r>
        <w:t xml:space="preserve">Researcher development plan</w:t>
      </w:r>
    </w:p>
    <w:bookmarkStart w:id="113" w:name="training-courses"/>
    <w:p>
      <w:pPr>
        <w:pStyle w:val="Heading4"/>
      </w:pPr>
      <w:r>
        <w:t xml:space="preserve">1. Training Courses</w:t>
      </w:r>
    </w:p>
    <w:p>
      <w:pPr>
        <w:pStyle w:val="Compact"/>
        <w:numPr>
          <w:ilvl w:val="0"/>
          <w:numId w:val="1001"/>
        </w:numPr>
      </w:pPr>
      <w:r>
        <w:t xml:space="preserve">Attend workshops and training to strengthen technical expertise in remote sensing, geospatial data analysis, and deep learning, while also developing skills in coding, data management, FAIR principles, and reproducible research practices.Potential courses are:</w:t>
      </w:r>
    </w:p>
    <w:p>
      <w:pPr>
        <w:pStyle w:val="Compact"/>
        <w:numPr>
          <w:ilvl w:val="1"/>
          <w:numId w:val="1002"/>
        </w:numPr>
      </w:pPr>
      <w:r>
        <w:t xml:space="preserve">Experimental design and sampling, Girona University (1 ECTS)</w:t>
      </w:r>
    </w:p>
    <w:p>
      <w:pPr>
        <w:pStyle w:val="Compact"/>
        <w:numPr>
          <w:ilvl w:val="1"/>
          <w:numId w:val="1002"/>
        </w:numPr>
      </w:pPr>
      <w:hyperlink r:id="rId112">
        <w:r>
          <w:rPr>
            <w:rStyle w:val="Hyperlink"/>
          </w:rPr>
          <w:t xml:space="preserve">IOCCG Summer Lecture Series, Frontiers in Ocean Optics and Ocean Colour Science</w:t>
        </w:r>
      </w:hyperlink>
    </w:p>
    <w:bookmarkEnd w:id="113"/>
    <w:bookmarkStart w:id="114" w:name="research-stay"/>
    <w:p>
      <w:pPr>
        <w:pStyle w:val="Heading4"/>
      </w:pPr>
      <w:r>
        <w:t xml:space="preserve">2. Research Stay</w:t>
      </w:r>
    </w:p>
    <w:p>
      <w:pPr>
        <w:pStyle w:val="Compact"/>
        <w:numPr>
          <w:ilvl w:val="0"/>
          <w:numId w:val="1003"/>
        </w:numPr>
      </w:pPr>
      <w:r>
        <w:t xml:space="preserve">Erasmus Mobility: A 4-month research stay at an international partner institution is planned during the first year, ideally coinciding with methodology development and remote sensing analysis. This will allow exposure to complementary methodologies, strengthen collaborations, and expand the research network.</w:t>
      </w:r>
    </w:p>
    <w:bookmarkEnd w:id="114"/>
    <w:bookmarkStart w:id="115" w:name="participation-as-attendee"/>
    <w:p>
      <w:pPr>
        <w:pStyle w:val="Heading4"/>
      </w:pPr>
      <w:r>
        <w:t xml:space="preserve">3. Participation as attendee:</w:t>
      </w:r>
    </w:p>
    <w:p>
      <w:pPr>
        <w:pStyle w:val="Compact"/>
        <w:numPr>
          <w:ilvl w:val="0"/>
          <w:numId w:val="1004"/>
        </w:numPr>
      </w:pPr>
      <w:r>
        <w:t xml:space="preserve">Monthly group meetings and internal seminars.</w:t>
      </w:r>
    </w:p>
    <w:p>
      <w:pPr>
        <w:pStyle w:val="Compact"/>
        <w:numPr>
          <w:ilvl w:val="0"/>
          <w:numId w:val="1004"/>
        </w:numPr>
      </w:pPr>
      <w:r>
        <w:t xml:space="preserve">Coordination meetings with public institutions.</w:t>
      </w:r>
    </w:p>
    <w:bookmarkEnd w:id="115"/>
    <w:bookmarkStart w:id="121" w:name="participation-as-speaker"/>
    <w:p>
      <w:pPr>
        <w:pStyle w:val="Heading4"/>
      </w:pPr>
      <w:r>
        <w:t xml:space="preserve">4. Participation as speaker</w:t>
      </w:r>
    </w:p>
    <w:p>
      <w:pPr>
        <w:pStyle w:val="Compact"/>
        <w:numPr>
          <w:ilvl w:val="0"/>
          <w:numId w:val="1005"/>
        </w:numPr>
      </w:pPr>
      <w:r>
        <w:t xml:space="preserve">Participation in at least one national or international conference per year is planned to present results, engage with the scientific community, and receive feedback. Potential congresses are:</w:t>
      </w:r>
    </w:p>
    <w:p>
      <w:pPr>
        <w:pStyle w:val="Compact"/>
        <w:numPr>
          <w:ilvl w:val="1"/>
          <w:numId w:val="1006"/>
        </w:numPr>
      </w:pPr>
      <w:hyperlink r:id="rId116">
        <w:r>
          <w:rPr>
            <w:rStyle w:val="Hyperlink"/>
          </w:rPr>
          <w:t xml:space="preserve">21st Congress of the Spanish Remote Sensing Association</w:t>
        </w:r>
      </w:hyperlink>
    </w:p>
    <w:p>
      <w:pPr>
        <w:pStyle w:val="Compact"/>
        <w:numPr>
          <w:ilvl w:val="1"/>
          <w:numId w:val="1006"/>
        </w:numPr>
      </w:pPr>
      <w:hyperlink r:id="rId117">
        <w:r>
          <w:rPr>
            <w:rStyle w:val="Hyperlink"/>
          </w:rPr>
          <w:t xml:space="preserve">Geopython</w:t>
        </w:r>
      </w:hyperlink>
    </w:p>
    <w:p>
      <w:pPr>
        <w:pStyle w:val="Compact"/>
        <w:numPr>
          <w:ilvl w:val="1"/>
          <w:numId w:val="1006"/>
        </w:numPr>
      </w:pPr>
      <w:hyperlink r:id="rId118">
        <w:r>
          <w:rPr>
            <w:rStyle w:val="Hyperlink"/>
          </w:rPr>
          <w:t xml:space="preserve">Jornades SIG Lliure UdG</w:t>
        </w:r>
      </w:hyperlink>
    </w:p>
    <w:p>
      <w:pPr>
        <w:pStyle w:val="Compact"/>
        <w:numPr>
          <w:ilvl w:val="1"/>
          <w:numId w:val="1006"/>
        </w:numPr>
      </w:pPr>
      <w:hyperlink r:id="rId119">
        <w:r>
          <w:rPr>
            <w:rStyle w:val="Hyperlink"/>
          </w:rPr>
          <w:t xml:space="preserve">FOSS4G (Free and Open Source Software for Geospatial)</w:t>
        </w:r>
      </w:hyperlink>
    </w:p>
    <w:p>
      <w:pPr>
        <w:pStyle w:val="Compact"/>
        <w:numPr>
          <w:ilvl w:val="1"/>
          <w:numId w:val="1006"/>
        </w:numPr>
      </w:pPr>
      <w:r>
        <w:t xml:space="preserve">ESA Living Planet Symposium</w:t>
      </w:r>
    </w:p>
    <w:p>
      <w:pPr>
        <w:pStyle w:val="Compact"/>
        <w:numPr>
          <w:ilvl w:val="1"/>
          <w:numId w:val="1006"/>
        </w:numPr>
      </w:pPr>
      <w:hyperlink r:id="rId120">
        <w:r>
          <w:rPr>
            <w:rStyle w:val="Hyperlink"/>
          </w:rPr>
          <w:t xml:space="preserve">International Temperate Reef Symposium</w:t>
        </w:r>
      </w:hyperlink>
    </w:p>
    <w:p>
      <w:pPr>
        <w:pStyle w:val="Compact"/>
        <w:numPr>
          <w:ilvl w:val="1"/>
          <w:numId w:val="1006"/>
        </w:numPr>
      </w:pPr>
      <w:r>
        <w:t xml:space="preserve">ASLO Aquatic Science Meeting</w:t>
      </w:r>
    </w:p>
    <w:p>
      <w:pPr>
        <w:pStyle w:val="Compact"/>
        <w:numPr>
          <w:ilvl w:val="1"/>
          <w:numId w:val="1006"/>
        </w:numPr>
      </w:pPr>
      <w:r>
        <w:t xml:space="preserve">World Seagrass Conference</w:t>
      </w:r>
    </w:p>
    <w:bookmarkEnd w:id="121"/>
    <w:bookmarkStart w:id="122" w:name="X475f27f0368c34cb6df26e63a7ca21025be1c1d"/>
    <w:p>
      <w:pPr>
        <w:pStyle w:val="Heading4"/>
      </w:pPr>
      <w:r>
        <w:t xml:space="preserve">5. Open Science and Citizen Science Activities</w:t>
      </w:r>
    </w:p>
    <w:p>
      <w:pPr>
        <w:pStyle w:val="Compact"/>
        <w:numPr>
          <w:ilvl w:val="0"/>
          <w:numId w:val="1007"/>
        </w:numPr>
      </w:pPr>
      <w:r>
        <w:t xml:space="preserve">Ensure all generated data and code follow</w:t>
      </w:r>
      <w:r>
        <w:t xml:space="preserve"> </w:t>
      </w:r>
      <w:r>
        <w:rPr>
          <w:b/>
          <w:bCs/>
        </w:rPr>
        <w:t xml:space="preserve">FAIR principles</w:t>
      </w:r>
      <w:r>
        <w:br/>
      </w:r>
    </w:p>
    <w:p>
      <w:pPr>
        <w:pStyle w:val="Compact"/>
        <w:numPr>
          <w:ilvl w:val="0"/>
          <w:numId w:val="1007"/>
        </w:numPr>
      </w:pPr>
      <w:r>
        <w:t xml:space="preserve">Participate in public outreach activities, including the Science Week of the Oceanographic Center of Gijón and Pint of Science events.</w:t>
      </w:r>
    </w:p>
    <w:bookmarkEnd w:id="122"/>
    <w:bookmarkStart w:id="123" w:name="scientific-publications"/>
    <w:p>
      <w:pPr>
        <w:pStyle w:val="Heading4"/>
      </w:pPr>
      <w:r>
        <w:t xml:space="preserve">6. Scientific Publications</w:t>
      </w:r>
    </w:p>
    <w:p>
      <w:pPr>
        <w:pStyle w:val="Compact"/>
        <w:numPr>
          <w:ilvl w:val="0"/>
          <w:numId w:val="1008"/>
        </w:numPr>
      </w:pPr>
      <w:r>
        <w:t xml:space="preserve">Target publications during PhD:</w:t>
      </w:r>
    </w:p>
    <w:p>
      <w:pPr>
        <w:pStyle w:val="Compact"/>
        <w:numPr>
          <w:ilvl w:val="1"/>
          <w:numId w:val="1009"/>
        </w:numPr>
      </w:pPr>
      <w:r>
        <w:rPr>
          <w:b/>
          <w:bCs/>
        </w:rPr>
        <w:t xml:space="preserve">Year 1:</w:t>
      </w:r>
      <w:r>
        <w:t xml:space="preserve"> </w:t>
      </w:r>
      <w:r>
        <w:t xml:space="preserve">At least</w:t>
      </w:r>
      <w:r>
        <w:t xml:space="preserve"> </w:t>
      </w:r>
      <w:r>
        <w:rPr>
          <w:b/>
          <w:bCs/>
        </w:rPr>
        <w:t xml:space="preserve">two research papers</w:t>
      </w:r>
      <w:r>
        <w:t xml:space="preserve">, one on the use of Sentinel-2 to monitor underwater vegetation in marine protected (broad scale I) areas and another on the monitoring of</w:t>
      </w:r>
      <w:r>
        <w:t xml:space="preserve"> </w:t>
      </w:r>
      <w:r>
        <w:rPr>
          <w:i/>
          <w:iCs/>
        </w:rPr>
        <w:t xml:space="preserve">P. oceanica</w:t>
      </w:r>
      <w:r>
        <w:t xml:space="preserve"> </w:t>
      </w:r>
      <w:r>
        <w:t xml:space="preserve">deep limit using Autonomous Underwater Vehicles (small scale I).</w:t>
      </w:r>
    </w:p>
    <w:p>
      <w:pPr>
        <w:pStyle w:val="Compact"/>
        <w:numPr>
          <w:ilvl w:val="1"/>
          <w:numId w:val="1009"/>
        </w:numPr>
      </w:pPr>
      <w:r>
        <w:rPr>
          <w:b/>
          <w:bCs/>
        </w:rPr>
        <w:t xml:space="preserve">Year 2:</w:t>
      </w:r>
      <w:r>
        <w:t xml:space="preserve"> </w:t>
      </w:r>
      <w:r>
        <w:t xml:space="preserve">At least</w:t>
      </w:r>
      <w:r>
        <w:t xml:space="preserve"> </w:t>
      </w:r>
      <w:r>
        <w:rPr>
          <w:b/>
          <w:bCs/>
        </w:rPr>
        <w:t xml:space="preserve">one research paper</w:t>
      </w:r>
      <w:r>
        <w:t xml:space="preserve">, one on the monitoring of underwater barrens using aerial drones (small scale II) .</w:t>
      </w:r>
    </w:p>
    <w:p>
      <w:pPr>
        <w:pStyle w:val="Compact"/>
        <w:numPr>
          <w:ilvl w:val="1"/>
          <w:numId w:val="1009"/>
        </w:numPr>
      </w:pPr>
      <w:r>
        <w:rPr>
          <w:b/>
          <w:bCs/>
        </w:rPr>
        <w:t xml:space="preserve">Year 3:</w:t>
      </w:r>
      <w:r>
        <w:t xml:space="preserve"> </w:t>
      </w:r>
      <w:r>
        <w:t xml:space="preserve">At least</w:t>
      </w:r>
      <w:r>
        <w:t xml:space="preserve"> </w:t>
      </w:r>
      <w:r>
        <w:rPr>
          <w:b/>
          <w:bCs/>
        </w:rPr>
        <w:t xml:space="preserve">one research paper</w:t>
      </w:r>
      <w:r>
        <w:t xml:space="preserve"> </w:t>
      </w:r>
      <w:r>
        <w:t xml:space="preserve">on the trends of intertidal vegetation in the north coast of Spain (broad scale II).</w:t>
      </w:r>
    </w:p>
    <w:p>
      <w:pPr>
        <w:pStyle w:val="Compact"/>
        <w:numPr>
          <w:ilvl w:val="0"/>
          <w:numId w:val="1008"/>
        </w:numPr>
      </w:pPr>
      <w:r>
        <w:t xml:space="preserve">Consider submitting the thesis as a</w:t>
      </w:r>
      <w:r>
        <w:t xml:space="preserve"> </w:t>
      </w:r>
      <w:r>
        <w:rPr>
          <w:b/>
          <w:bCs/>
        </w:rPr>
        <w:t xml:space="preserve">compilation of publications</w:t>
      </w:r>
    </w:p>
    <w:bookmarkEnd w:id="123"/>
    <w:bookmarkStart w:id="124" w:name="training-planning"/>
    <w:p>
      <w:pPr>
        <w:pStyle w:val="Heading4"/>
      </w:pPr>
      <w:r>
        <w:t xml:space="preserve">7. Training Planning</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Year</w:t>
            </w:r>
          </w:p>
        </w:tc>
        <w:tc>
          <w:tcPr/>
          <w:p>
            <w:pPr>
              <w:pStyle w:val="Compact"/>
            </w:pPr>
            <w:r>
              <w:t xml:space="preserve">Activities</w:t>
            </w:r>
          </w:p>
        </w:tc>
      </w:tr>
      <w:tr>
        <w:tc>
          <w:tcPr/>
          <w:p>
            <w:pPr>
              <w:pStyle w:val="Compact"/>
            </w:pPr>
            <w:r>
              <w:t xml:space="preserve">2026</w:t>
            </w:r>
          </w:p>
        </w:tc>
        <w:tc>
          <w:tcPr/>
          <w:p>
            <w:pPr>
              <w:pStyle w:val="Compact"/>
            </w:pPr>
            <w:r>
              <w:t xml:space="preserve">Transversal &amp; specific courses, literature review, remote sensing analyses, Erasmus stay, attendance at seminars and workshops, one congress,</w:t>
            </w:r>
            <w:r>
              <w:t xml:space="preserve"> </w:t>
            </w:r>
            <w:r>
              <w:rPr>
                <w:b/>
                <w:bCs/>
              </w:rPr>
              <w:t xml:space="preserve">two research papers</w:t>
            </w:r>
          </w:p>
        </w:tc>
      </w:tr>
      <w:tr>
        <w:tc>
          <w:tcPr/>
          <w:p>
            <w:pPr>
              <w:pStyle w:val="Compact"/>
            </w:pPr>
            <w:r>
              <w:t xml:space="preserve">2027</w:t>
            </w:r>
          </w:p>
        </w:tc>
        <w:tc>
          <w:tcPr/>
          <w:p>
            <w:pPr>
              <w:pStyle w:val="Compact"/>
            </w:pPr>
            <w:r>
              <w:t xml:space="preserve">Field campaigns, remote sensing analyses, attendance &amp; presentations at conferences, one congress,</w:t>
            </w:r>
            <w:r>
              <w:t xml:space="preserve"> </w:t>
            </w:r>
            <w:r>
              <w:rPr>
                <w:b/>
                <w:bCs/>
              </w:rPr>
              <w:t xml:space="preserve">one research paper</w:t>
            </w:r>
          </w:p>
        </w:tc>
      </w:tr>
      <w:tr>
        <w:tc>
          <w:tcPr/>
          <w:p>
            <w:pPr>
              <w:pStyle w:val="Compact"/>
            </w:pPr>
            <w:r>
              <w:t xml:space="preserve">2028</w:t>
            </w:r>
          </w:p>
        </w:tc>
        <w:tc>
          <w:tcPr/>
          <w:p>
            <w:pPr>
              <w:pStyle w:val="Compact"/>
            </w:pPr>
            <w:r>
              <w:t xml:space="preserve">Data integration, thesis writing, open science dissemination, one congreds,</w:t>
            </w:r>
            <w:r>
              <w:t xml:space="preserve"> </w:t>
            </w:r>
            <w:r>
              <w:rPr>
                <w:b/>
                <w:bCs/>
              </w:rPr>
              <w:t xml:space="preserve">one research paper</w:t>
            </w:r>
            <w:r>
              <w:t xml:space="preserve"> </w:t>
            </w:r>
            <w:r>
              <w:t xml:space="preserve">submission and defense of thesis</w:t>
            </w:r>
          </w:p>
        </w:tc>
      </w:tr>
    </w:tbl>
    <w:bookmarkEnd w:id="124"/>
    <w:bookmarkEnd w:id="125"/>
    <w:bookmarkStart w:id="165" w:name="bibliography"/>
    <w:p>
      <w:pPr>
        <w:pStyle w:val="Heading2"/>
      </w:pPr>
      <w:r>
        <w:t xml:space="preserve">Bibliography</w:t>
      </w:r>
    </w:p>
    <w:bookmarkStart w:id="164" w:name="refs"/>
    <w:bookmarkStart w:id="127" w:name="ref-brando_physics_2009"/>
    <w:p>
      <w:pPr>
        <w:pStyle w:val="Bibliography"/>
      </w:pPr>
      <w:r>
        <w:t xml:space="preserve">Brando, Vittorio E., Janet M. Anstee, Magnus Wettle, Arnold G. Dekker, Stuart R. Phinn, and Chris Roelfsema. 2009.</w:t>
      </w:r>
      <w:r>
        <w:t xml:space="preserve"> </w:t>
      </w:r>
      <w:r>
        <w:t xml:space="preserve">“A Physics Based Retrieval and Quality Assessment of Bathymetry from Suboptimal Hyperspectral Data.”</w:t>
      </w:r>
      <w:r>
        <w:t xml:space="preserve"> </w:t>
      </w:r>
      <w:r>
        <w:rPr>
          <w:i/>
          <w:iCs/>
        </w:rPr>
        <w:t xml:space="preserve">Remote Sensing of Environment</w:t>
      </w:r>
      <w:r>
        <w:t xml:space="preserve"> </w:t>
      </w:r>
      <w:r>
        <w:t xml:space="preserve">113 (4): 755–70.</w:t>
      </w:r>
      <w:r>
        <w:t xml:space="preserve"> </w:t>
      </w:r>
      <w:hyperlink r:id="rId126">
        <w:r>
          <w:rPr>
            <w:rStyle w:val="Hyperlink"/>
          </w:rPr>
          <w:t xml:space="preserve">https://doi.org/10.1016/j.rse.2008.12.003</w:t>
        </w:r>
      </w:hyperlink>
      <w:r>
        <w:t xml:space="preserve">.</w:t>
      </w:r>
    </w:p>
    <w:bookmarkEnd w:id="127"/>
    <w:bookmarkStart w:id="129" w:name="ref-calleja_2017"/>
    <w:p>
      <w:pPr>
        <w:pStyle w:val="Bibliography"/>
      </w:pPr>
      <w:r>
        <w:t xml:space="preserve">Calleja, Felipe, Cristina Galván, Ana Silió-Calzada, José A. Juanes, and Bárbara Ondiviela. 2017.</w:t>
      </w:r>
      <w:r>
        <w:t xml:space="preserve"> </w:t>
      </w:r>
      <w:r>
        <w:t xml:space="preserve">“Long-Term Analysis of</w:t>
      </w:r>
      <w:r>
        <w:t xml:space="preserve"> </w:t>
      </w:r>
      <w:r>
        <w:t xml:space="preserve">Zostera</w:t>
      </w:r>
      <w:r>
        <w:t xml:space="preserve"> </w:t>
      </w:r>
      <w:r>
        <w:t xml:space="preserve">Noltei:</w:t>
      </w:r>
      <w:r>
        <w:t xml:space="preserve"> </w:t>
      </w:r>
      <w:r>
        <w:t xml:space="preserve">A</w:t>
      </w:r>
      <w:r>
        <w:t xml:space="preserve"> </w:t>
      </w:r>
      <w:r>
        <w:t xml:space="preserve">Retrospective Approach for Understanding Seagrasses’ Dynamics.”</w:t>
      </w:r>
      <w:r>
        <w:t xml:space="preserve"> </w:t>
      </w:r>
      <w:r>
        <w:rPr>
          <w:i/>
          <w:iCs/>
        </w:rPr>
        <w:t xml:space="preserve">Marine Environmental Research</w:t>
      </w:r>
      <w:r>
        <w:t xml:space="preserve"> </w:t>
      </w:r>
      <w:r>
        <w:t xml:space="preserve">130 (September): 93–105.</w:t>
      </w:r>
      <w:r>
        <w:t xml:space="preserve"> </w:t>
      </w:r>
      <w:hyperlink r:id="rId128">
        <w:r>
          <w:rPr>
            <w:rStyle w:val="Hyperlink"/>
          </w:rPr>
          <w:t xml:space="preserve">https://doi.org/10.1016/j.marenvres.2017.07.017</w:t>
        </w:r>
      </w:hyperlink>
      <w:r>
        <w:t xml:space="preserve">.</w:t>
      </w:r>
    </w:p>
    <w:bookmarkEnd w:id="129"/>
    <w:bookmarkStart w:id="131" w:name="ref-congalton_1991"/>
    <w:p>
      <w:pPr>
        <w:pStyle w:val="Bibliography"/>
      </w:pPr>
      <w:r>
        <w:t xml:space="preserve">Congalton, Russell G. 1991.</w:t>
      </w:r>
      <w:r>
        <w:t xml:space="preserve"> </w:t>
      </w:r>
      <w:r>
        <w:t xml:space="preserve">“A Review of Assessing the Accuracy of Classifications of Remotely Sensed Data.”</w:t>
      </w:r>
      <w:r>
        <w:t xml:space="preserve"> </w:t>
      </w:r>
      <w:r>
        <w:rPr>
          <w:i/>
          <w:iCs/>
        </w:rPr>
        <w:t xml:space="preserve">Remote Sensing of Environment</w:t>
      </w:r>
      <w:r>
        <w:t xml:space="preserve"> </w:t>
      </w:r>
      <w:r>
        <w:t xml:space="preserve">37 (1): 35–46.</w:t>
      </w:r>
      <w:r>
        <w:t xml:space="preserve"> </w:t>
      </w:r>
      <w:hyperlink r:id="rId130">
        <w:r>
          <w:rPr>
            <w:rStyle w:val="Hyperlink"/>
          </w:rPr>
          <w:t xml:space="preserve">https://doi.org/10.1016/0034-4257(91)90048-B</w:t>
        </w:r>
      </w:hyperlink>
      <w:r>
        <w:t xml:space="preserve">.</w:t>
      </w:r>
    </w:p>
    <w:bookmarkEnd w:id="131"/>
    <w:bookmarkStart w:id="133" w:name="ref-davies_multi_2023"/>
    <w:p>
      <w:pPr>
        <w:pStyle w:val="Bibliography"/>
      </w:pPr>
      <w:r>
        <w:t xml:space="preserve">Davies, Bede Ffinian Rowe, Pierre Gernez, Andréa Geraud, Simon Oiry, Philippe Rosa, Maria Laura Zoffoli, and Laurent Barillé. 2023.</w:t>
      </w:r>
      <w:r>
        <w:t xml:space="preserve"> </w:t>
      </w:r>
      <w:r>
        <w:t xml:space="preserve">“Multi- and Hyperspectral Classification of Soft-Bottom Intertidal Vegetation Using a Spectral Library for Coastal Biodiversity Remote Sensing.”</w:t>
      </w:r>
      <w:r>
        <w:t xml:space="preserve"> </w:t>
      </w:r>
      <w:r>
        <w:rPr>
          <w:i/>
          <w:iCs/>
        </w:rPr>
        <w:t xml:space="preserve">Remote Sensing of Environment</w:t>
      </w:r>
      <w:r>
        <w:t xml:space="preserve"> </w:t>
      </w:r>
      <w:r>
        <w:t xml:space="preserve">290 (May): 113554.</w:t>
      </w:r>
      <w:r>
        <w:t xml:space="preserve"> </w:t>
      </w:r>
      <w:hyperlink r:id="rId132">
        <w:r>
          <w:rPr>
            <w:rStyle w:val="Hyperlink"/>
          </w:rPr>
          <w:t xml:space="preserve">https://doi.org/10.1016/j.rse.2023.113554</w:t>
        </w:r>
      </w:hyperlink>
      <w:r>
        <w:t xml:space="preserve">.</w:t>
      </w:r>
    </w:p>
    <w:bookmarkEnd w:id="133"/>
    <w:bookmarkStart w:id="135" w:name="ref-davies_initial_2026"/>
    <w:p>
      <w:pPr>
        <w:pStyle w:val="Bibliography"/>
      </w:pPr>
      <w:r>
        <w:t xml:space="preserve">Davies, Bede Ffinian Rowe, Simon Oiry, Mar Roca, Philippe Rosa, Maria Laura Zoffoli, Dimitris Poursanidis, Tobias Dolch, et al. 2026.</w:t>
      </w:r>
      <w:r>
        <w:t xml:space="preserve"> </w:t>
      </w:r>
      <w:r>
        <w:t xml:space="preserve">“An Initial Map of</w:t>
      </w:r>
      <w:r>
        <w:t xml:space="preserve"> </w:t>
      </w:r>
      <w:r>
        <w:t xml:space="preserve">European</w:t>
      </w:r>
      <w:r>
        <w:t xml:space="preserve"> </w:t>
      </w:r>
      <w:r>
        <w:t xml:space="preserve">Intertidal Seagrass.”</w:t>
      </w:r>
      <w:r>
        <w:t xml:space="preserve"> </w:t>
      </w:r>
      <w:r>
        <w:rPr>
          <w:i/>
          <w:iCs/>
        </w:rPr>
        <w:t xml:space="preserve">Remote Sensing of Environment</w:t>
      </w:r>
      <w:r>
        <w:t xml:space="preserve"> </w:t>
      </w:r>
      <w:r>
        <w:t xml:space="preserve">333 (January): 115116.</w:t>
      </w:r>
      <w:r>
        <w:t xml:space="preserve"> </w:t>
      </w:r>
      <w:hyperlink r:id="rId134">
        <w:r>
          <w:rPr>
            <w:rStyle w:val="Hyperlink"/>
          </w:rPr>
          <w:t xml:space="preserve">https://doi.org/10.1016/j.rse.2025.115116</w:t>
        </w:r>
      </w:hyperlink>
      <w:r>
        <w:t xml:space="preserve">.</w:t>
      </w:r>
    </w:p>
    <w:bookmarkEnd w:id="135"/>
    <w:bookmarkStart w:id="137" w:name="ref-davies_sentinel_2024"/>
    <w:p>
      <w:pPr>
        <w:pStyle w:val="Bibliography"/>
      </w:pPr>
      <w:r>
        <w:t xml:space="preserve">Davies, Bede Ffinian Rowe, Simon Oiry, Philippe Rosa, Maria Laura Zoffoli, Ana I. Sousa, Oliver R. Thomas, Dan A. Smale, et al. 2024a.</w:t>
      </w:r>
      <w:r>
        <w:t xml:space="preserve"> </w:t>
      </w:r>
      <w:r>
        <w:t xml:space="preserve">“A Sentinel Watching over Inter-Tidal Seagrass Phenology Across</w:t>
      </w:r>
      <w:r>
        <w:t xml:space="preserve"> </w:t>
      </w:r>
      <w:r>
        <w:t xml:space="preserve">Western</w:t>
      </w:r>
      <w:r>
        <w:t xml:space="preserve"> </w:t>
      </w:r>
      <w:r>
        <w:t xml:space="preserve">Europe</w:t>
      </w:r>
      <w:r>
        <w:t xml:space="preserve"> </w:t>
      </w:r>
      <w:r>
        <w:t xml:space="preserve">and</w:t>
      </w:r>
      <w:r>
        <w:t xml:space="preserve"> </w:t>
      </w:r>
      <w:r>
        <w:t xml:space="preserve">North</w:t>
      </w:r>
      <w:r>
        <w:t xml:space="preserve"> </w:t>
      </w:r>
      <w:r>
        <w:t xml:space="preserve">Africa</w:t>
      </w:r>
      <w:r>
        <w:t xml:space="preserve">.”</w:t>
      </w:r>
      <w:r>
        <w:t xml:space="preserve"> </w:t>
      </w:r>
      <w:r>
        <w:rPr>
          <w:i/>
          <w:iCs/>
        </w:rPr>
        <w:t xml:space="preserve">Communications Earth &amp; Environment</w:t>
      </w:r>
      <w:r>
        <w:t xml:space="preserve"> </w:t>
      </w:r>
      <w:r>
        <w:t xml:space="preserve">5 (1): 382.</w:t>
      </w:r>
      <w:r>
        <w:t xml:space="preserve"> </w:t>
      </w:r>
      <w:hyperlink r:id="rId136">
        <w:r>
          <w:rPr>
            <w:rStyle w:val="Hyperlink"/>
          </w:rPr>
          <w:t xml:space="preserve">https://doi.org/10.1038/s43247-024-01543-z</w:t>
        </w:r>
      </w:hyperlink>
      <w:r>
        <w:t xml:space="preserve">.</w:t>
      </w:r>
    </w:p>
    <w:bookmarkEnd w:id="137"/>
    <w:bookmarkStart w:id="139" w:name="ref-davies_intertidal_2024"/>
    <w:p>
      <w:pPr>
        <w:pStyle w:val="Bibliography"/>
      </w:pPr>
      <w:r>
        <w:t xml:space="preserve">———, et al. 2024b.</w:t>
      </w:r>
      <w:r>
        <w:t xml:space="preserve"> </w:t>
      </w:r>
      <w:r>
        <w:t xml:space="preserve">“Intertidal Seagrass Extent from</w:t>
      </w:r>
      <w:r>
        <w:t xml:space="preserve"> </w:t>
      </w:r>
      <w:r>
        <w:t xml:space="preserve">Sentinel</w:t>
      </w:r>
      <w:r>
        <w:t xml:space="preserve">-2 Time-Series Show Distinct Trajectories in</w:t>
      </w:r>
      <w:r>
        <w:t xml:space="preserve"> </w:t>
      </w:r>
      <w:r>
        <w:t xml:space="preserve">Western</w:t>
      </w:r>
      <w:r>
        <w:t xml:space="preserve"> </w:t>
      </w:r>
      <w:r>
        <w:t xml:space="preserve">Europe</w:t>
      </w:r>
      <w:r>
        <w:t xml:space="preserve">.”</w:t>
      </w:r>
      <w:r>
        <w:t xml:space="preserve"> </w:t>
      </w:r>
      <w:r>
        <w:rPr>
          <w:i/>
          <w:iCs/>
        </w:rPr>
        <w:t xml:space="preserve">Remote Sensing of Environment</w:t>
      </w:r>
      <w:r>
        <w:t xml:space="preserve"> </w:t>
      </w:r>
      <w:r>
        <w:t xml:space="preserve">312 (October): 114340.</w:t>
      </w:r>
      <w:r>
        <w:t xml:space="preserve"> </w:t>
      </w:r>
      <w:hyperlink r:id="rId138">
        <w:r>
          <w:rPr>
            <w:rStyle w:val="Hyperlink"/>
          </w:rPr>
          <w:t xml:space="preserve">https://doi.org/10.1016/j.rse.2024.114340</w:t>
        </w:r>
      </w:hyperlink>
      <w:r>
        <w:t xml:space="preserve">.</w:t>
      </w:r>
    </w:p>
    <w:bookmarkEnd w:id="139"/>
    <w:bookmarkStart w:id="141" w:name="ref-foody_status_2002"/>
    <w:p>
      <w:pPr>
        <w:pStyle w:val="Bibliography"/>
      </w:pPr>
      <w:r>
        <w:t xml:space="preserve">Foody, Giles M. 2002.</w:t>
      </w:r>
      <w:r>
        <w:t xml:space="preserve"> </w:t>
      </w:r>
      <w:r>
        <w:t xml:space="preserve">“Status of Land Cover Classification Accuracy Assessment.”</w:t>
      </w:r>
      <w:r>
        <w:t xml:space="preserve"> </w:t>
      </w:r>
      <w:r>
        <w:rPr>
          <w:i/>
          <w:iCs/>
        </w:rPr>
        <w:t xml:space="preserve">Remote Sensing of Environment</w:t>
      </w:r>
      <w:r>
        <w:t xml:space="preserve"> </w:t>
      </w:r>
      <w:r>
        <w:t xml:space="preserve">80 (1): 185–201.</w:t>
      </w:r>
      <w:r>
        <w:t xml:space="preserve"> </w:t>
      </w:r>
      <w:hyperlink r:id="rId140">
        <w:r>
          <w:rPr>
            <w:rStyle w:val="Hyperlink"/>
          </w:rPr>
          <w:t xml:space="preserve">https://doi.org/10.1016/S0034-4257(01)00295-4</w:t>
        </w:r>
      </w:hyperlink>
      <w:r>
        <w:t xml:space="preserve">.</w:t>
      </w:r>
    </w:p>
    <w:bookmarkEnd w:id="141"/>
    <w:bookmarkStart w:id="143" w:name="ref-fornes_mapping_2006"/>
    <w:p>
      <w:pPr>
        <w:pStyle w:val="Bibliography"/>
      </w:pPr>
      <w:r>
        <w:t xml:space="preserve">Fornes, A., G. Basterretxea, A. Orfila, A. Jordi, A. Alvarez, and J. Tintore. 2006.</w:t>
      </w:r>
      <w:r>
        <w:t xml:space="preserve"> </w:t>
      </w:r>
      <w:r>
        <w:t xml:space="preserve">“Mapping</w:t>
      </w:r>
      <w:r>
        <w:t xml:space="preserve"> </w:t>
      </w:r>
      <w:r>
        <w:t xml:space="preserve">Posidonia</w:t>
      </w:r>
      <w:r>
        <w:t xml:space="preserve"> </w:t>
      </w:r>
      <w:r>
        <w:t xml:space="preserve">Oceanica from</w:t>
      </w:r>
      <w:r>
        <w:t xml:space="preserve"> </w:t>
      </w:r>
      <w:r>
        <w:t xml:space="preserve">IKONOS</w:t>
      </w:r>
      <w:r>
        <w:t xml:space="preserve">.”</w:t>
      </w:r>
      <w:r>
        <w:t xml:space="preserve"> </w:t>
      </w:r>
      <w:r>
        <w:rPr>
          <w:i/>
          <w:iCs/>
        </w:rPr>
        <w:t xml:space="preserve">ISPRS Journal of Photogrammetry and Remote Sensing</w:t>
      </w:r>
      <w:r>
        <w:t xml:space="preserve"> </w:t>
      </w:r>
      <w:r>
        <w:t xml:space="preserve">60 (5): 315–22.</w:t>
      </w:r>
      <w:r>
        <w:t xml:space="preserve"> </w:t>
      </w:r>
      <w:hyperlink r:id="rId142">
        <w:r>
          <w:rPr>
            <w:rStyle w:val="Hyperlink"/>
          </w:rPr>
          <w:t xml:space="preserve">https://doi.org/10.1016/j.isprsjprs.2006.04.002</w:t>
        </w:r>
      </w:hyperlink>
      <w:r>
        <w:t xml:space="preserve">.</w:t>
      </w:r>
    </w:p>
    <w:bookmarkEnd w:id="143"/>
    <w:bookmarkStart w:id="145" w:name="ref-kilminster_2015"/>
    <w:p>
      <w:pPr>
        <w:pStyle w:val="Bibliography"/>
      </w:pPr>
      <w:r>
        <w:t xml:space="preserve">Kilminster, Kieryn, Kathryn McMahon, Michelle Waycott, Gary A. Kendrick, Peter Scanes, Len McKenzie, Katherine R. O’Brien, et al. 2015.</w:t>
      </w:r>
      <w:r>
        <w:t xml:space="preserve"> </w:t>
      </w:r>
      <w:r>
        <w:t xml:space="preserve">“Unravelling Complexity in Seagrass Systems for Management:</w:t>
      </w:r>
      <w:r>
        <w:t xml:space="preserve"> </w:t>
      </w:r>
      <w:r>
        <w:t xml:space="preserve">Australia</w:t>
      </w:r>
      <w:r>
        <w:t xml:space="preserve"> </w:t>
      </w:r>
      <w:r>
        <w:t xml:space="preserve">as a Microcosm.”</w:t>
      </w:r>
      <w:r>
        <w:t xml:space="preserve"> </w:t>
      </w:r>
      <w:r>
        <w:rPr>
          <w:i/>
          <w:iCs/>
        </w:rPr>
        <w:t xml:space="preserve">Science of The Total Environment</w:t>
      </w:r>
      <w:r>
        <w:t xml:space="preserve"> </w:t>
      </w:r>
      <w:r>
        <w:t xml:space="preserve">534 (November): 97–109.</w:t>
      </w:r>
      <w:r>
        <w:t xml:space="preserve"> </w:t>
      </w:r>
      <w:hyperlink r:id="rId144">
        <w:r>
          <w:rPr>
            <w:rStyle w:val="Hyperlink"/>
          </w:rPr>
          <w:t xml:space="preserve">https://doi.org/10.1016/j.scitotenv.2015.04.061</w:t>
        </w:r>
      </w:hyperlink>
      <w:r>
        <w:t xml:space="preserve">.</w:t>
      </w:r>
    </w:p>
    <w:bookmarkEnd w:id="145"/>
    <w:bookmarkStart w:id="147" w:name="ref-mcroberts_2011"/>
    <w:p>
      <w:pPr>
        <w:pStyle w:val="Bibliography"/>
      </w:pPr>
      <w:r>
        <w:t xml:space="preserve">McRoberts, Ronald E. 2011.</w:t>
      </w:r>
      <w:r>
        <w:t xml:space="preserve"> </w:t>
      </w:r>
      <w:r>
        <w:t xml:space="preserve">“Satellite Image-Based Maps:</w:t>
      </w:r>
      <w:r>
        <w:t xml:space="preserve"> </w:t>
      </w:r>
      <w:r>
        <w:t xml:space="preserve">Scientific</w:t>
      </w:r>
      <w:r>
        <w:t xml:space="preserve"> </w:t>
      </w:r>
      <w:r>
        <w:t xml:space="preserve">Inference or Pretty Pictures?”</w:t>
      </w:r>
      <w:r>
        <w:t xml:space="preserve"> </w:t>
      </w:r>
      <w:r>
        <w:rPr>
          <w:i/>
          <w:iCs/>
        </w:rPr>
        <w:t xml:space="preserve">Remote Sensing of Environment</w:t>
      </w:r>
      <w:r>
        <w:t xml:space="preserve"> </w:t>
      </w:r>
      <w:r>
        <w:t xml:space="preserve">115 (2): 715–24.</w:t>
      </w:r>
      <w:r>
        <w:t xml:space="preserve"> </w:t>
      </w:r>
      <w:hyperlink r:id="rId146">
        <w:r>
          <w:rPr>
            <w:rStyle w:val="Hyperlink"/>
          </w:rPr>
          <w:t xml:space="preserve">https://doi.org/10.1016/j.rse.2010.10.013</w:t>
        </w:r>
      </w:hyperlink>
      <w:r>
        <w:t xml:space="preserve">.</w:t>
      </w:r>
    </w:p>
    <w:bookmarkEnd w:id="147"/>
    <w:bookmarkStart w:id="149" w:name="ref-oiry_discriminating_2024"/>
    <w:p>
      <w:pPr>
        <w:pStyle w:val="Bibliography"/>
      </w:pPr>
      <w:r>
        <w:t xml:space="preserve">Oiry, Simon, Bede Ffinian Rowe Davies, Ana I. Sousa, Philippe Rosa, Maria Laura Zoffoli, Guillaume Brunier, Pierre Gernez, and Laurent Barillé. 2024.</w:t>
      </w:r>
      <w:r>
        <w:t xml:space="preserve"> </w:t>
      </w:r>
      <w:r>
        <w:t xml:space="preserve">“Discriminating</w:t>
      </w:r>
      <w:r>
        <w:t xml:space="preserve"> </w:t>
      </w:r>
      <w:r>
        <w:t xml:space="preserve">Seagrasses</w:t>
      </w:r>
      <w:r>
        <w:t xml:space="preserve"> </w:t>
      </w:r>
      <w:r>
        <w:t xml:space="preserve">from</w:t>
      </w:r>
      <w:r>
        <w:t xml:space="preserve"> </w:t>
      </w:r>
      <w:r>
        <w:t xml:space="preserve">Green</w:t>
      </w:r>
      <w:r>
        <w:t xml:space="preserve"> </w:t>
      </w:r>
      <w:r>
        <w:t xml:space="preserve">Macroalgae</w:t>
      </w:r>
      <w:r>
        <w:t xml:space="preserve"> </w:t>
      </w:r>
      <w:r>
        <w:t xml:space="preserve">in</w:t>
      </w:r>
      <w:r>
        <w:t xml:space="preserve"> </w:t>
      </w:r>
      <w:r>
        <w:t xml:space="preserve">European</w:t>
      </w:r>
      <w:r>
        <w:t xml:space="preserve"> </w:t>
      </w:r>
      <w:r>
        <w:t xml:space="preserve">Intertidal</w:t>
      </w:r>
      <w:r>
        <w:t xml:space="preserve"> </w:t>
      </w:r>
      <w:r>
        <w:t xml:space="preserve">Areas</w:t>
      </w:r>
      <w:r>
        <w:t xml:space="preserve"> </w:t>
      </w:r>
      <w:r>
        <w:t xml:space="preserve">Using</w:t>
      </w:r>
      <w:r>
        <w:t xml:space="preserve"> </w:t>
      </w:r>
      <w:r>
        <w:t xml:space="preserve">High</w:t>
      </w:r>
      <w:r>
        <w:t xml:space="preserve">-</w:t>
      </w:r>
      <w:r>
        <w:t xml:space="preserve">Resolution</w:t>
      </w:r>
      <w:r>
        <w:t xml:space="preserve"> </w:t>
      </w:r>
      <w:r>
        <w:t xml:space="preserve">Multispectral</w:t>
      </w:r>
      <w:r>
        <w:t xml:space="preserve"> </w:t>
      </w:r>
      <w:r>
        <w:t xml:space="preserve">Drone</w:t>
      </w:r>
      <w:r>
        <w:t xml:space="preserve"> </w:t>
      </w:r>
      <w:r>
        <w:t xml:space="preserve">Imagery</w:t>
      </w:r>
      <w:r>
        <w:t xml:space="preserve">.”</w:t>
      </w:r>
      <w:r>
        <w:t xml:space="preserve"> </w:t>
      </w:r>
      <w:r>
        <w:rPr>
          <w:i/>
          <w:iCs/>
        </w:rPr>
        <w:t xml:space="preserve">Remote Sensing</w:t>
      </w:r>
      <w:r>
        <w:t xml:space="preserve"> </w:t>
      </w:r>
      <w:r>
        <w:t xml:space="preserve">16 (23): 4383.</w:t>
      </w:r>
      <w:r>
        <w:t xml:space="preserve"> </w:t>
      </w:r>
      <w:hyperlink r:id="rId148">
        <w:r>
          <w:rPr>
            <w:rStyle w:val="Hyperlink"/>
          </w:rPr>
          <w:t xml:space="preserve">https://doi.org/10.3390/rs16234383</w:t>
        </w:r>
      </w:hyperlink>
      <w:r>
        <w:t xml:space="preserve">.</w:t>
      </w:r>
    </w:p>
    <w:bookmarkEnd w:id="149"/>
    <w:bookmarkStart w:id="151" w:name="ref-olofsson_good_2014"/>
    <w:p>
      <w:pPr>
        <w:pStyle w:val="Bibliography"/>
      </w:pPr>
      <w:r>
        <w:t xml:space="preserve">Olofsson, Pontus, Giles M. Foody, Martin Herold, Stephen V. Stehman, Curtis E. Woodcock, and Michael A. Wulder. 2014.</w:t>
      </w:r>
      <w:r>
        <w:t xml:space="preserve"> </w:t>
      </w:r>
      <w:r>
        <w:t xml:space="preserve">“Good Practices for Estimating Area and Assessing Accuracy of Land Change.”</w:t>
      </w:r>
      <w:r>
        <w:t xml:space="preserve"> </w:t>
      </w:r>
      <w:r>
        <w:rPr>
          <w:i/>
          <w:iCs/>
        </w:rPr>
        <w:t xml:space="preserve">Remote Sensing of Environment</w:t>
      </w:r>
      <w:r>
        <w:t xml:space="preserve"> </w:t>
      </w:r>
      <w:r>
        <w:t xml:space="preserve">148 (May): 42–57.</w:t>
      </w:r>
      <w:r>
        <w:t xml:space="preserve"> </w:t>
      </w:r>
      <w:hyperlink r:id="rId150">
        <w:r>
          <w:rPr>
            <w:rStyle w:val="Hyperlink"/>
          </w:rPr>
          <w:t xml:space="preserve">https://doi.org/10.1016/j.rse.2014.02.015</w:t>
        </w:r>
      </w:hyperlink>
      <w:r>
        <w:t xml:space="preserve">.</w:t>
      </w:r>
    </w:p>
    <w:bookmarkEnd w:id="151"/>
    <w:bookmarkStart w:id="153" w:name="ref-poursanidis_use_2019"/>
    <w:p>
      <w:pPr>
        <w:pStyle w:val="Bibliography"/>
      </w:pPr>
      <w:r>
        <w:t xml:space="preserve">Poursanidis, Dimitris, Dimosthenis Traganos, Peter Reinartz, and Nektarios Chrysoulakis. 2019.</w:t>
      </w:r>
      <w:r>
        <w:t xml:space="preserve"> </w:t>
      </w:r>
      <w:r>
        <w:t xml:space="preserve">“On the Use of</w:t>
      </w:r>
      <w:r>
        <w:t xml:space="preserve"> </w:t>
      </w:r>
      <w:r>
        <w:t xml:space="preserve">Sentinel</w:t>
      </w:r>
      <w:r>
        <w:t xml:space="preserve">-2 for Coastal Habitat Mapping and Satellite-Derived Bathymetry Estimation Using Downscaled Coastal Aerosol Band.”</w:t>
      </w:r>
      <w:r>
        <w:t xml:space="preserve"> </w:t>
      </w:r>
      <w:r>
        <w:rPr>
          <w:i/>
          <w:iCs/>
        </w:rPr>
        <w:t xml:space="preserve">International Journal of Applied Earth Observation and Geoinformation</w:t>
      </w:r>
      <w:r>
        <w:t xml:space="preserve"> </w:t>
      </w:r>
      <w:r>
        <w:t xml:space="preserve">80 (August): 58–70.</w:t>
      </w:r>
      <w:r>
        <w:t xml:space="preserve"> </w:t>
      </w:r>
      <w:hyperlink r:id="rId152">
        <w:r>
          <w:rPr>
            <w:rStyle w:val="Hyperlink"/>
          </w:rPr>
          <w:t xml:space="preserve">https://doi.org/10.1016/j.jag.2019.03.012</w:t>
        </w:r>
      </w:hyperlink>
      <w:r>
        <w:t xml:space="preserve">.</w:t>
      </w:r>
    </w:p>
    <w:bookmarkEnd w:id="153"/>
    <w:bookmarkStart w:id="155" w:name="ref-traganos_spatially_2022"/>
    <w:p>
      <w:pPr>
        <w:pStyle w:val="Bibliography"/>
      </w:pPr>
      <w:r>
        <w:t xml:space="preserve">Traganos, Dimosthenis, Chengfa Benjamin Lee, Alina Blume, Dimitris Poursanidis, Hrvoje Čižmek, Julie Deter, Vesna Mačić, et al. 2022.</w:t>
      </w:r>
      <w:r>
        <w:t xml:space="preserve"> </w:t>
      </w:r>
      <w:r>
        <w:t xml:space="preserve">“Spatially</w:t>
      </w:r>
      <w:r>
        <w:t xml:space="preserve"> </w:t>
      </w:r>
      <w:r>
        <w:t xml:space="preserve">Explicit</w:t>
      </w:r>
      <w:r>
        <w:t xml:space="preserve"> </w:t>
      </w:r>
      <w:r>
        <w:t xml:space="preserve">Seagrass</w:t>
      </w:r>
      <w:r>
        <w:t xml:space="preserve"> </w:t>
      </w:r>
      <w:r>
        <w:t xml:space="preserve">Extent</w:t>
      </w:r>
      <w:r>
        <w:t xml:space="preserve"> </w:t>
      </w:r>
      <w:r>
        <w:t xml:space="preserve">Mapping</w:t>
      </w:r>
      <w:r>
        <w:t xml:space="preserve"> </w:t>
      </w:r>
      <w:r>
        <w:t xml:space="preserve">Across</w:t>
      </w:r>
      <w:r>
        <w:t xml:space="preserve"> </w:t>
      </w:r>
      <w:r>
        <w:t xml:space="preserve">the</w:t>
      </w:r>
      <w:r>
        <w:t xml:space="preserve"> </w:t>
      </w:r>
      <w:r>
        <w:t xml:space="preserve">Entire</w:t>
      </w:r>
      <w:r>
        <w:t xml:space="preserve"> </w:t>
      </w:r>
      <w:r>
        <w:t xml:space="preserve">Mediterranean</w:t>
      </w:r>
      <w:r>
        <w:t xml:space="preserve">.”</w:t>
      </w:r>
      <w:r>
        <w:t xml:space="preserve"> </w:t>
      </w:r>
      <w:r>
        <w:rPr>
          <w:i/>
          <w:iCs/>
        </w:rPr>
        <w:t xml:space="preserve">Frontiers in Marine Science</w:t>
      </w:r>
      <w:r>
        <w:t xml:space="preserve"> </w:t>
      </w:r>
      <w:r>
        <w:t xml:space="preserve">9 (July): 871799.</w:t>
      </w:r>
      <w:r>
        <w:t xml:space="preserve"> </w:t>
      </w:r>
      <w:hyperlink r:id="rId154">
        <w:r>
          <w:rPr>
            <w:rStyle w:val="Hyperlink"/>
          </w:rPr>
          <w:t xml:space="preserve">https://doi.org/10.3389/fmars.2022.871799</w:t>
        </w:r>
      </w:hyperlink>
      <w:r>
        <w:t xml:space="preserve">.</w:t>
      </w:r>
    </w:p>
    <w:bookmarkEnd w:id="155"/>
    <w:bookmarkStart w:id="157" w:name="ref-traganos_mapping_2018"/>
    <w:p>
      <w:pPr>
        <w:pStyle w:val="Bibliography"/>
      </w:pPr>
      <w:r>
        <w:t xml:space="preserve">Traganos, Dimosthenis, and Peter Reinartz. 2018.</w:t>
      </w:r>
      <w:r>
        <w:t xml:space="preserve"> </w:t>
      </w:r>
      <w:r>
        <w:t xml:space="preserve">“Mapping</w:t>
      </w:r>
      <w:r>
        <w:t xml:space="preserve"> </w:t>
      </w:r>
      <w:r>
        <w:t xml:space="preserve">Mediterranean</w:t>
      </w:r>
      <w:r>
        <w:t xml:space="preserve"> </w:t>
      </w:r>
      <w:r>
        <w:t xml:space="preserve">Seagrasses with</w:t>
      </w:r>
      <w:r>
        <w:t xml:space="preserve"> </w:t>
      </w:r>
      <w:r>
        <w:t xml:space="preserve">Sentinel</w:t>
      </w:r>
      <w:r>
        <w:t xml:space="preserve">-2 Imagery.”</w:t>
      </w:r>
      <w:r>
        <w:t xml:space="preserve"> </w:t>
      </w:r>
      <w:r>
        <w:rPr>
          <w:i/>
          <w:iCs/>
        </w:rPr>
        <w:t xml:space="preserve">Marine Pollution Bulletin</w:t>
      </w:r>
      <w:r>
        <w:t xml:space="preserve"> </w:t>
      </w:r>
      <w:r>
        <w:t xml:space="preserve">134 (September): 197–209.</w:t>
      </w:r>
      <w:r>
        <w:t xml:space="preserve"> </w:t>
      </w:r>
      <w:hyperlink r:id="rId156">
        <w:r>
          <w:rPr>
            <w:rStyle w:val="Hyperlink"/>
          </w:rPr>
          <w:t xml:space="preserve">https://doi.org/10.1016/j.marpolbul.2017.06.075</w:t>
        </w:r>
      </w:hyperlink>
      <w:r>
        <w:t xml:space="preserve">.</w:t>
      </w:r>
    </w:p>
    <w:bookmarkEnd w:id="157"/>
    <w:bookmarkStart w:id="159" w:name="ref-zoffoli_decadal_2021"/>
    <w:p>
      <w:pPr>
        <w:pStyle w:val="Bibliography"/>
      </w:pPr>
      <w:r>
        <w:t xml:space="preserve">Zoffoli, Maria Laura, Pierre Gernez, Laurent Godet, Steef Peters, Simon Oiry, and Laurent Barillé. 2021.</w:t>
      </w:r>
      <w:r>
        <w:t xml:space="preserve"> </w:t>
      </w:r>
      <w:r>
        <w:t xml:space="preserve">“Decadal Increase in the Ecological Status of a</w:t>
      </w:r>
      <w:r>
        <w:t xml:space="preserve"> </w:t>
      </w:r>
      <w:r>
        <w:t xml:space="preserve">North</w:t>
      </w:r>
      <w:r>
        <w:t xml:space="preserve">-</w:t>
      </w:r>
      <w:r>
        <w:t xml:space="preserve">Atlantic</w:t>
      </w:r>
      <w:r>
        <w:t xml:space="preserve"> </w:t>
      </w:r>
      <w:r>
        <w:t xml:space="preserve">Intertidal Seagrass Meadow Observed with Multi-Mission Satellite Time-Series.”</w:t>
      </w:r>
      <w:r>
        <w:t xml:space="preserve"> </w:t>
      </w:r>
      <w:r>
        <w:rPr>
          <w:i/>
          <w:iCs/>
        </w:rPr>
        <w:t xml:space="preserve">Ecological Indicators</w:t>
      </w:r>
      <w:r>
        <w:t xml:space="preserve"> </w:t>
      </w:r>
      <w:r>
        <w:t xml:space="preserve">130 (November): 108033.</w:t>
      </w:r>
      <w:r>
        <w:t xml:space="preserve"> </w:t>
      </w:r>
      <w:hyperlink r:id="rId158">
        <w:r>
          <w:rPr>
            <w:rStyle w:val="Hyperlink"/>
          </w:rPr>
          <w:t xml:space="preserve">https://doi.org/10.1016/j.ecolind.2021.108033</w:t>
        </w:r>
      </w:hyperlink>
      <w:r>
        <w:t xml:space="preserve">.</w:t>
      </w:r>
    </w:p>
    <w:bookmarkEnd w:id="159"/>
    <w:bookmarkStart w:id="161" w:name="ref-zoffoli_remote_2022"/>
    <w:p>
      <w:pPr>
        <w:pStyle w:val="Bibliography"/>
      </w:pPr>
      <w:r>
        <w:t xml:space="preserve">Zoffoli, Maria Laura, Pierre Gernez, Simon Oiry, Laurent Godet, Sébastien Dalloyau, Bede Ffinian Rowe Davies, and Laurent Barillé. 2022.</w:t>
      </w:r>
      <w:r>
        <w:t xml:space="preserve"> </w:t>
      </w:r>
      <w:r>
        <w:t xml:space="preserve">“Remote Sensing in Seagrass Ecology: Coupled Dynamics Between Migratory Herbivorous Birds and Intertidal Meadows Observed by Satellite During Four Decades.”</w:t>
      </w:r>
      <w:r>
        <w:t xml:space="preserve"> </w:t>
      </w:r>
      <w:r>
        <w:t xml:space="preserve">Edited by Kylie Scales and Alice Jones.</w:t>
      </w:r>
      <w:r>
        <w:t xml:space="preserve"> </w:t>
      </w:r>
      <w:r>
        <w:rPr>
          <w:i/>
          <w:iCs/>
        </w:rPr>
        <w:t xml:space="preserve">Remote Sensing in Ecology and Conservation</w:t>
      </w:r>
      <w:r>
        <w:t xml:space="preserve">, December, rse2.319.</w:t>
      </w:r>
      <w:r>
        <w:t xml:space="preserve"> </w:t>
      </w:r>
      <w:hyperlink r:id="rId160">
        <w:r>
          <w:rPr>
            <w:rStyle w:val="Hyperlink"/>
          </w:rPr>
          <w:t xml:space="preserve">https://doi.org/10.1002/rse2.319</w:t>
        </w:r>
      </w:hyperlink>
      <w:r>
        <w:t xml:space="preserve">.</w:t>
      </w:r>
    </w:p>
    <w:bookmarkEnd w:id="161"/>
    <w:bookmarkStart w:id="163" w:name="ref-zoffoli_sentinel-2_2020"/>
    <w:p>
      <w:pPr>
        <w:pStyle w:val="Bibliography"/>
      </w:pPr>
      <w:r>
        <w:t xml:space="preserve">Zoffoli, Maria Laura, Pierre Gernez, Philippe Rosa, Anthony Le Bris, Vittorio E. Brando, Anne-Laure Barillé, Nicolas Harin, et al. 2020.</w:t>
      </w:r>
      <w:r>
        <w:t xml:space="preserve"> </w:t>
      </w:r>
      <w:r>
        <w:t xml:space="preserve">“Sentinel-2 Remote Sensing of</w:t>
      </w:r>
      <w:r>
        <w:t xml:space="preserve"> </w:t>
      </w:r>
      <w:r>
        <w:t xml:space="preserve">Zostera</w:t>
      </w:r>
      <w:r>
        <w:t xml:space="preserve"> </w:t>
      </w:r>
      <w:r>
        <w:t xml:space="preserve">Noltei-Dominated Intertidal Seagrass Meadows.”</w:t>
      </w:r>
      <w:r>
        <w:t xml:space="preserve"> </w:t>
      </w:r>
      <w:r>
        <w:rPr>
          <w:i/>
          <w:iCs/>
        </w:rPr>
        <w:t xml:space="preserve">Remote Sensing of Environment</w:t>
      </w:r>
      <w:r>
        <w:t xml:space="preserve"> </w:t>
      </w:r>
      <w:r>
        <w:t xml:space="preserve">251 (December): 112020.</w:t>
      </w:r>
      <w:r>
        <w:t xml:space="preserve"> </w:t>
      </w:r>
      <w:hyperlink r:id="rId162">
        <w:r>
          <w:rPr>
            <w:rStyle w:val="Hyperlink"/>
          </w:rPr>
          <w:t xml:space="preserve">https://doi.org/10.1016/j.rse.2020.112020</w:t>
        </w:r>
      </w:hyperlink>
      <w:r>
        <w:t xml:space="preserve">.</w:t>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74" Target="media/rId74.png" /><Relationship Type="http://schemas.openxmlformats.org/officeDocument/2006/relationships/image" Id="rId71" Target="media/rId71.png" /><Relationship Type="http://schemas.openxmlformats.org/officeDocument/2006/relationships/image" Id="rId80" Target="media/rId80.jpg" /><Relationship Type="http://schemas.openxmlformats.org/officeDocument/2006/relationships/image" Id="rId20" Target="media/rId20.png" /><Relationship Type="http://schemas.openxmlformats.org/officeDocument/2006/relationships/image" Id="rId100" Target="media/rId100.png" /><Relationship Type="http://schemas.openxmlformats.org/officeDocument/2006/relationships/hyperlink" Id="rId116" Target="https://aetcc2026.es" TargetMode="External" /><Relationship Type="http://schemas.openxmlformats.org/officeDocument/2006/relationships/hyperlink" Id="rId31" Target="https://coastal-ai.github.io/GEAM_GEODATABASE/" TargetMode="External" /><Relationship Type="http://schemas.openxmlformats.org/officeDocument/2006/relationships/hyperlink" Id="rId84" Target="https://dehesa.unex.es/entities/publication/a5f999ee-1419-41e2-ab14-e992a742bacd" TargetMode="External" /><Relationship Type="http://schemas.openxmlformats.org/officeDocument/2006/relationships/hyperlink" Id="rId160" Target="https://doi.org/10.1002/rse2.319" TargetMode="External" /><Relationship Type="http://schemas.openxmlformats.org/officeDocument/2006/relationships/hyperlink" Id="rId130" Target="https://doi.org/10.1016/0034-4257(91)90048-B" TargetMode="External" /><Relationship Type="http://schemas.openxmlformats.org/officeDocument/2006/relationships/hyperlink" Id="rId140" Target="https://doi.org/10.1016/S0034-4257(01)00295-4" TargetMode="External" /><Relationship Type="http://schemas.openxmlformats.org/officeDocument/2006/relationships/hyperlink" Id="rId158" Target="https://doi.org/10.1016/j.ecolind.2021.108033" TargetMode="External" /><Relationship Type="http://schemas.openxmlformats.org/officeDocument/2006/relationships/hyperlink" Id="rId142" Target="https://doi.org/10.1016/j.isprsjprs.2006.04.002" TargetMode="External" /><Relationship Type="http://schemas.openxmlformats.org/officeDocument/2006/relationships/hyperlink" Id="rId152" Target="https://doi.org/10.1016/j.jag.2019.03.012" TargetMode="External" /><Relationship Type="http://schemas.openxmlformats.org/officeDocument/2006/relationships/hyperlink" Id="rId128" Target="https://doi.org/10.1016/j.marenvres.2017.07.017" TargetMode="External" /><Relationship Type="http://schemas.openxmlformats.org/officeDocument/2006/relationships/hyperlink" Id="rId156" Target="https://doi.org/10.1016/j.marpolbul.2017.06.075" TargetMode="External" /><Relationship Type="http://schemas.openxmlformats.org/officeDocument/2006/relationships/hyperlink" Id="rId126" Target="https://doi.org/10.1016/j.rse.2008.12.003" TargetMode="External" /><Relationship Type="http://schemas.openxmlformats.org/officeDocument/2006/relationships/hyperlink" Id="rId146" Target="https://doi.org/10.1016/j.rse.2010.10.013" TargetMode="External" /><Relationship Type="http://schemas.openxmlformats.org/officeDocument/2006/relationships/hyperlink" Id="rId150" Target="https://doi.org/10.1016/j.rse.2014.02.015" TargetMode="External" /><Relationship Type="http://schemas.openxmlformats.org/officeDocument/2006/relationships/hyperlink" Id="rId162" Target="https://doi.org/10.1016/j.rse.2020.112020" TargetMode="External" /><Relationship Type="http://schemas.openxmlformats.org/officeDocument/2006/relationships/hyperlink" Id="rId132" Target="https://doi.org/10.1016/j.rse.2023.113554" TargetMode="External" /><Relationship Type="http://schemas.openxmlformats.org/officeDocument/2006/relationships/hyperlink" Id="rId138" Target="https://doi.org/10.1016/j.rse.2024.114340" TargetMode="External" /><Relationship Type="http://schemas.openxmlformats.org/officeDocument/2006/relationships/hyperlink" Id="rId134" Target="https://doi.org/10.1016/j.rse.2025.115116" TargetMode="External" /><Relationship Type="http://schemas.openxmlformats.org/officeDocument/2006/relationships/hyperlink" Id="rId144" Target="https://doi.org/10.1016/j.scitotenv.2015.04.061" TargetMode="External" /><Relationship Type="http://schemas.openxmlformats.org/officeDocument/2006/relationships/hyperlink" Id="rId136" Target="https://doi.org/10.1038/s43247-024-01543-z" TargetMode="External" /><Relationship Type="http://schemas.openxmlformats.org/officeDocument/2006/relationships/hyperlink" Id="rId154" Target="https://doi.org/10.3389/fmars.2022.871799" TargetMode="External" /><Relationship Type="http://schemas.openxmlformats.org/officeDocument/2006/relationships/hyperlink" Id="rId148" Target="https://doi.org/10.3390/rs16234383" TargetMode="External" /><Relationship Type="http://schemas.openxmlformats.org/officeDocument/2006/relationships/hyperlink" Id="rId79" Target="https://environment.ec.europa.eu/strategy/biodiversity-strategy-2030_en" TargetMode="External" /><Relationship Type="http://schemas.openxmlformats.org/officeDocument/2006/relationships/hyperlink" Id="rId77" Target="https://fer-at-sea.github.io/phd_research_plan/" TargetMode="External" /><Relationship Type="http://schemas.openxmlformats.org/officeDocument/2006/relationships/hyperlink" Id="rId58" Target="https://iea.udg.edu/grmar2022/" TargetMode="External" /><Relationship Type="http://schemas.openxmlformats.org/officeDocument/2006/relationships/hyperlink" Id="rId112" Target="https://ioccg.org/what-we-do/training-and-education/ioccg-sls/" TargetMode="External" /><Relationship Type="http://schemas.openxmlformats.org/officeDocument/2006/relationships/hyperlink" Id="rId120" Target="https://itrs-home.org" TargetMode="External" /><Relationship Type="http://schemas.openxmlformats.org/officeDocument/2006/relationships/hyperlink" Id="rId40" Target="https://orcid.org/0000-0002-3815-625X" TargetMode="External" /><Relationship Type="http://schemas.openxmlformats.org/officeDocument/2006/relationships/hyperlink" Id="rId47" Target="https://orcid.org/0000-0002-9250-0920" TargetMode="External" /><Relationship Type="http://schemas.openxmlformats.org/officeDocument/2006/relationships/hyperlink" Id="rId34" Target="https://orcid.org/0000-0002-9290-0609" TargetMode="External" /><Relationship Type="http://schemas.openxmlformats.org/officeDocument/2006/relationships/hyperlink" Id="rId54" Target="https://orcid.org/0000-0003-0662-1206" TargetMode="External" /><Relationship Type="http://schemas.openxmlformats.org/officeDocument/2006/relationships/hyperlink" Id="rId23" Target="https://orcid.org/0000-0003-4042-6789" TargetMode="External" /><Relationship Type="http://schemas.openxmlformats.org/officeDocument/2006/relationships/hyperlink" Id="rId78" Target="https://research-and-innovation.ec.europa.eu/research-area/environment/oceans-and-seas/integrated-maritime-policy_en" TargetMode="External" /><Relationship Type="http://schemas.openxmlformats.org/officeDocument/2006/relationships/hyperlink" Id="rId51" Target="https://www.aic.uniovi.es" TargetMode="External" /><Relationship Type="http://schemas.openxmlformats.org/officeDocument/2006/relationships/hyperlink" Id="rId44" Target="https://www.ceab.csic.es/es/" TargetMode="External" /><Relationship Type="http://schemas.openxmlformats.org/officeDocument/2006/relationships/hyperlink" Id="rId118" Target="https://www.jornadassiglibre.org/ca/" TargetMode="External" /><Relationship Type="http://schemas.openxmlformats.org/officeDocument/2006/relationships/hyperlink" Id="rId91" Target="https://www.miteco.gob.es/content/dam/miteco/es/ceneam/grupos-de-trabajo-y-seminarios/patrimonio-natural/Garcia_Gonzalez_Fernando_2025_Nuevas_herramientas_seguimiento_marinas.pdf" TargetMode="External" /><Relationship Type="http://schemas.openxmlformats.org/officeDocument/2006/relationships/hyperlink" Id="rId119" Target="https://www.osgeo.org/initiatives/foss4g/" TargetMode="External" /><Relationship Type="http://schemas.openxmlformats.org/officeDocument/2006/relationships/hyperlink" Id="rId117" Target="https://www.python.org/events/python-events/2147/" TargetMode="External" /><Relationship Type="http://schemas.openxmlformats.org/officeDocument/2006/relationships/hyperlink" Id="rId27" Target="mailto:f.garcia@ieo.csic.es" TargetMode="External" /><Relationship Type="http://schemas.openxmlformats.org/officeDocument/2006/relationships/hyperlink" Id="rId30" Target="mailto:fergrc@hotmail.com" TargetMode="External" /><Relationship Type="http://schemas.openxmlformats.org/officeDocument/2006/relationships/hyperlink" Id="rId50" Target="mailto:gonzalezgpablo@uniovi.es" TargetMode="External" /><Relationship Type="http://schemas.openxmlformats.org/officeDocument/2006/relationships/hyperlink" Id="rId37" Target="mailto:jaime.bernardeau@ieo.csic.es" TargetMode="External" /><Relationship Type="http://schemas.openxmlformats.org/officeDocument/2006/relationships/hyperlink" Id="rId57" Target="mailto:jana.verdura@udg.edu" TargetMode="External" /><Relationship Type="http://schemas.openxmlformats.org/officeDocument/2006/relationships/hyperlink" Id="rId43" Target="mailto:jboada@ceab.csic.es" TargetMode="External" /></Relationships>
</file>

<file path=word/_rels/footnotes.xml.rels><?xml version="1.0" encoding="UTF-8"?><Relationships xmlns="http://schemas.openxmlformats.org/package/2006/relationships"><Relationship Type="http://schemas.openxmlformats.org/officeDocument/2006/relationships/hyperlink" Id="rId116" Target="https://aetcc2026.es" TargetMode="External" /><Relationship Type="http://schemas.openxmlformats.org/officeDocument/2006/relationships/hyperlink" Id="rId31" Target="https://coastal-ai.github.io/GEAM_GEODATABASE/" TargetMode="External" /><Relationship Type="http://schemas.openxmlformats.org/officeDocument/2006/relationships/hyperlink" Id="rId84" Target="https://dehesa.unex.es/entities/publication/a5f999ee-1419-41e2-ab14-e992a742bacd" TargetMode="External" /><Relationship Type="http://schemas.openxmlformats.org/officeDocument/2006/relationships/hyperlink" Id="rId160" Target="https://doi.org/10.1002/rse2.319" TargetMode="External" /><Relationship Type="http://schemas.openxmlformats.org/officeDocument/2006/relationships/hyperlink" Id="rId130" Target="https://doi.org/10.1016/0034-4257(91)90048-B" TargetMode="External" /><Relationship Type="http://schemas.openxmlformats.org/officeDocument/2006/relationships/hyperlink" Id="rId140" Target="https://doi.org/10.1016/S0034-4257(01)00295-4" TargetMode="External" /><Relationship Type="http://schemas.openxmlformats.org/officeDocument/2006/relationships/hyperlink" Id="rId158" Target="https://doi.org/10.1016/j.ecolind.2021.108033" TargetMode="External" /><Relationship Type="http://schemas.openxmlformats.org/officeDocument/2006/relationships/hyperlink" Id="rId142" Target="https://doi.org/10.1016/j.isprsjprs.2006.04.002" TargetMode="External" /><Relationship Type="http://schemas.openxmlformats.org/officeDocument/2006/relationships/hyperlink" Id="rId152" Target="https://doi.org/10.1016/j.jag.2019.03.012" TargetMode="External" /><Relationship Type="http://schemas.openxmlformats.org/officeDocument/2006/relationships/hyperlink" Id="rId128" Target="https://doi.org/10.1016/j.marenvres.2017.07.017" TargetMode="External" /><Relationship Type="http://schemas.openxmlformats.org/officeDocument/2006/relationships/hyperlink" Id="rId156" Target="https://doi.org/10.1016/j.marpolbul.2017.06.075" TargetMode="External" /><Relationship Type="http://schemas.openxmlformats.org/officeDocument/2006/relationships/hyperlink" Id="rId126" Target="https://doi.org/10.1016/j.rse.2008.12.003" TargetMode="External" /><Relationship Type="http://schemas.openxmlformats.org/officeDocument/2006/relationships/hyperlink" Id="rId146" Target="https://doi.org/10.1016/j.rse.2010.10.013" TargetMode="External" /><Relationship Type="http://schemas.openxmlformats.org/officeDocument/2006/relationships/hyperlink" Id="rId150" Target="https://doi.org/10.1016/j.rse.2014.02.015" TargetMode="External" /><Relationship Type="http://schemas.openxmlformats.org/officeDocument/2006/relationships/hyperlink" Id="rId162" Target="https://doi.org/10.1016/j.rse.2020.112020" TargetMode="External" /><Relationship Type="http://schemas.openxmlformats.org/officeDocument/2006/relationships/hyperlink" Id="rId132" Target="https://doi.org/10.1016/j.rse.2023.113554" TargetMode="External" /><Relationship Type="http://schemas.openxmlformats.org/officeDocument/2006/relationships/hyperlink" Id="rId138" Target="https://doi.org/10.1016/j.rse.2024.114340" TargetMode="External" /><Relationship Type="http://schemas.openxmlformats.org/officeDocument/2006/relationships/hyperlink" Id="rId134" Target="https://doi.org/10.1016/j.rse.2025.115116" TargetMode="External" /><Relationship Type="http://schemas.openxmlformats.org/officeDocument/2006/relationships/hyperlink" Id="rId144" Target="https://doi.org/10.1016/j.scitotenv.2015.04.061" TargetMode="External" /><Relationship Type="http://schemas.openxmlformats.org/officeDocument/2006/relationships/hyperlink" Id="rId136" Target="https://doi.org/10.1038/s43247-024-01543-z" TargetMode="External" /><Relationship Type="http://schemas.openxmlformats.org/officeDocument/2006/relationships/hyperlink" Id="rId154" Target="https://doi.org/10.3389/fmars.2022.871799" TargetMode="External" /><Relationship Type="http://schemas.openxmlformats.org/officeDocument/2006/relationships/hyperlink" Id="rId148" Target="https://doi.org/10.3390/rs16234383" TargetMode="External" /><Relationship Type="http://schemas.openxmlformats.org/officeDocument/2006/relationships/hyperlink" Id="rId79" Target="https://environment.ec.europa.eu/strategy/biodiversity-strategy-2030_en" TargetMode="External" /><Relationship Type="http://schemas.openxmlformats.org/officeDocument/2006/relationships/hyperlink" Id="rId77" Target="https://fer-at-sea.github.io/phd_research_plan/" TargetMode="External" /><Relationship Type="http://schemas.openxmlformats.org/officeDocument/2006/relationships/hyperlink" Id="rId58" Target="https://iea.udg.edu/grmar2022/" TargetMode="External" /><Relationship Type="http://schemas.openxmlformats.org/officeDocument/2006/relationships/hyperlink" Id="rId112" Target="https://ioccg.org/what-we-do/training-and-education/ioccg-sls/" TargetMode="External" /><Relationship Type="http://schemas.openxmlformats.org/officeDocument/2006/relationships/hyperlink" Id="rId120" Target="https://itrs-home.org" TargetMode="External" /><Relationship Type="http://schemas.openxmlformats.org/officeDocument/2006/relationships/hyperlink" Id="rId40" Target="https://orcid.org/0000-0002-3815-625X" TargetMode="External" /><Relationship Type="http://schemas.openxmlformats.org/officeDocument/2006/relationships/hyperlink" Id="rId47" Target="https://orcid.org/0000-0002-9250-0920" TargetMode="External" /><Relationship Type="http://schemas.openxmlformats.org/officeDocument/2006/relationships/hyperlink" Id="rId34" Target="https://orcid.org/0000-0002-9290-0609" TargetMode="External" /><Relationship Type="http://schemas.openxmlformats.org/officeDocument/2006/relationships/hyperlink" Id="rId54" Target="https://orcid.org/0000-0003-0662-1206" TargetMode="External" /><Relationship Type="http://schemas.openxmlformats.org/officeDocument/2006/relationships/hyperlink" Id="rId23" Target="https://orcid.org/0000-0003-4042-6789" TargetMode="External" /><Relationship Type="http://schemas.openxmlformats.org/officeDocument/2006/relationships/hyperlink" Id="rId78" Target="https://research-and-innovation.ec.europa.eu/research-area/environment/oceans-and-seas/integrated-maritime-policy_en" TargetMode="External" /><Relationship Type="http://schemas.openxmlformats.org/officeDocument/2006/relationships/hyperlink" Id="rId51" Target="https://www.aic.uniovi.es" TargetMode="External" /><Relationship Type="http://schemas.openxmlformats.org/officeDocument/2006/relationships/hyperlink" Id="rId44" Target="https://www.ceab.csic.es/es/" TargetMode="External" /><Relationship Type="http://schemas.openxmlformats.org/officeDocument/2006/relationships/hyperlink" Id="rId118" Target="https://www.jornadassiglibre.org/ca/" TargetMode="External" /><Relationship Type="http://schemas.openxmlformats.org/officeDocument/2006/relationships/hyperlink" Id="rId91" Target="https://www.miteco.gob.es/content/dam/miteco/es/ceneam/grupos-de-trabajo-y-seminarios/patrimonio-natural/Garcia_Gonzalez_Fernando_2025_Nuevas_herramientas_seguimiento_marinas.pdf" TargetMode="External" /><Relationship Type="http://schemas.openxmlformats.org/officeDocument/2006/relationships/hyperlink" Id="rId119" Target="https://www.osgeo.org/initiatives/foss4g/" TargetMode="External" /><Relationship Type="http://schemas.openxmlformats.org/officeDocument/2006/relationships/hyperlink" Id="rId117" Target="https://www.python.org/events/python-events/2147/" TargetMode="External" /><Relationship Type="http://schemas.openxmlformats.org/officeDocument/2006/relationships/hyperlink" Id="rId27" Target="mailto:f.garcia@ieo.csic.es" TargetMode="External" /><Relationship Type="http://schemas.openxmlformats.org/officeDocument/2006/relationships/hyperlink" Id="rId30" Target="mailto:fergrc@hotmail.com" TargetMode="External" /><Relationship Type="http://schemas.openxmlformats.org/officeDocument/2006/relationships/hyperlink" Id="rId50" Target="mailto:gonzalezgpablo@uniovi.es" TargetMode="External" /><Relationship Type="http://schemas.openxmlformats.org/officeDocument/2006/relationships/hyperlink" Id="rId37" Target="mailto:jaime.bernardeau@ieo.csic.es" TargetMode="External" /><Relationship Type="http://schemas.openxmlformats.org/officeDocument/2006/relationships/hyperlink" Id="rId57" Target="mailto:jana.verdura@udg.edu" TargetMode="External" /><Relationship Type="http://schemas.openxmlformats.org/officeDocument/2006/relationships/hyperlink" Id="rId43" Target="mailto:jboada@ceab.cs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sensing of marine vegetation for monitoring and managing coastal ecosystems</dc:title>
  <dc:creator>Fernando García-González</dc:creator>
  <cp:keywords/>
  <dcterms:created xsi:type="dcterms:W3CDTF">2026-02-19T15:42:03Z</dcterms:created>
  <dcterms:modified xsi:type="dcterms:W3CDTF">2026-02-19T15:42:03Z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assets/references.bib</vt:lpwstr>
  </property>
  <property fmtid="{D5CDD505-2E9C-101B-9397-08002B2CF9AE}" pid="5" name="by-author">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