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1.png" ContentType="image/png"/>
  <Override PartName="/word/media/rId177.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Database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Database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broad methodological challenges, including the absence of infrastructures that make knowledge cumulative, dynamic and accessible.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w:t>
      </w:r>
    </w:p>
    <w:p>
      <w:pPr>
        <w:pStyle w:val="BodyText"/>
      </w:pPr>
      <w:r>
        <w:t xml:space="preserve">The present article introduces the</w:t>
      </w:r>
      <w:r>
        <w:t xml:space="preserve"> </w:t>
      </w:r>
      <w:r>
        <w:rPr>
          <w:i/>
          <w:iCs/>
        </w:rPr>
        <w:t xml:space="preserve">Living SEB Project</w:t>
      </w:r>
      <w:r>
        <w:t xml:space="preserve">: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provide researchers, reviewers, editors, and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updated versions of the results will be published every time the data are updated, consistent with the living nature of the project.</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Living reviews provide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also developed a continuously updated database and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 outputs.</w:t>
      </w:r>
    </w:p>
    <w:p>
      <w:pPr>
        <w:pStyle w:val="BodyText"/>
      </w:pPr>
      <w:r>
        <w:t xml:space="preserve">Accordingly, the</w:t>
      </w:r>
      <w:r>
        <w:t xml:space="preserve"> </w:t>
      </w:r>
      <w:r>
        <w:rPr>
          <w:i/>
          <w:iCs/>
        </w:rPr>
        <w:t xml:space="preserve">Living SEB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in recent SEB skills studies. We use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w:t>
      </w:r>
    </w:p>
    <w:bookmarkEnd w:id="40"/>
    <w:bookmarkEnd w:id="41"/>
    <w:bookmarkStart w:id="51" w:name="methods"/>
    <w:p>
      <w:pPr>
        <w:pStyle w:val="Heading1"/>
      </w:pPr>
      <w:r>
        <w:t xml:space="preserve">Methods</w:t>
      </w:r>
    </w:p>
    <w:bookmarkStart w:id="44" w:name="transparency-and-openness"/>
    <w:p>
      <w:pPr>
        <w:pStyle w:val="Heading2"/>
      </w:pPr>
      <w:r>
        <w:t xml:space="preserve">Transparency and Openness</w:t>
      </w:r>
    </w:p>
    <w:p>
      <w:pPr>
        <w:pStyle w:val="FirstParagraph"/>
      </w:pPr>
      <w:r>
        <w:t xml:space="preserve">All procedures for this project were preregistered and are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4"/>
    <w:bookmarkStart w:id="45"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5"/>
    <w:bookmarkStart w:id="47" w:name="study-eligibility-criteria"/>
    <w:p>
      <w:pPr>
        <w:pStyle w:val="Heading2"/>
      </w:pPr>
      <w:r>
        <w:t xml:space="preserve">Study Eligibility Criteria</w:t>
      </w:r>
    </w:p>
    <w:p>
      <w:pPr>
        <w:pStyle w:val="FirstParagraph"/>
      </w:pPr>
      <w:r>
        <w:t xml:space="preserve">Works were excluded if they cited the reference papers but did not focus on the SEB skills framework and did not use any BESSI measure.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were not considered for inclusion. Similarly, studies focusing solely on other constructs were excluded even if they cited the reference papers. However, if a study examined a different construct but also collected ancillary data using the BESSI, it was included in the meta-analysis. Citations are also excluded if they were published as books or in language that were not comprehensible for the authors.</w:t>
      </w:r>
    </w:p>
    <w:p>
      <w:pPr>
        <w:pStyle w:val="BodyText"/>
      </w:pPr>
      <w:r>
        <w:t xml:space="preserve">To be included in the quantitative database, studies also had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or provide correlations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were duplicated across publications;</w:t>
      </w:r>
    </w:p>
    <w:p>
      <w:pPr>
        <w:numPr>
          <w:ilvl w:val="0"/>
          <w:numId w:val="1004"/>
        </w:numPr>
      </w:pPr>
      <w:r>
        <w:t xml:space="preserve">Measures were not validated or outside the SEB skills and BESSI framework;</w:t>
      </w:r>
    </w:p>
    <w:p>
      <w:pPr>
        <w:numPr>
          <w:ilvl w:val="0"/>
          <w:numId w:val="1004"/>
        </w:numPr>
      </w:pPr>
      <w:r>
        <w:t xml:space="preserve">The study did not report correlations at baseline or data could not be reduced to correlations.</w:t>
      </w:r>
    </w:p>
    <w:bookmarkStart w:id="46"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were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6"/>
    <w:bookmarkEnd w:id="47"/>
    <w:bookmarkStart w:id="48"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p>
      <w:pPr>
        <w:pStyle w:val="BodyText"/>
      </w:pPr>
      <w:r>
        <w:t xml:space="preserve">To pilot the feasibility of this procedure, we already ran the updated in multiple months with success.</w:t>
      </w:r>
    </w:p>
    <w:bookmarkEnd w:id="48"/>
    <w:bookmarkStart w:id="50"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2">
        <w:r>
          <w:rPr>
            <w:rStyle w:val="Hyperlink"/>
          </w:rPr>
          <w:t xml:space="preserve">https://feracotommaso.github.io</w:t>
        </w:r>
      </w:hyperlink>
      <w:hyperlink r:id="rId49">
        <w:r>
          <w:rPr>
            <w:rStyle w:val="Hyperlink"/>
          </w:rPr>
          <w:t xml:space="preserve">/living_SEB_review</w:t>
        </w:r>
      </w:hyperlink>
      <w:r>
        <w:t xml:space="preserve">.</w:t>
      </w:r>
    </w:p>
    <w:bookmarkEnd w:id="50"/>
    <w:bookmarkEnd w:id="51"/>
    <w:bookmarkStart w:id="58" w:name="results"/>
    <w:p>
      <w:pPr>
        <w:pStyle w:val="Heading1"/>
      </w:pPr>
      <w:r>
        <w:t xml:space="preserve">Results</w:t>
      </w:r>
    </w:p>
    <w:p>
      <w:pPr>
        <w:pStyle w:val="FirstParagraph"/>
      </w:pPr>
      <w:r>
        <w:t xml:space="preserve">Given the adaptive nature of a the</w:t>
      </w:r>
      <w:r>
        <w:t xml:space="preserve"> </w:t>
      </w:r>
      <w:r>
        <w:rPr>
          <w:i/>
          <w:iCs/>
        </w:rPr>
        <w:t xml:space="preserve">Living SEB project</w:t>
      </w:r>
      <w:r>
        <w:t xml:space="preserve">, we report temporary results and descriptive statistics of the data available at the time of writing. A continuously updated version of the results is available at:</w:t>
      </w:r>
      <w:r>
        <w:t xml:space="preserve"> </w:t>
      </w:r>
      <w:hyperlink r:id="rId42">
        <w:r>
          <w:rPr>
            <w:rStyle w:val="Hyperlink"/>
          </w:rPr>
          <w:t xml:space="preserve">https://feracotommaso.github.io</w:t>
        </w:r>
      </w:hyperlink>
      <w:hyperlink r:id="rId52">
        <w:r>
          <w:rPr>
            <w:rStyle w:val="Hyperlink"/>
          </w:rPr>
          <w:t xml:space="preserve">/living_SEB_review/paper/livingSEBpaper.html</w:t>
        </w:r>
      </w:hyperlink>
      <w:r>
        <w:t xml:space="preserve">.</w:t>
      </w:r>
    </w:p>
    <w:bookmarkStart w:id="53" w:name="database-overview"/>
    <w:p>
      <w:pPr>
        <w:pStyle w:val="Heading2"/>
      </w:pPr>
      <w:r>
        <w:t xml:space="preserve">Database Overview</w:t>
      </w:r>
    </w:p>
    <w:p>
      <w:pPr>
        <w:pStyle w:val="FirstParagraph"/>
      </w:pPr>
      <w:r>
        <w:t xml:space="preserve">At the time of writing, the systematic search identified 259 publications (Scopus = 136; WOS = 123). After removing duplicates, screening titles and abstracts, and reviewing full texts, 30 studies were retained for the living review and 19 studies met criteria for quantitative synthesis. These include a total of 26 independent samples (see</w:t>
      </w:r>
      <w:r>
        <w:t xml:space="preserve"> </w:t>
      </w:r>
      <w:hyperlink w:anchor="fig-prisma">
        <w:r>
          <w:rPr>
            <w:rStyle w:val="Hyperlink"/>
          </w:rPr>
          <w:t xml:space="preserve">Figure 1</w:t>
        </w:r>
      </w:hyperlink>
      <w:r>
        <w:t xml:space="preserve">), with sample sizes ranging from 137 to 5075 (median = 549.5). Main characteristics of all studies included in the review are reported in</w:t>
      </w:r>
      <w:r>
        <w:t xml:space="preserve"> </w:t>
      </w:r>
      <w:hyperlink w:anchor="tbl-studies-summary">
        <w:r>
          <w:rPr>
            <w:rStyle w:val="Hyperlink"/>
          </w:rPr>
          <w:t xml:space="preserve">Table 1</w:t>
        </w:r>
      </w:hyperlink>
      <w:r>
        <w:t xml:space="preserve">.</w:t>
      </w:r>
    </w:p>
    <w:p>
      <w:pPr>
        <w:pStyle w:val="BodyText"/>
      </w:pPr>
      <w:r>
        <w:t xml:space="preserve">Across these studies, a total of 17329 correlation coefficients were coded, representing 5850 unique pairwise associations. Of these, 14360 correlations (3857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53"/>
    <w:bookmarkStart w:id="54"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55 effect sizes from 9 studies and 10 samples were included. For each SEB domain, the median available sample size was 752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Cooperation).</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0.07 and 0.11.</w:t>
      </w:r>
    </w:p>
    <w:p>
      <w:pPr>
        <w:pStyle w:val="BodyText"/>
      </w:pPr>
      <w:r>
        <w:t xml:space="preserve">Though representing the more extensive analysis of the association between SEB domains and academic achievement, these results should be regarded as preliminary and illustrative.</w:t>
      </w:r>
    </w:p>
    <w:bookmarkEnd w:id="54"/>
    <w:bookmarkStart w:id="55"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w:t>
      </w:r>
      <w:r>
        <w:t xml:space="preserve"> </w:t>
      </w:r>
      <w:r>
        <w:rPr>
          <w:i/>
          <w:iCs/>
        </w:rPr>
        <w:t xml:space="preserve">Living SEB Project</w:t>
      </w:r>
      <w:r>
        <w:t xml:space="preserve">,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21. As a consequence, also sample sizes and precision differed, with the minimum being 2712 (i.e., correlations between personality traits and academic achievement) and the maximum being 21385 (i.e., correlations between SEB domains). Correlation matrices were taken from 22 samples included in 15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p>
      <w:pPr>
        <w:pStyle w:val="BodyText"/>
      </w:pPr>
      <w:r>
        <w:rPr>
          <w:b/>
          <w:bCs/>
        </w:rPr>
        <w:t xml:space="preserve">Pooled correlations</w:t>
      </w:r>
    </w:p>
    <w:p>
      <w:pPr>
        <w:pStyle w:val="BodyText"/>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[0.13; 0.2]; p &lt; 0.001), Self-management (b = 0.17; 95% CI [0.14; 0.21]; p &lt; 0.001), Social engagement (b = 0.12; 95% CI [0.08; 0.16]; p &lt; 0.001) and BF Conscientiousness (b = 0.13; 95% CI [0.08; 0.18]; p &lt; 0.001) showed significant and practically meaningful associations with academic achievement, while all other associations were lower than |0.09|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demonstration of the functionality of a metaSEM pipeline within the</w:t>
      </w:r>
      <w:r>
        <w:t xml:space="preserve"> </w:t>
      </w:r>
      <w:r>
        <w:rPr>
          <w:i/>
          <w:iCs/>
        </w:rPr>
        <w:t xml:space="preserve">Living SEB project</w:t>
      </w:r>
      <w:r>
        <w:t xml:space="preserve"> </w:t>
      </w:r>
      <w:r>
        <w:t xml:space="preserve">rather than offering final conclusions about SEB–trait relationships.</w:t>
      </w:r>
    </w:p>
    <w:bookmarkEnd w:id="55"/>
    <w:bookmarkStart w:id="56" w:name="X9b99d2cf9d6526f9fb627f8ad8d893cd7604ffd"/>
    <w:p>
      <w:pPr>
        <w:pStyle w:val="Heading2"/>
      </w:pPr>
      <w:r>
        <w:t xml:space="preserve">Tutorial Analysis 3: Meta-analytic Structural Equation Modeling</w:t>
      </w:r>
    </w:p>
    <w:p>
      <w:pPr>
        <w:pStyle w:val="FirstParagraph"/>
      </w:pPr>
      <w:r>
        <w:t xml:space="preserve">To test whether specific SEB skills show incremental predictive validity for academic achievement beyond all other skills we performed an additional one-stage meta-analytic structural equation modelling (OSMASEM) estimating one multiple regression model including all SEB domains as predictors of academic achievement.</w:t>
      </w:r>
    </w:p>
    <w:p>
      <w:pPr>
        <w:pStyle w:val="BodyText"/>
      </w:pPr>
      <w:r>
        <w:t xml:space="preserve">From</w:t>
      </w:r>
      <w:r>
        <w:t xml:space="preserve"> </w:t>
      </w:r>
      <w:hyperlink w:anchor="tbl-osmasem-summary2">
        <w:r>
          <w:rPr>
            <w:rStyle w:val="Hyperlink"/>
          </w:rPr>
          <w:t xml:space="preserve">Table 4</w:t>
        </w:r>
      </w:hyperlink>
      <w:r>
        <w:t xml:space="preserve">, one of the SEB skills showed significant associations (</w:t>
      </w:r>
      <w:r>
        <w:rPr>
          <w:i/>
          <w:iCs/>
        </w:rPr>
        <w:t xml:space="preserve">p</w:t>
      </w:r>
      <w:r>
        <w:t xml:space="preserve"> </w:t>
      </w:r>
      <w:r>
        <w:t xml:space="preserve">&lt; 0.01) larger than |0.1| with academic achievement beyond the other skill domains. Specifically, Self-management (b = 0.28; 95% CI [0.27; 0.3]; p &lt; 0.001) showed significant and practically meaningful associations with academic achievement, while all other associations were lower than |0.07| and/or non-significant.</w:t>
      </w:r>
    </w:p>
    <w:bookmarkEnd w:id="56"/>
    <w:bookmarkStart w:id="57"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w:t>
      </w:r>
      <w:r>
        <w:t xml:space="preserve"> </w:t>
      </w:r>
      <w:r>
        <w:rPr>
          <w:i/>
          <w:iCs/>
        </w:rPr>
        <w:t xml:space="preserve">Living SEB Skills App</w:t>
      </w:r>
      <w:r>
        <w:t xml:space="preserve">. Users can select specific subsets of studies, download data and R code, and generate updated reports. This ensures that results presented here remain transparent, reproducible, and adaptable as the evidence base grows.</w:t>
      </w:r>
    </w:p>
    <w:bookmarkEnd w:id="57"/>
    <w:bookmarkEnd w:id="58"/>
    <w:bookmarkStart w:id="63"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skills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currently available in the</w:t>
      </w:r>
      <w:r>
        <w:t xml:space="preserve"> </w:t>
      </w:r>
      <w:r>
        <w:rPr>
          <w:i/>
          <w:iCs/>
        </w:rPr>
        <w:t xml:space="preserve">Living SEB App</w:t>
      </w:r>
      <w:r>
        <w:t xml:space="preserve">, namely three-level meta-analysis of correlation coefficients and MASEM. The results of these analyses showed that five skills were significantly associated with academic achievement, with pooled correlations ranging between 0.07 (i.e., Emotional resilience) and 0.24 (i.e., Cooperation). When controlling for personality traits in OSMASEM regression models, three of the SEB skills and one of the personality traits showed significant association with academic achievement larger than |0.1| beyond the corresponding trait/skill.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and data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9"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9"/>
    <w:bookmarkStart w:id="60" w:name="limitations"/>
    <w:p>
      <w:pPr>
        <w:pStyle w:val="Heading2"/>
      </w:pPr>
      <w:r>
        <w:t xml:space="preserve">Limitations</w:t>
      </w:r>
    </w:p>
    <w:p>
      <w:pPr>
        <w:pStyle w:val="FirstParagraph"/>
      </w:pPr>
      <w:r>
        <w:t xml:space="preserve">When designing the</w:t>
      </w:r>
      <w:r>
        <w:t xml:space="preserve"> </w:t>
      </w:r>
      <w:r>
        <w:rPr>
          <w:i/>
          <w:iCs/>
        </w:rPr>
        <w:t xml:space="preserve">Living SEB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0"/>
    <w:bookmarkStart w:id="61"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Finally, users may be provided with the possibility to upload additional data in the main database for personal use or openly for the community.</w:t>
      </w:r>
    </w:p>
    <w:bookmarkEnd w:id="61"/>
    <w:bookmarkStart w:id="62"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2"/>
    <w:bookmarkEnd w:id="63"/>
    <w:bookmarkStart w:id="185" w:name="references"/>
    <w:p>
      <w:pPr>
        <w:pStyle w:val="Heading1"/>
      </w:pPr>
      <w:r>
        <w:t xml:space="preserve">References</w:t>
      </w:r>
    </w:p>
    <w:bookmarkStart w:id="167" w:name="refs"/>
    <w:bookmarkStart w:id="65"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4">
        <w:r>
          <w:rPr>
            <w:rStyle w:val="Hyperlink"/>
          </w:rPr>
          <w:t xml:space="preserve">https://doi.org/10.1037/pas0000591</w:t>
        </w:r>
      </w:hyperlink>
    </w:p>
    <w:bookmarkEnd w:id="65"/>
    <w:bookmarkStart w:id="67"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66">
        <w:r>
          <w:rPr>
            <w:rStyle w:val="Hyperlink"/>
          </w:rPr>
          <w:t xml:space="preserve">https://doi.org/10.1016/j.paid.2024.112870</w:t>
        </w:r>
      </w:hyperlink>
    </w:p>
    <w:bookmarkEnd w:id="67"/>
    <w:bookmarkStart w:id="68"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68"/>
    <w:bookmarkStart w:id="70"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69">
        <w:r>
          <w:rPr>
            <w:rStyle w:val="Hyperlink"/>
          </w:rPr>
          <w:t xml:space="preserve">https://doi.org/10.25035/pad.2015.002</w:t>
        </w:r>
      </w:hyperlink>
    </w:p>
    <w:bookmarkEnd w:id="70"/>
    <w:bookmarkStart w:id="72"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1">
        <w:r>
          <w:rPr>
            <w:rStyle w:val="Hyperlink"/>
          </w:rPr>
          <w:t xml:space="preserve">https://doi.org/10.3390/jintelligence10030048</w:t>
        </w:r>
      </w:hyperlink>
    </w:p>
    <w:bookmarkEnd w:id="72"/>
    <w:bookmarkStart w:id="74"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3">
        <w:r>
          <w:rPr>
            <w:rStyle w:val="Hyperlink"/>
          </w:rPr>
          <w:t xml:space="preserve">https://doi.org/10.1525/collabra.120531</w:t>
        </w:r>
      </w:hyperlink>
    </w:p>
    <w:bookmarkEnd w:id="74"/>
    <w:bookmarkStart w:id="75"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75"/>
    <w:bookmarkStart w:id="77"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76">
        <w:r>
          <w:rPr>
            <w:rStyle w:val="Hyperlink"/>
          </w:rPr>
          <w:t xml:space="preserve">https://cran.r-project.org/web/packages/metaSEM/index.html</w:t>
        </w:r>
      </w:hyperlink>
    </w:p>
    <w:bookmarkEnd w:id="77"/>
    <w:bookmarkStart w:id="79"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78">
        <w:r>
          <w:rPr>
            <w:rStyle w:val="Hyperlink"/>
          </w:rPr>
          <w:t xml:space="preserve">https://doi.org/10.1007/s11218-025-10079-9</w:t>
        </w:r>
      </w:hyperlink>
    </w:p>
    <w:bookmarkEnd w:id="79"/>
    <w:bookmarkStart w:id="81"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0">
        <w:r>
          <w:rPr>
            <w:rStyle w:val="Hyperlink"/>
          </w:rPr>
          <w:t xml:space="preserve">https://doi.org/10.1136/ebmental-2022-300509</w:t>
        </w:r>
      </w:hyperlink>
    </w:p>
    <w:bookmarkEnd w:id="81"/>
    <w:bookmarkStart w:id="83"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2">
        <w:r>
          <w:rPr>
            <w:rStyle w:val="Hyperlink"/>
          </w:rPr>
          <w:t xml:space="preserve">https://doi.org/10.1177/20965311251319355</w:t>
        </w:r>
      </w:hyperlink>
    </w:p>
    <w:bookmarkEnd w:id="83"/>
    <w:bookmarkStart w:id="85"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84">
        <w:r>
          <w:rPr>
            <w:rStyle w:val="Hyperlink"/>
          </w:rPr>
          <w:t xml:space="preserve">https://doi.org/10.1016/j.jclinepi.2017.08.010</w:t>
        </w:r>
      </w:hyperlink>
    </w:p>
    <w:bookmarkEnd w:id="85"/>
    <w:bookmarkStart w:id="87"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86">
        <w:r>
          <w:rPr>
            <w:rStyle w:val="Hyperlink"/>
          </w:rPr>
          <w:t xml:space="preserve">https://doi.org/10.1371/journal.pmed.1001603</w:t>
        </w:r>
      </w:hyperlink>
    </w:p>
    <w:bookmarkEnd w:id="87"/>
    <w:bookmarkStart w:id="89"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88">
        <w:r>
          <w:rPr>
            <w:rStyle w:val="Hyperlink"/>
          </w:rPr>
          <w:t xml:space="preserve">https://doi.org/10.1007/s11218-025-10095-9</w:t>
        </w:r>
      </w:hyperlink>
    </w:p>
    <w:bookmarkEnd w:id="89"/>
    <w:bookmarkStart w:id="91"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0">
        <w:r>
          <w:rPr>
            <w:rStyle w:val="Hyperlink"/>
          </w:rPr>
          <w:t xml:space="preserve">https://doi.org/10.1080/13504622.2025.2459323</w:t>
        </w:r>
      </w:hyperlink>
    </w:p>
    <w:bookmarkEnd w:id="91"/>
    <w:bookmarkStart w:id="93"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2">
        <w:r>
          <w:rPr>
            <w:rStyle w:val="Hyperlink"/>
          </w:rPr>
          <w:t xml:space="preserve">https://doi.org/10.1080/00223891.2024.2335912</w:t>
        </w:r>
      </w:hyperlink>
    </w:p>
    <w:bookmarkEnd w:id="93"/>
    <w:bookmarkStart w:id="95"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94">
        <w:r>
          <w:rPr>
            <w:rStyle w:val="Hyperlink"/>
          </w:rPr>
          <w:t xml:space="preserve">https://doi.org/10.1016/j.paid.2025.113200</w:t>
        </w:r>
      </w:hyperlink>
    </w:p>
    <w:bookmarkEnd w:id="95"/>
    <w:bookmarkStart w:id="97"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96">
        <w:r>
          <w:rPr>
            <w:rStyle w:val="Hyperlink"/>
          </w:rPr>
          <w:t xml:space="preserve">https://doi.org/10.3390/jintelligence11060118</w:t>
        </w:r>
      </w:hyperlink>
    </w:p>
    <w:bookmarkEnd w:id="97"/>
    <w:bookmarkStart w:id="99"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98">
        <w:r>
          <w:rPr>
            <w:rStyle w:val="Hyperlink"/>
          </w:rPr>
          <w:t xml:space="preserve">https://doi.org/10.1016/j.lindif.2024.102581</w:t>
        </w:r>
      </w:hyperlink>
    </w:p>
    <w:bookmarkEnd w:id="99"/>
    <w:bookmarkStart w:id="101"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0">
        <w:r>
          <w:rPr>
            <w:rStyle w:val="Hyperlink"/>
          </w:rPr>
          <w:t xml:space="preserve">https://doi.org/10.1007/s10212-022-00601-4</w:t>
        </w:r>
      </w:hyperlink>
    </w:p>
    <w:bookmarkEnd w:id="101"/>
    <w:bookmarkStart w:id="103"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2">
        <w:r>
          <w:rPr>
            <w:rStyle w:val="Hyperlink"/>
          </w:rPr>
          <w:t xml:space="preserve">https://doi.org/10.1037/pspp0000426</w:t>
        </w:r>
      </w:hyperlink>
    </w:p>
    <w:bookmarkEnd w:id="103"/>
    <w:bookmarkStart w:id="105"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04">
        <w:r>
          <w:rPr>
            <w:rStyle w:val="Hyperlink"/>
          </w:rPr>
          <w:t xml:space="preserve">https://doi.org/10.1016/j.labeco.2012.05.014</w:t>
        </w:r>
      </w:hyperlink>
    </w:p>
    <w:bookmarkEnd w:id="105"/>
    <w:bookmarkStart w:id="107"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06">
        <w:r>
          <w:rPr>
            <w:rStyle w:val="Hyperlink"/>
          </w:rPr>
          <w:t xml:space="preserve">https://doi.org/10.1002/jrsm.1635</w:t>
        </w:r>
      </w:hyperlink>
    </w:p>
    <w:bookmarkEnd w:id="107"/>
    <w:bookmarkStart w:id="109"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08">
        <w:r>
          <w:rPr>
            <w:rStyle w:val="Hyperlink"/>
          </w:rPr>
          <w:t xml:space="preserve">https://doi.org/10.1007/s11031-025-10132-2</w:t>
        </w:r>
      </w:hyperlink>
    </w:p>
    <w:bookmarkEnd w:id="109"/>
    <w:bookmarkStart w:id="111"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0">
        <w:r>
          <w:rPr>
            <w:rStyle w:val="Hyperlink"/>
          </w:rPr>
          <w:t xml:space="preserve">https://doi.org/10.1007/s10791-025-09703-1</w:t>
        </w:r>
      </w:hyperlink>
    </w:p>
    <w:bookmarkEnd w:id="111"/>
    <w:bookmarkStart w:id="113"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2">
        <w:r>
          <w:rPr>
            <w:rStyle w:val="Hyperlink"/>
          </w:rPr>
          <w:t xml:space="preserve">https://doi.org/10.1037/met0000245</w:t>
        </w:r>
      </w:hyperlink>
    </w:p>
    <w:bookmarkEnd w:id="113"/>
    <w:bookmarkStart w:id="115"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14">
        <w:r>
          <w:rPr>
            <w:rStyle w:val="Hyperlink"/>
          </w:rPr>
          <w:t xml:space="preserve">https://doi.org/10.1002/jrsm.1498</w:t>
        </w:r>
      </w:hyperlink>
    </w:p>
    <w:bookmarkEnd w:id="115"/>
    <w:bookmarkStart w:id="117"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16">
        <w:r>
          <w:rPr>
            <w:rStyle w:val="Hyperlink"/>
          </w:rPr>
          <w:t xml:space="preserve">https://doi.org/10.3390/jintelligence10030063</w:t>
        </w:r>
      </w:hyperlink>
    </w:p>
    <w:bookmarkEnd w:id="117"/>
    <w:bookmarkStart w:id="119"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18">
        <w:r>
          <w:rPr>
            <w:rStyle w:val="Hyperlink"/>
          </w:rPr>
          <w:t xml:space="preserve">https://doi.org/10.1016/j.lindif.2024.102605</w:t>
        </w:r>
      </w:hyperlink>
    </w:p>
    <w:bookmarkEnd w:id="119"/>
    <w:bookmarkStart w:id="121"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0">
        <w:r>
          <w:rPr>
            <w:rStyle w:val="Hyperlink"/>
          </w:rPr>
          <w:t xml:space="preserve">https://doi.org/10.1037/0022-3514.56.4.586</w:t>
        </w:r>
      </w:hyperlink>
    </w:p>
    <w:bookmarkEnd w:id="121"/>
    <w:bookmarkStart w:id="123"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2">
        <w:r>
          <w:rPr>
            <w:rStyle w:val="Hyperlink"/>
          </w:rPr>
          <w:t xml:space="preserve">https://doi.org/10.1186/2046-4053-4-1</w:t>
        </w:r>
      </w:hyperlink>
    </w:p>
    <w:bookmarkEnd w:id="123"/>
    <w:bookmarkStart w:id="125"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24">
        <w:r>
          <w:rPr>
            <w:rStyle w:val="Hyperlink"/>
          </w:rPr>
          <w:t xml:space="preserve">https://doi.org/10.3389/feduc.2021.679561</w:t>
        </w:r>
      </w:hyperlink>
    </w:p>
    <w:bookmarkEnd w:id="125"/>
    <w:bookmarkStart w:id="127"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26">
        <w:r>
          <w:rPr>
            <w:rStyle w:val="Hyperlink"/>
          </w:rPr>
          <w:t xml:space="preserve">https://doi.org/10.1177/08902070251328046</w:t>
        </w:r>
      </w:hyperlink>
    </w:p>
    <w:bookmarkEnd w:id="127"/>
    <w:bookmarkStart w:id="129"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28">
        <w:r>
          <w:rPr>
            <w:rStyle w:val="Hyperlink"/>
          </w:rPr>
          <w:t xml:space="preserve">https://doi.org/10.1787/92a11084-en</w:t>
        </w:r>
      </w:hyperlink>
    </w:p>
    <w:bookmarkEnd w:id="129"/>
    <w:bookmarkStart w:id="131"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0">
        <w:r>
          <w:rPr>
            <w:rStyle w:val="Hyperlink"/>
          </w:rPr>
          <w:t xml:space="preserve">https://doi.org/10.1111/j.1746-1561.2000.tb06468.x</w:t>
        </w:r>
      </w:hyperlink>
    </w:p>
    <w:bookmarkEnd w:id="131"/>
    <w:bookmarkStart w:id="133"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2">
        <w:r>
          <w:rPr>
            <w:rStyle w:val="Hyperlink"/>
          </w:rPr>
          <w:t xml:space="preserve">https://doi.org/10.1177/00222194261417592</w:t>
        </w:r>
      </w:hyperlink>
    </w:p>
    <w:bookmarkEnd w:id="133"/>
    <w:bookmarkStart w:id="135"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34">
        <w:r>
          <w:rPr>
            <w:rStyle w:val="Hyperlink"/>
          </w:rPr>
          <w:t xml:space="preserve">https://doi.org/10.1002/jad.12486</w:t>
        </w:r>
      </w:hyperlink>
    </w:p>
    <w:bookmarkEnd w:id="135"/>
    <w:bookmarkStart w:id="137"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36">
        <w:r>
          <w:rPr>
            <w:rStyle w:val="Hyperlink"/>
          </w:rPr>
          <w:t xml:space="preserve">https://doi.org/10.1177/10731911231225197</w:t>
        </w:r>
      </w:hyperlink>
    </w:p>
    <w:bookmarkEnd w:id="137"/>
    <w:bookmarkStart w:id="139"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38">
        <w:r>
          <w:rPr>
            <w:rStyle w:val="Hyperlink"/>
          </w:rPr>
          <w:t xml:space="preserve">https://doi.org/10.1177/08902070241309960</w:t>
        </w:r>
      </w:hyperlink>
    </w:p>
    <w:bookmarkEnd w:id="139"/>
    <w:bookmarkStart w:id="140"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0"/>
    <w:bookmarkStart w:id="142"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1">
        <w:r>
          <w:rPr>
            <w:rStyle w:val="Hyperlink"/>
          </w:rPr>
          <w:t xml:space="preserve">https://doi.org/10.1038/s44159-023-00213-9</w:t>
        </w:r>
      </w:hyperlink>
    </w:p>
    <w:bookmarkEnd w:id="142"/>
    <w:bookmarkStart w:id="144"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3">
        <w:r>
          <w:rPr>
            <w:rStyle w:val="Hyperlink"/>
          </w:rPr>
          <w:t xml:space="preserve">https://doi.org/10.1111/jora.12830</w:t>
        </w:r>
      </w:hyperlink>
    </w:p>
    <w:bookmarkEnd w:id="144"/>
    <w:bookmarkStart w:id="146"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45">
        <w:r>
          <w:rPr>
            <w:rStyle w:val="Hyperlink"/>
          </w:rPr>
          <w:t xml:space="preserve">https://doi.org/10.1177/10731911241256434</w:t>
        </w:r>
      </w:hyperlink>
    </w:p>
    <w:bookmarkEnd w:id="146"/>
    <w:bookmarkStart w:id="148"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47">
        <w:r>
          <w:rPr>
            <w:rStyle w:val="Hyperlink"/>
          </w:rPr>
          <w:t xml:space="preserve">https://doi.org/10.3389/fpsyg.2025.1653072</w:t>
        </w:r>
      </w:hyperlink>
    </w:p>
    <w:bookmarkEnd w:id="148"/>
    <w:bookmarkStart w:id="150"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49">
        <w:r>
          <w:rPr>
            <w:rStyle w:val="Hyperlink"/>
          </w:rPr>
          <w:t xml:space="preserve">https://doi.org/10.1177/0963721420978613</w:t>
        </w:r>
      </w:hyperlink>
    </w:p>
    <w:bookmarkEnd w:id="150"/>
    <w:bookmarkStart w:id="152"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1">
        <w:r>
          <w:rPr>
            <w:rStyle w:val="Hyperlink"/>
          </w:rPr>
          <w:t xml:space="preserve">https://doi.org/10.1016/j.jrp.2023.104382</w:t>
        </w:r>
      </w:hyperlink>
    </w:p>
    <w:bookmarkEnd w:id="152"/>
    <w:bookmarkStart w:id="154"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53">
        <w:r>
          <w:rPr>
            <w:rStyle w:val="Hyperlink"/>
          </w:rPr>
          <w:t xml:space="preserve">https://doi.org/10.1037/pspp0000401</w:t>
        </w:r>
      </w:hyperlink>
    </w:p>
    <w:bookmarkEnd w:id="154"/>
    <w:bookmarkStart w:id="156"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55">
        <w:r>
          <w:rPr>
            <w:rStyle w:val="Hyperlink"/>
          </w:rPr>
          <w:t xml:space="preserve">https://doi.org/10.1177/19485506221127483</w:t>
        </w:r>
      </w:hyperlink>
    </w:p>
    <w:bookmarkEnd w:id="156"/>
    <w:bookmarkStart w:id="158"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57">
        <w:r>
          <w:rPr>
            <w:rStyle w:val="Hyperlink"/>
          </w:rPr>
          <w:t xml:space="preserve">https://doi.org/10.1177/17456916211053319</w:t>
        </w:r>
      </w:hyperlink>
    </w:p>
    <w:bookmarkEnd w:id="158"/>
    <w:bookmarkStart w:id="160"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59">
        <w:r>
          <w:rPr>
            <w:rStyle w:val="Hyperlink"/>
          </w:rPr>
          <w:t xml:space="preserve">https://doi.org/10.20453/rnp.v87i1.5046</w:t>
        </w:r>
      </w:hyperlink>
    </w:p>
    <w:bookmarkEnd w:id="160"/>
    <w:bookmarkStart w:id="162"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1">
        <w:r>
          <w:rPr>
            <w:rStyle w:val="Hyperlink"/>
          </w:rPr>
          <w:t xml:space="preserve">https://doi.org/10.18637/jss.v036.i03</w:t>
        </w:r>
      </w:hyperlink>
    </w:p>
    <w:bookmarkEnd w:id="162"/>
    <w:bookmarkStart w:id="164"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63">
        <w:r>
          <w:rPr>
            <w:rStyle w:val="Hyperlink"/>
          </w:rPr>
          <w:t xml:space="preserve">https://doi.org/10.1080/00223891.2024.2444447</w:t>
        </w:r>
      </w:hyperlink>
    </w:p>
    <w:bookmarkEnd w:id="164"/>
    <w:bookmarkStart w:id="166"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65">
        <w:r>
          <w:rPr>
            <w:rStyle w:val="Hyperlink"/>
          </w:rPr>
          <w:t xml:space="preserve">https://doi.org/10.1371/journal.pone.0296484</w:t>
        </w:r>
      </w:hyperlink>
    </w:p>
    <w:bookmarkEnd w:id="166"/>
    <w:bookmarkEnd w:id="167"/>
    <w:bookmarkStart w:id="169" w:name="tbl-studies-summary"/>
    <w:p>
      <w:pPr>
        <w:pStyle w:val="FigureTitle"/>
      </w:pPr>
      <w:r>
        <w:t xml:space="preserve">Table 1</w:t>
      </w:r>
    </w:p>
    <w:p>
      <w:pPr>
        <w:pStyle w:val="Caption"/>
      </w:pPr>
      <w:r>
        <w:t xml:space="preserve">Studies included in the review</w:t>
      </w:r>
    </w:p>
    <w:bookmarkStart w:id="168"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68"/>
    <w:bookmarkEnd w:id="169"/>
    <w:p>
      <w:r>
        <w:br w:type="page"/>
      </w:r>
    </w:p>
    <w:bookmarkStart w:id="170"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16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 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39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70"/>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1"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-2.54</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8.59</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109.86</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[0.14;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8.89</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-0.79</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5.70</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2.80</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3.42</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2.13</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4.44</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-115.34</w:t>
            </w:r>
          </w:p>
        </w:tc>
      </w:tr>
    </w:tbl>
    <w:bookmarkEnd w:id="171"/>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2"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947"/>
        <w:gridCol w:w="547"/>
        <w:gridCol w:w="1269"/>
        <w:gridCol w:w="647"/>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 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[-0.09;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-8.32</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5.64</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34.61</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 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0.93</w:t>
            </w:r>
          </w:p>
        </w:tc>
      </w:tr>
    </w:tbl>
    <w:bookmarkEnd w:id="172"/>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6"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74" name="Picture"/>
            <a:graphic>
              <a:graphicData uri="http://schemas.openxmlformats.org/drawingml/2006/picture">
                <pic:pic>
                  <pic:nvPicPr>
                    <pic:cNvPr descr="prisma.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bookmarkEnd w:id="176"/>
    <w:p>
      <w:r>
        <w:br w:type="page"/>
      </w:r>
    </w:p>
    <w:bookmarkStart w:id="180"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78" name="Picture"/>
            <a:graphic>
              <a:graphicData uri="http://schemas.openxmlformats.org/drawingml/2006/picture">
                <pic:pic>
                  <pic:nvPicPr>
                    <pic:cNvPr descr="livingSEBpaper_files/figure-docx/fig-meta-analysis-plot-1.png" id="179" name="Picture"/>
                    <pic:cNvPicPr>
                      <a:picLocks noChangeArrowheads="1" noChangeAspect="1"/>
                    </pic:cNvPicPr>
                  </pic:nvPicPr>
                  <pic:blipFill>
                    <a:blip r:embed="rId177"/>
                    <a:stretch>
                      <a:fillRect/>
                    </a:stretch>
                  </pic:blipFill>
                  <pic:spPr bwMode="auto">
                    <a:xfrm>
                      <a:off x="0" y="0"/>
                      <a:ext cx="5943600" cy="5943600"/>
                    </a:xfrm>
                    <a:prstGeom prst="rect">
                      <a:avLst/>
                    </a:prstGeom>
                    <a:noFill/>
                    <a:ln w="9525">
                      <a:noFill/>
                      <a:headEnd/>
                      <a:tailEnd/>
                    </a:ln>
                  </pic:spPr>
                </pic:pic>
              </a:graphicData>
            </a:graphic>
          </wp:inline>
        </w:drawing>
      </w:r>
    </w:p>
    <w:bookmarkEnd w:id="180"/>
    <w:p>
      <w:r>
        <w:br w:type="page"/>
      </w:r>
    </w:p>
    <w:bookmarkStart w:id="184"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82" name="Picture"/>
            <a:graphic>
              <a:graphicData uri="http://schemas.openxmlformats.org/drawingml/2006/picture">
                <pic:pic>
                  <pic:nvPicPr>
                    <pic:cNvPr descr="livingSEBpaper_files/figure-docx/fig-corrplot-1.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bookmarkEnd w:id="184"/>
    <w:p>
      <w:r>
        <w:br w:type="page"/>
      </w:r>
    </w:p>
    <w:bookmarkEnd w:id="1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2026-03-04T18:13:14Z</dcterms:created>
  <dcterms:modified xsi:type="dcterms:W3CDTF">2026-03-04T18:13:14Z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Database for Review and Meta-Analysis of Social, Emotional, and Behavioral Skills</vt:lpwstr>
  </property>
  <property fmtid="{D5CDD505-2E9C-101B-9397-08002B2CF9AE}" pid="7" name="apatitledisplay">
    <vt:lpwstr>The Living SEB Skills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4937</vt:lpwstr>
  </property>
  <property fmtid="{D5CDD505-2E9C-101B-9397-08002B2CF9AE}" pid="61" name="zerocitations">
    <vt:lpwstr>False</vt:lpwstr>
  </property>
</Properties>
</file>