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1.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0" w:name="title"/>
    <w:p>
      <w:pPr>
        <w:pStyle w:val="Heading1"/>
      </w:pPr>
      <w:commentRangeStart w:id="0"/>
      <w:r>
        <w:t xml:space="preserve">The Big Five Are Not Simple Composite Scores: Causal Complexity and Multilevel Trait Structure: A Commentary on Grosz (2026)</w:t>
      </w:r>
      <w:commentRangeEnd w:id="0"/>
      <w:r>
        <w:rPr>
          <w:rStyle w:val="CommentReference"/>
        </w:rPr>
        <w:commentReference w:id="0"/>
      </w:r>
    </w:p>
    <w:p>
      <w:pPr>
        <w:pStyle w:val="Author"/>
      </w:pPr>
      <w:r>
        <w:t xml:space="preserve"> </w:t>
      </w:r>
    </w:p>
    <w:p>
      <w:pPr>
        <w:pStyle w:val="Author"/>
      </w:pPr>
      <w:r>
        <w:t xml:space="preserve">Tommaso Feraco and Enrico Toffalini</w:t>
      </w:r>
    </w:p>
    <w:p>
      <w:pPr>
        <w:pStyle w:val="Author"/>
      </w:pPr>
      <w:r>
        <w:t xml:space="preserve">Department of General Psychology, University of Padua</w:t>
      </w:r>
    </w:p>
    <w:p>
      <w:pPr>
        <w:pStyle w:val="BodyText"/>
      </w:pPr>
      <w:r>
        <w:t xml:space="preserve"> </w:t>
      </w:r>
    </w:p>
    <w:p>
      <w:pPr>
        <w:pStyle w:val="BodyText"/>
      </w:pPr>
      <w:r>
        <w:t xml:space="preserve"> </w:t>
      </w:r>
    </w:p>
    <w:bookmarkEnd w:id="20"/>
    <w:bookmarkStart w:id="31" w:name="author-note"/>
    <w:p>
      <w:pPr>
        <w:pStyle w:val="Heading1"/>
      </w:pPr>
      <w:r>
        <w:t xml:space="preserve">Author Note</w:t>
      </w:r>
    </w:p>
    <w:p>
      <w:pPr>
        <w:pStyle w:val="FirstParagraph"/>
      </w:pPr>
      <w:r>
        <w:t xml:space="preserve">Tommaso Feraco</w:t>
      </w:r>
      <w:r>
        <w:t xml:space="preserve"> </w:t>
      </w:r>
      <w:bookmarkStart w:id="24" w:name="orchid"/>
      <w:r>
        <w:drawing>
          <wp:inline>
            <wp:extent cx="152279" cy="152279"/>
            <wp:effectExtent b="0" l="0" r="0" t="0"/>
            <wp:docPr descr="Orcid ID Logo: A green circle with white letters ID" title="" id="22" name="Picture"/>
            <a:graphic>
              <a:graphicData uri="http://schemas.openxmlformats.org/drawingml/2006/picture">
                <pic:pic>
                  <pic:nvPicPr>
                    <pic:cNvPr descr="_extensions/wjschne/apaquarto/ORCID-iD_icon-vector.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4"/>
      <w:r>
        <w:t xml:space="preserve"> </w:t>
      </w:r>
      <w:hyperlink r:id="rId25">
        <w:r>
          <w:rPr>
            <w:rStyle w:val="Hyperlink"/>
          </w:rPr>
          <w:t xml:space="preserve">https://orcid.org/0000-0002-8920-5330</w:t>
        </w:r>
      </w:hyperlink>
    </w:p>
    <w:p>
      <w:pPr>
        <w:pStyle w:val="BodyText"/>
      </w:pPr>
      <w:r>
        <w:t xml:space="preserve">Enrico Toffalini</w:t>
      </w:r>
      <w:r>
        <w:t xml:space="preserve"> </w:t>
      </w:r>
      <w:bookmarkStart w:id="28" w:name="orchid"/>
      <w:r>
        <w:drawing>
          <wp:inline>
            <wp:extent cx="152279" cy="152279"/>
            <wp:effectExtent b="0" l="0" r="0" t="0"/>
            <wp:docPr descr="Orcid ID Logo: A green circle with white letters ID" title="" id="26" name="Picture"/>
            <a:graphic>
              <a:graphicData uri="http://schemas.openxmlformats.org/drawingml/2006/picture">
                <pic:pic>
                  <pic:nvPicPr>
                    <pic:cNvPr descr="_extensions/wjschne/apaquarto/ORCID-iD_icon-vector.svg" id="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8"/>
      <w:r>
        <w:t xml:space="preserve"> </w:t>
      </w:r>
      <w:hyperlink r:id="rId29">
        <w:r>
          <w:rPr>
            <w:rStyle w:val="Hyperlink"/>
          </w:rPr>
          <w:t xml:space="preserve">https://orcid.org/0009-0001-4661-8063</w:t>
        </w:r>
      </w:hyperlink>
    </w:p>
    <w:p>
      <w:pPr>
        <w:pStyle w:val="BodyText"/>
      </w:pPr>
      <w:r>
        <w:t xml:space="preserve">The authors have no conflict of interest to declare. The authors received no funding for this study.</w:t>
      </w:r>
    </w:p>
    <w:p>
      <w:pPr>
        <w:pStyle w:val="BodyText"/>
      </w:pPr>
      <w:r>
        <w:t xml:space="preserve">Correspondence concerning this article should be addressed to Tommaso Feraco, Department of General Psychology, University of Padua, 8 Via Venezia, Padua, PD, Italy, Email:</w:t>
      </w:r>
      <w:r>
        <w:t xml:space="preserve"> </w:t>
      </w:r>
      <w:hyperlink r:id="rId30">
        <w:r>
          <w:rPr>
            <w:rStyle w:val="Hyperlink"/>
          </w:rPr>
          <w:t xml:space="preserve">tommaso.feraco@unipd.it</w:t>
        </w:r>
      </w:hyperlink>
    </w:p>
    <w:p>
      <w:r>
        <w:br w:type="page"/>
      </w:r>
    </w:p>
    <w:bookmarkEnd w:id="31"/>
    <w:bookmarkStart w:id="32" w:name="abstract"/>
    <w:p>
      <w:pPr>
        <w:pStyle w:val="Heading1"/>
      </w:pPr>
      <w:r>
        <w:t xml:space="preserve">Abstract</w:t>
      </w:r>
    </w:p>
    <w:p>
      <w:pPr>
        <w:pStyle w:val="AbstractFirstParagraph"/>
      </w:pPr>
      <w:commentRangeStart w:id="1"/>
      <w:r>
        <w:t xml:space="preserve">Grosz (2026) argues that the Big Five should be understood as composite-formative constructs rather than latent common causes of their indicators. We agree that broad personality domains are unlikely to be single biological, environmental, or psychological entities that directly generate all item responses. Yet this critique of simple reflective models does not establish that the Big Five are merely composites. Statistical unidimensionality does not require mechanistic singularity. Broad dimensions emerge from numerous partly shared biological, environmental, cognitive, motivational, social, and behavioral influences. Indeed, multiplicity of causes is the reason why continuous, approximately Gaussian traits are plausible. Hierarchical latent models can represent this distributed structure while retaining substantive variance at the facet, nuance, item, method, and residual levels. Local dependence and semantic overlap only challenge overly simplistic measurement models. Most importantly, the covariance among personality indicators remains to be explained. Composite scores preserve useful summaries, but they do not explain why the summarized indicators hang together. Treating compositing as a solution risks an operationalist retreat from understanding personality structure. We propose a multilevel causal-measurement framework in which broad domains capture approximate higher-order regularities, narrower tendencies retain their specificity, and the processes generating their covariance become explicit objects of inquiry.</w:t>
      </w:r>
      <w:commentRangeEnd w:id="1"/>
      <w:r>
        <w:rPr>
          <w:rStyle w:val="CommentReference"/>
        </w:rPr>
        <w:commentReference w:id="1"/>
      </w:r>
    </w:p>
    <w:p>
      <w:pPr>
        <w:pStyle w:val="BodyText"/>
      </w:pPr>
      <w:r>
        <w:rPr>
          <w:i/>
          <w:iCs/>
        </w:rPr>
        <w:t xml:space="preserve">Keywords</w:t>
      </w:r>
      <w:r>
        <w:t xml:space="preserve">: latent variables; composite scores; network analysis; Big Five; personality</w:t>
      </w:r>
    </w:p>
    <w:p>
      <w:r>
        <w:br w:type="page"/>
      </w:r>
    </w:p>
    <w:bookmarkEnd w:id="32"/>
    <w:bookmarkStart w:id="42" w:name="firstheader"/>
    <w:p>
      <w:pPr>
        <w:pStyle w:val="Heading1"/>
      </w:pPr>
      <w:r>
        <w:t xml:space="preserve">The Big Five Are Not Simple Composite Scores: Causal Complexity and Multilevel Trait Structure: A Commentary on Grosz (2026)</w:t>
      </w:r>
    </w:p>
    <w:p>
      <w:pPr>
        <w:pStyle w:val="FirstParagraph"/>
      </w:pPr>
      <w:r>
        <w:t xml:space="preserve">Grosz</w:t>
      </w:r>
      <w:r>
        <w:t xml:space="preserve"> </w:t>
      </w:r>
      <w:r>
        <w:t xml:space="preserve">(</w:t>
      </w:r>
      <w:hyperlink w:anchor="ref-groszWhyBigFive2026">
        <w:r>
          <w:rPr>
            <w:rStyle w:val="Hyperlink"/>
          </w:rPr>
          <w:t xml:space="preserve">2026</w:t>
        </w:r>
      </w:hyperlink>
      <w:r>
        <w:t xml:space="preserve">)</w:t>
      </w:r>
      <w:r>
        <w:t xml:space="preserve"> </w:t>
      </w:r>
      <w:commentRangeStart w:id="2"/>
      <w:r>
        <w:t xml:space="preserve">offers an important critique of how the Big Five are often interpreted in personality psychology. The critique is useful because it makes explicit an assumption that is too often left implicit: that a broad personality factor such as extraversion, agreeableness, conscientiousness, neuroticism, or openness is a common cause of the items used to measure it. In a strict reflective model, the latent trait causes item responses, and associations among items are expected to disappear once the latent trait is controlled. Grosz argues that this picture is implausible for the Big Five. We agree. The Big Five are unlikely to correspond to five simple biological, environmental, or mental entities that directly produce responses to all their indicators.</w:t>
      </w:r>
      <w:commentRangeEnd w:id="2"/>
      <w:r>
        <w:rPr>
          <w:rStyle w:val="CommentReference"/>
        </w:rPr>
        <w:commentReference w:id="2"/>
      </w:r>
    </w:p>
    <w:p>
      <w:pPr>
        <w:pStyle w:val="BodyText"/>
      </w:pPr>
      <w:commentRangeStart w:id="3"/>
      <w:r>
        <w:t xml:space="preserve">Our disagreement concerns the stronger conclusion that follows in Grosz’s article. From the fact that the Big Five are not simple common causes, Grosz concludes that they should instead be understood as composites of personality items and modeled, for descriptive and predictive purposes, with composite-formative models. This inference does not follow. The critique successfully challenges a naive version of reflective realism, but a composite-only conclusion requires an additional step, and that step is missing. In our opinion, a more plausible conclusion is that Big Five domains are higher-order dispositional structures: stable, reproducible patterns of covariation among narrower tendencies, generated by many partly shared biological, environmental, cognitive, motivational, social, and behavioral mechanisms. This reading is descriptively continuous with the original taxonomic definition of the domains as clusters of covarying tendencies</w:t>
      </w:r>
      <w:commentRangeEnd w:id="3"/>
      <w:r>
        <w:rPr>
          <w:rStyle w:val="CommentReference"/>
        </w:rPr>
        <w:commentReference w:id="3"/>
      </w:r>
      <w:r>
        <w:t xml:space="preserve"> </w:t>
      </w:r>
      <w:r>
        <w:t xml:space="preserve">(</w:t>
      </w:r>
      <w:hyperlink w:anchor="Xc4b5eabf8bfc9a04f54219d708c2981825dc6dc">
        <w:r>
          <w:rPr>
            <w:rStyle w:val="Hyperlink"/>
          </w:rPr>
          <w:t xml:space="preserve">McCrae &amp; John, 1992</w:t>
        </w:r>
      </w:hyperlink>
      <w:r>
        <w:t xml:space="preserve">)</w:t>
      </w:r>
      <w:r>
        <w:t xml:space="preserve">, and it adds the explanatory claim that the covariance has shared causes that a latent model can represent.</w:t>
      </w:r>
    </w:p>
    <w:bookmarkStart w:id="33" w:name="X0f6a6aea1978d84f234025345e0a181d54bb81a"/>
    <w:p>
      <w:pPr>
        <w:pStyle w:val="Heading2"/>
      </w:pPr>
      <w:r>
        <w:t xml:space="preserve">Latent Dimensions Need Not Be Single Mechanisms</w:t>
      </w:r>
    </w:p>
    <w:p>
      <w:pPr>
        <w:pStyle w:val="FirstParagraph"/>
      </w:pPr>
      <w:commentRangeStart w:id="4"/>
      <w:r>
        <w:t xml:space="preserve">Grosz’s argument relies on a demanding interpretation of what a latent common cause must be. If a reflective model requires one and only one biological, environmental, or mental entity that causes all item responses, then the model is indeed implausible. Extraversion is not a single small element inside the person that pushes upward talkativeness, sociability, assertiveness, excitement seeking, and positive affect. On this point, Grosz is right.</w:t>
      </w:r>
      <w:commentRangeEnd w:id="4"/>
      <w:r>
        <w:rPr>
          <w:rStyle w:val="CommentReference"/>
        </w:rPr>
        <w:commentReference w:id="4"/>
      </w:r>
    </w:p>
    <w:p>
      <w:pPr>
        <w:pStyle w:val="BodyText"/>
      </w:pPr>
      <w:commentRangeStart w:id="5"/>
      <w:r>
        <w:t xml:space="preserve">Statistical unidimensionality and mechanistic singularity, however, are two different things</w:t>
      </w:r>
      <w:commentRangeEnd w:id="5"/>
      <w:r>
        <w:rPr>
          <w:rStyle w:val="CommentReference"/>
        </w:rPr>
        <w:commentReference w:id="5"/>
      </w:r>
      <w:r>
        <w:t xml:space="preserve"> </w:t>
      </w:r>
      <w:r>
        <w:t xml:space="preserve">(</w:t>
      </w:r>
      <w:hyperlink w:anchor="ref-borsboomTheoreticalStatusLatent2003">
        <w:r>
          <w:rPr>
            <w:rStyle w:val="Hyperlink"/>
          </w:rPr>
          <w:t xml:space="preserve">Borsboom et al., 2003</w:t>
        </w:r>
      </w:hyperlink>
      <w:r>
        <w:t xml:space="preserve">,</w:t>
      </w:r>
      <w:r>
        <w:t xml:space="preserve"> </w:t>
      </w:r>
      <w:hyperlink w:anchor="ref-borsboomConceptValidity2004">
        <w:r>
          <w:rPr>
            <w:rStyle w:val="Hyperlink"/>
          </w:rPr>
          <w:t xml:space="preserve">2004</w:t>
        </w:r>
      </w:hyperlink>
      <w:r>
        <w:t xml:space="preserve">;</w:t>
      </w:r>
      <w:r>
        <w:t xml:space="preserve"> </w:t>
      </w:r>
      <w:hyperlink w:anchor="X4c6434462a136c53a9e9cc69b09c570a26e5826">
        <w:r>
          <w:rPr>
            <w:rStyle w:val="Hyperlink"/>
          </w:rPr>
          <w:t xml:space="preserve">Eronen, 2025</w:t>
        </w:r>
      </w:hyperlink>
      <w:r>
        <w:t xml:space="preserve">)</w:t>
      </w:r>
      <w:r>
        <w:t xml:space="preserve">. A latent factor can be treated as a model-based representation of shared variance generated by many partly overlapping causes. These causes need not be exactly identical across all indicators. Nor must they operate through perfectly proportional pathways. What matters is whether the shared influences are strong and aligned enough to make a broad dimension useful for organizing individual differences. In this sense, a Big Five factor is a compact representation of a distributed causal structure. In a structural model, the factor stands in for a constellation of causes whose joint effects on the indicators are approximately proportional. Approximate proportionality is the relevant assumption; mechanistic singularity is unnecessary. Under this view, conscientiousness summarizes a distributed set of potentially separate and independent processes that help generate orderliness, diligence, self-discipline, and dutifulness.</w:t>
      </w:r>
    </w:p>
    <w:p>
      <w:pPr>
        <w:pStyle w:val="BodyText"/>
      </w:pPr>
      <w:commentRangeStart w:id="6"/>
      <w:r>
        <w:t xml:space="preserve">A latent variable is especially useful when shared causes are distributed and not individually identifiable. When those causes can be isolated and measured, they can be modeled directly. Until then, the latent factor represents their common causal background. Showing that the causes behind a Big Five domain are numerous and distributed therefore describes the very situation in which latent modeling becomes useful. A list of separate predictors would be preferable only if the relevant causes had already been identified, measured, and theoretically separated.</w:t>
      </w:r>
      <w:commentRangeEnd w:id="6"/>
      <w:r>
        <w:rPr>
          <w:rStyle w:val="CommentReference"/>
        </w:rPr>
        <w:commentReference w:id="6"/>
      </w:r>
    </w:p>
    <w:p>
      <w:pPr>
        <w:pStyle w:val="BodyText"/>
      </w:pPr>
      <w:r>
        <w:t xml:space="preserve">Causal complexity is the expected case in personality psychology, and in individual differences more generally. Genetic studies do not suggest that Big Five domains map onto single genetic variants or isolated biological mechanisms. Rather, they point to highly polygenic and heterogeneous architectures. Behavior-genetic work similarly suggests a multilevel structure in which domain-general influences coexist with facet-specific influences. Grosz cites Franic, Borsboom, Dolan, and Boomsma</w:t>
      </w:r>
      <w:r>
        <w:t xml:space="preserve"> </w:t>
      </w:r>
      <w:r>
        <w:t xml:space="preserve">(</w:t>
      </w:r>
      <w:hyperlink w:anchor="ref-franicBigFivePersonality2014">
        <w:r>
          <w:rPr>
            <w:rStyle w:val="Hyperlink"/>
          </w:rPr>
          <w:t xml:space="preserve">2014</w:t>
        </w:r>
      </w:hyperlink>
      <w:r>
        <w:t xml:space="preserve">)</w:t>
      </w:r>
      <w:r>
        <w:t xml:space="preserve"> </w:t>
      </w:r>
      <w:r>
        <w:t xml:space="preserve">for one half of their result: models allowing genetic and environmental factors to act directly on the items fit better than models in which a single latent variable per domain fully mediates those effects. The other half of the same study points the other way. Franic et al. also recovered five-factor genetic and environmental covariance structures. The shared influences on the items are themselves organized along the Big Five. Read in full, the study supports a multilevel structure in which a distributed domain-level background coexists with facet- and item-specific influences. Briley and Tucker-Drob</w:t>
      </w:r>
      <w:r>
        <w:t xml:space="preserve"> </w:t>
      </w:r>
      <w:r>
        <w:t xml:space="preserve">(</w:t>
      </w:r>
      <w:hyperlink w:anchor="ref-brileyBroadBandwidthHigh2012">
        <w:r>
          <w:rPr>
            <w:rStyle w:val="Hyperlink"/>
          </w:rPr>
          <w:t xml:space="preserve">2012</w:t>
        </w:r>
      </w:hyperlink>
      <w:r>
        <w:t xml:space="preserve">)</w:t>
      </w:r>
      <w:r>
        <w:t xml:space="preserve"> </w:t>
      </w:r>
      <w:commentRangeStart w:id="7"/>
      <w:r>
        <w:t xml:space="preserve">reach the same multilevel conclusion from twin data. The evidence Grosz invokes against the latent domain therefore requires a higher-order representation, although a richer one than the single-mediator model he rejects.</w:t>
      </w:r>
      <w:commentRangeEnd w:id="7"/>
      <w:r>
        <w:rPr>
          <w:rStyle w:val="CommentReference"/>
        </w:rPr>
        <w:commentReference w:id="7"/>
      </w:r>
    </w:p>
    <w:p>
      <w:pPr>
        <w:pStyle w:val="BodyText"/>
      </w:pPr>
      <w:commentRangeStart w:id="8"/>
      <w:r>
        <w:t xml:space="preserve">The widespread assumption of normally-distributed latent factors makes this point particularly explicit. Under familiar central-limit conditions, a Gaussian distribution is the expected result of many small, partly independent influences combining additively. It is therefore theoretically at odds with the image of a latent factor as the expression of one singular mechanism. Factor analysis and item-response models have long treated broad latent differences as continuous precisely because they can arise from the accumulation of many genetic, environmental, neurobiological, and psychological causes. Grosz’s evidence for causal multiplicity consequently weakens a simple single-mechanism interpretation, while fitting naturally with a distributed latent-trait account. Such complexity may require multilevel latent structures, networks of narrower tendencies, or combinations of these approaches.</w:t>
      </w:r>
      <w:commentRangeEnd w:id="8"/>
      <w:r>
        <w:rPr>
          <w:rStyle w:val="CommentReference"/>
        </w:rPr>
        <w:commentReference w:id="8"/>
      </w:r>
    </w:p>
    <w:p>
      <w:pPr>
        <w:pStyle w:val="BodyText"/>
      </w:pPr>
      <w:commentRangeStart w:id="9"/>
      <w:r>
        <w:t xml:space="preserve">The appropriate question is therefore quantitative and comparative. How much covariance is captured by the broad domain? How much remains at the facet, nuance, item, method, or residual level? Are deviations from proportionality large enough to undermine the use of a broad factor for a given purpose? Which model best captures the relevant structure for the question at hand? These questions cannot be answered by noting that the Big Five are not single entities. They require explicit multilevel modeling.</w:t>
      </w:r>
      <w:commentRangeEnd w:id="9"/>
      <w:r>
        <w:rPr>
          <w:rStyle w:val="CommentReference"/>
        </w:rPr>
        <w:commentReference w:id="9"/>
      </w:r>
    </w:p>
    <w:p>
      <w:pPr>
        <w:pStyle w:val="BodyText"/>
      </w:pPr>
      <w:commentRangeStart w:id="10"/>
      <w:commentRangeStart w:id="52"/>
      <w:r>
        <w:t xml:space="preserve">The condition of sufficiently aligned effects is also empirically constrained. Strong deviations should appear as poor fit, large residual correlations, cross-loadings, local factors, or unstable parameter estimates. These diagnostics are the everyday language of factor analysis and SEM, where departures from simple structure have long been expected, detected, and modeled. They may reflect non-proportional substantive causes, semantic redundancy, wording effects, response styles, or method variance. The appropriate response depends on the source: facet factors, method factors, residual covariances, revised item wording, or a narrower target construct may be appropriate</w:t>
      </w:r>
      <w:commentRangeEnd w:id="52"/>
      <w:r>
        <w:rPr>
          <w:rStyle w:val="CommentReference"/>
        </w:rPr>
        <w:commentReference w:id="52"/>
      </w:r>
      <w:commentRangeEnd w:id="10"/>
      <w:r>
        <w:rPr>
          <w:rStyle w:val="CommentReference"/>
        </w:rPr>
        <w:commentReference w:id="10"/>
      </w:r>
      <w:r>
        <w:t xml:space="preserve"> </w:t>
      </w:r>
      <w:r>
        <w:t xml:space="preserve">(</w:t>
      </w:r>
      <w:hyperlink w:anchor="ref-leisingWhyJudgmentsDifferent2025">
        <w:r>
          <w:rPr>
            <w:rStyle w:val="Hyperlink"/>
          </w:rPr>
          <w:t xml:space="preserve">Leising et al., 2025</w:t>
        </w:r>
      </w:hyperlink>
      <w:r>
        <w:t xml:space="preserve">;</w:t>
      </w:r>
      <w:r>
        <w:t xml:space="preserve"> </w:t>
      </w:r>
      <w:hyperlink w:anchor="ref-sotoNextBigFive2017">
        <w:r>
          <w:rPr>
            <w:rStyle w:val="Hyperlink"/>
          </w:rPr>
          <w:t xml:space="preserve">Soto &amp; John, 2017</w:t>
        </w:r>
      </w:hyperlink>
      <w:r>
        <w:t xml:space="preserve">)</w:t>
      </w:r>
      <w:r>
        <w:t xml:space="preserve">. This keeps the distributed common-cause view open to failure for specific instruments and purposes.</w:t>
      </w:r>
    </w:p>
    <w:p>
      <w:pPr>
        <w:pStyle w:val="BodyText"/>
      </w:pPr>
      <w:r>
        <w:t xml:space="preserve">Composite scores remain useful for description and prediction, but they leave the covariance to be explained. If two narrow tendencies covary and neither causes the other, their covariance points to shared causes</w:t>
      </w:r>
      <w:r>
        <w:t xml:space="preserve"> </w:t>
      </w:r>
      <w:r>
        <w:t xml:space="preserve">(</w:t>
      </w:r>
      <w:hyperlink w:anchor="ref-reichenbachDirectionTime1956">
        <w:r>
          <w:rPr>
            <w:rStyle w:val="Hyperlink"/>
          </w:rPr>
          <w:t xml:space="preserve">Reichenbach, 1956</w:t>
        </w:r>
      </w:hyperlink>
      <w:r>
        <w:t xml:space="preserve">)</w:t>
      </w:r>
      <w:commentRangeStart w:id="11"/>
      <w:r>
        <w:t xml:space="preserve">. A general latent factor can represent that shared background, while remaining only one candidate explanation. Leaving facet covariance as an unexplained correlation is therefore a theoretical retreat: the composite records the phenomenon without explaining it.</w:t>
      </w:r>
      <w:commentRangeEnd w:id="11"/>
      <w:r>
        <w:rPr>
          <w:rStyle w:val="CommentReference"/>
        </w:rPr>
        <w:commentReference w:id="11"/>
      </w:r>
    </w:p>
    <w:bookmarkEnd w:id="33"/>
    <w:bookmarkStart w:id="34" w:name="X6a571bc8323699c0d7f80ca3acb793da3594503"/>
    <w:p>
      <w:pPr>
        <w:pStyle w:val="Heading2"/>
      </w:pPr>
      <w:r>
        <w:t xml:space="preserve">Separability and the Blood-Glucose Standard</w:t>
      </w:r>
    </w:p>
    <w:p>
      <w:pPr>
        <w:pStyle w:val="FirstParagraph"/>
      </w:pPr>
      <w:commentRangeStart w:id="12"/>
      <w:r>
        <w:t xml:space="preserve">A second main point of Grosz’s critique partly rests on a separability argument. Blood glucose can be identified independently of the instruments used to measure it, and variations in blood glucose can plausibly be treated as common causes of readings obtained from different indicators. Big Five traits do not have this structure. Extraversion cannot be isolated from talkativeness, sociability, enthusiasm, assertiveness, activity, and related tendencies in the way blood glucose can be isolated from glucose meters. Grosz takes this as evidence that Big Five domains are composites and that latent-trait interpretations are unwarranted.</w:t>
      </w:r>
      <w:commentRangeEnd w:id="12"/>
      <w:r>
        <w:rPr>
          <w:rStyle w:val="CommentReference"/>
        </w:rPr>
        <w:commentReference w:id="12"/>
      </w:r>
    </w:p>
    <w:p>
      <w:pPr>
        <w:pStyle w:val="BodyText"/>
      </w:pPr>
      <w:commentRangeStart w:id="13"/>
      <w:r>
        <w:t xml:space="preserve">Blood glucose is itself multicausally determined, so causal simplicity cannot explain why it works better as a measurement benchmark. The blood-glucose analogy nevertheless remains poorly matched to any psychological construct. What distinguishes blood glucose is the precision with which a specific physiological quantity can be isolated and measured. A syndrome or disease would be a closer analogy, although still imperfect. Many clinical conditions have multiple causes and heterogeneous manifestations, yet they can remain meaningful units when their manifestations converge into a stable pattern. Personality traits are even more continuous and probabilistic, so a single-quantity benchmark is too strict. The benchmark also targets the wrong question.</w:t>
      </w:r>
      <w:commentRangeEnd w:id="13"/>
      <w:r>
        <w:rPr>
          <w:rStyle w:val="CommentReference"/>
        </w:rPr>
        <w:commentReference w:id="13"/>
      </w:r>
    </w:p>
    <w:p>
      <w:pPr>
        <w:pStyle w:val="BodyText"/>
      </w:pPr>
      <w:commentRangeStart w:id="14"/>
      <w:r>
        <w:t xml:space="preserve">In psychology the object of interest is rarely the observed behavior itself. It is what that behavior indicates, and the level at which the shared variance behind the indicators explains other outcomes. For general intelligence, this has long been familiar: vocabulary or matrix items matter because of what they jointly indicate and predict, not just because a person possesses a large vocabulary. Personality may sit closer to the observable end, and this should be argued on its own terms. Even so, the inferential target remains the shared level, not the isolated item.</w:t>
      </w:r>
      <w:commentRangeEnd w:id="14"/>
      <w:r>
        <w:rPr>
          <w:rStyle w:val="CommentReference"/>
        </w:rPr>
        <w:commentReference w:id="14"/>
      </w:r>
    </w:p>
    <w:p>
      <w:pPr>
        <w:pStyle w:val="BodyText"/>
      </w:pPr>
      <w:r>
        <w:t xml:space="preserve">Whether a Big Five domain is physically separable from its indicators is therefore secondary. The domain-level variance may carry explanatory and predictive weight that item-specific residuals do not. Narrow personality traits do not usually have this kind of measurement status. Talkativeness, sociability, assertiveness, or orderliness are inferred from self-reports, other-reports, and context-dependent behaviors, each of which contains domain-level variance, narrow substantive variance, method variance, response style, and random error. This asymmetry is decisive against the glucose analogy. Blood glucose is isolable because the specific quantity is measured with high precision. Narrow personality traits often lack this status. Once the broad domain is partialled out, the reliable trait-specific variance that remains in a single facet or item can be modest</w:t>
      </w:r>
      <w:r>
        <w:t xml:space="preserve"> </w:t>
      </w:r>
      <w:r>
        <w:t xml:space="preserve">(</w:t>
      </w:r>
      <w:hyperlink w:anchor="Xe62d62208315736a44309c390e110b3ff4a912a">
        <w:r>
          <w:rPr>
            <w:rStyle w:val="Hyperlink"/>
          </w:rPr>
          <w:t xml:space="preserve">Westfall &amp; Yarkoni, 2016</w:t>
        </w:r>
      </w:hyperlink>
      <w:r>
        <w:t xml:space="preserve">)</w:t>
      </w:r>
      <w:commentRangeStart w:id="15"/>
      <w:r>
        <w:t xml:space="preserve">. Personality indicators are often measured reliably at the domain level, while the narrow level that Grosz wants to move to remains noisy. His own recommendation to estimate item retest reliabilities concedes this point: items carry substantial measurement error that only aggregation and explicit error modeling can address. After the broad domain is partialled out, the specific reliability of a narrow facet or item can be limited, even though nuance-level characteristics can show cross-rater agreement, rank-order stability, heritability, and practical utility when assessed and aggregated appropriately</w:t>
      </w:r>
      <w:commentRangeEnd w:id="15"/>
      <w:r>
        <w:rPr>
          <w:rStyle w:val="CommentReference"/>
        </w:rPr>
        <w:commentReference w:id="15"/>
      </w:r>
      <w:r>
        <w:t xml:space="preserve"> </w:t>
      </w:r>
      <w:r>
        <w:t xml:space="preserve">(</w:t>
      </w:r>
      <w:hyperlink w:anchor="X995a3206a9fa7cbfa8d34c172dbc4423f965255">
        <w:r>
          <w:rPr>
            <w:rStyle w:val="Hyperlink"/>
          </w:rPr>
          <w:t xml:space="preserve">Mõttus et al., 2019</w:t>
        </w:r>
      </w:hyperlink>
      <w:r>
        <w:t xml:space="preserve">;</w:t>
      </w:r>
      <w:r>
        <w:t xml:space="preserve"> </w:t>
      </w:r>
      <w:hyperlink w:anchor="Xe62d62208315736a44309c390e110b3ff4a912a">
        <w:r>
          <w:rPr>
            <w:rStyle w:val="Hyperlink"/>
          </w:rPr>
          <w:t xml:space="preserve">Westfall &amp; Yarkoni, 2016</w:t>
        </w:r>
      </w:hyperlink>
      <w:r>
        <w:t xml:space="preserve">)</w:t>
      </w:r>
      <w:r>
        <w:t xml:space="preserve">. Separability in personality is therefore graded and model-dependent. Broad domains remain useful because they stabilize and organize shared variance that narrow indicators often capture only noisily.</w:t>
      </w:r>
    </w:p>
    <w:p>
      <w:pPr>
        <w:pStyle w:val="BodyText"/>
      </w:pPr>
      <w:r>
        <w:t xml:space="preserve">The related mereological claim is also underdetermined. One may say that narrow traits are</w:t>
      </w:r>
      <w:r>
        <w:t xml:space="preserve"> </w:t>
      </w:r>
      <w:r>
        <w:t xml:space="preserve">“parts”</w:t>
      </w:r>
      <w:r>
        <w:t xml:space="preserve"> </w:t>
      </w:r>
      <w:commentRangeStart w:id="16"/>
      <w:r>
        <w:t xml:space="preserve">of extraversion while being distinct from effects of extraversion. But part-whole language does not explain why the parts covary. If talkativeness, sociability, assertiveness, positive affect, and reward sensitivity form a stable pattern across persons, instruments, and occasions, this pattern remains an explanandum. It may reflect common causes, reciprocal reinforcement, semantic overlap, social learning, biological dispositions, or mixtures of these. A composite description does not identify which of these mechanisms is responsible. Separability arguments therefore challenge a simple entity view of the Big Five, but they do not by themselves justify a composite-only interpretation.</w:t>
      </w:r>
      <w:commentRangeEnd w:id="16"/>
      <w:r>
        <w:rPr>
          <w:rStyle w:val="CommentReference"/>
        </w:rPr>
        <w:commentReference w:id="16"/>
      </w:r>
    </w:p>
    <w:bookmarkEnd w:id="34"/>
    <w:bookmarkStart w:id="35" w:name="X7943727a537aaafba86fc79a9f787cdcc248d5e"/>
    <w:p>
      <w:pPr>
        <w:pStyle w:val="Heading2"/>
      </w:pPr>
      <w:r>
        <w:t xml:space="preserve">Local Dependence Requires Richer Measurement Models</w:t>
      </w:r>
    </w:p>
    <w:p>
      <w:pPr>
        <w:pStyle w:val="FirstParagraph"/>
      </w:pPr>
      <w:r>
        <w:t xml:space="preserve">Grosz also emphasizes that Big Five items are linked by direct causal relations, semantic overlap, and logical dependencies. This is a serious challenge to simple reflective models. If enthusiasm increases talkativeness, if being organized facilitates being punctual, or if two items are near paraphrases, then local independence is violated. A model in which all item associations are fully explained by one latent variable will be too simple and Grosz is, again, right.</w:t>
      </w:r>
    </w:p>
    <w:p>
      <w:pPr>
        <w:pStyle w:val="BodyText"/>
      </w:pPr>
      <w:r>
        <w:t xml:space="preserve">Nonetheless, the conclusion should remain limited. The first question is inappropriateness of what: a specific simple CFA model, a particular item set, or the broader idea that shared variance can be modeled? The evidence usually speaks most directly to the first two</w:t>
      </w:r>
      <w:r>
        <w:t xml:space="preserve"> </w:t>
      </w:r>
      <w:r>
        <w:t xml:space="preserve">(</w:t>
      </w:r>
      <w:hyperlink w:anchor="ref-rhemtullaWorseMeasurementError2020">
        <w:r>
          <w:rPr>
            <w:rStyle w:val="Hyperlink"/>
          </w:rPr>
          <w:t xml:space="preserve">Rhemtulla et al., 2020</w:t>
        </w:r>
      </w:hyperlink>
      <w:r>
        <w:t xml:space="preserve">)</w:t>
      </w:r>
      <w:commentRangeStart w:id="17"/>
      <w:r>
        <w:t xml:space="preserve">. Local dependence leaves several explanatory representations open, including network models, multilevel latent structures, and combinations of these approaches. Composite scoring remains available for description and prediction, although it does not decompose the sources of local dependence. Direct item relations, semantic overlap, and residual dependencies can be modeled with facets, correlated residuals, method factors, specific factors, network edges, cross-loadings, or hierarchical structures. Local dependence therefore motivates richer models and stronger item-level diagnostics. The distinction between two sources of local dependence defuses the charge of post-hoc curve-fitting. If items covary beyond the factor because of semantic overlap or near-duplication, a correlated residual is a stopgap and the proper fix is to repair the instrument for the next administration. If they covary because a genuine facet sits between item and domain, the corresponding structure is hierarchical variance predicted in advance. A higher-order model that anticipates general plus specific variance is a specification, not an excuse. Here, again, a methodological analogy with hierarchical models of intelligence is useful: specific subtest’s variance never invalidated the abstractive and predictive value of the general factor because the hierarchy was expected from the start. The empirical question is the level at which external outcomes are explained.</w:t>
      </w:r>
      <w:commentRangeEnd w:id="17"/>
      <w:r>
        <w:rPr>
          <w:rStyle w:val="CommentReference"/>
        </w:rPr>
        <w:commentReference w:id="17"/>
      </w:r>
    </w:p>
    <w:p>
      <w:pPr>
        <w:pStyle w:val="BodyText"/>
      </w:pPr>
      <w:r>
        <w:t xml:space="preserve">Rhemtulla et al.</w:t>
      </w:r>
      <w:r>
        <w:t xml:space="preserve"> </w:t>
      </w:r>
      <w:r>
        <w:t xml:space="preserve">(</w:t>
      </w:r>
      <w:hyperlink w:anchor="ref-rhemtullaWorseMeasurementError2020">
        <w:r>
          <w:rPr>
            <w:rStyle w:val="Hyperlink"/>
          </w:rPr>
          <w:t xml:space="preserve">2020</w:t>
        </w:r>
      </w:hyperlink>
      <w:r>
        <w:t xml:space="preserve">)</w:t>
      </w:r>
      <w:commentRangeStart w:id="18"/>
      <w:r>
        <w:t xml:space="preserve">, cited by Grosz, show that imposing a reflective model on data not generated reflectively biases estimates. We accept the result and read it precisely: it indicts the wrong reflective model, the simple one-factor specification with local independence. It does not indict the hierarchical specification that expects the dependence. The remedy their result motivates is a better structural model, or a better causal/process model, not the abandonment of structure for a sum.</w:t>
      </w:r>
      <w:commentRangeEnd w:id="18"/>
      <w:r>
        <w:rPr>
          <w:rStyle w:val="CommentReference"/>
        </w:rPr>
        <w:commentReference w:id="18"/>
      </w:r>
    </w:p>
    <w:p>
      <w:pPr>
        <w:pStyle w:val="BodyText"/>
      </w:pPr>
      <w:r>
        <w:t xml:space="preserve">Leising et al.</w:t>
      </w:r>
      <w:r>
        <w:t xml:space="preserve"> </w:t>
      </w:r>
      <w:r>
        <w:t xml:space="preserve">(</w:t>
      </w:r>
      <w:hyperlink w:anchor="ref-leisingWhyJudgmentsDifferent2025">
        <w:r>
          <w:rPr>
            <w:rStyle w:val="Hyperlink"/>
          </w:rPr>
          <w:t xml:space="preserve">2025</w:t>
        </w:r>
      </w:hyperlink>
      <w:r>
        <w:t xml:space="preserve">)</w:t>
      </w:r>
      <w:r>
        <w:t xml:space="preserve"> </w:t>
      </w:r>
      <w:r>
        <w:t xml:space="preserve">make this ambiguity especially clear. Correlations among person-descriptive judgments may reflect common substantive causes, direct substantive relations among target characteristics, semantic redundancy, perceiver attitudes, response styles, or mixtures of these. This multiplicity blocks simple inferences from item covariance to any single representation. Item covariance may support a common-cause model, a network model, a method model, or a multilevel combination of these explanatory representations</w:t>
      </w:r>
      <w:r>
        <w:t xml:space="preserve"> </w:t>
      </w:r>
      <w:r>
        <w:t xml:space="preserve">(</w:t>
      </w:r>
      <w:hyperlink w:anchor="X6a43a8acb711d39434cd14fc7b4fcd90dfcb461">
        <w:r>
          <w:rPr>
            <w:rStyle w:val="Hyperlink"/>
          </w:rPr>
          <w:t xml:space="preserve">Cramer et al., 2012</w:t>
        </w:r>
      </w:hyperlink>
      <w:r>
        <w:t xml:space="preserve">)</w:t>
      </w:r>
      <w:r>
        <w:t xml:space="preserve">. Composite scores remain useful descriptive summaries of the same covariance. The covariance remains explanatorily ambiguous until its sources are decomposed.</w:t>
      </w:r>
    </w:p>
    <w:p>
      <w:pPr>
        <w:pStyle w:val="BodyText"/>
      </w:pPr>
      <w:r>
        <w:t xml:space="preserve">The same reasoning applies to semantic overlap. Semantic similarity among items can inflate associations and make factor structures partly linguistic. Yet semantic overlap is not a reason to stop modeling latent structure. It is a reason to distinguish semantic methodological redundancy from substantive covariation, to use multimethod data when possible, and to test whether the same structure appears across item formats, informants, behaviors, and contexts. A composite score formed from semantically overlapping items does not remove this problem. It carries the redundancy into the score without further questioning it.</w:t>
      </w:r>
    </w:p>
    <w:bookmarkEnd w:id="35"/>
    <w:bookmarkStart w:id="36" w:name="X14e566ec8282a7e0158a50f18fe9c15827b3534"/>
    <w:p>
      <w:pPr>
        <w:pStyle w:val="Heading2"/>
      </w:pPr>
      <w:commentRangeStart w:id="19"/>
      <w:r>
        <w:t xml:space="preserve">Composite-Formative Models as an Operationalist Retreat</w:t>
      </w:r>
      <w:commentRangeEnd w:id="19"/>
      <w:r>
        <w:rPr>
          <w:rStyle w:val="CommentReference"/>
        </w:rPr>
        <w:commentReference w:id="19"/>
      </w:r>
    </w:p>
    <w:p>
      <w:pPr>
        <w:pStyle w:val="FirstParagraph"/>
      </w:pPr>
      <w:r>
        <w:t xml:space="preserve">Composite-formative models have legitimate uses. When the aim is to summarize a set of observed variables or maximize prediction of an outcome, a weighted or unweighted composite can be transparent and useful</w:t>
      </w:r>
      <w:r>
        <w:t xml:space="preserve"> </w:t>
      </w:r>
      <w:r>
        <w:t xml:space="preserve">(</w:t>
      </w:r>
      <w:hyperlink w:anchor="ref-bollenThreeCsMeasurement2011">
        <w:r>
          <w:rPr>
            <w:rStyle w:val="Hyperlink"/>
          </w:rPr>
          <w:t xml:space="preserve">Bollen &amp; Bauldry, 2011</w:t>
        </w:r>
      </w:hyperlink>
      <w:r>
        <w:t xml:space="preserve">)</w:t>
      </w:r>
      <w:r>
        <w:t xml:space="preserve">. Grosz is right that composites avoid one strong assumption of reflective models: they do not require the indicators to be effects of a latent common cause.</w:t>
      </w:r>
    </w:p>
    <w:p>
      <w:pPr>
        <w:pStyle w:val="BodyText"/>
      </w:pPr>
      <w:commentRangeStart w:id="20"/>
      <w:r>
        <w:t xml:space="preserve">This agnosticism should not be confused with explanation. The composite-formative model is most defensible as an agnostic scoring convention. It becomes less convincing when it is treated as the preferred ontological interpretation of the Big Five. A composite-formative model defines the Big Five score as an algebraic function of its indicators. This is useful as a scoring rule, although it does not explain why the indicators cohere. If items assessing talkativeness, sociability, enthusiasm, and assertiveness correlate robustly enough to justify an extraversion score, their covariance remains a substantive phenomenon. Composite scoring preserves that phenomenon in a convenient numerical form; it does not explain it. The reason is that a sum, taken on its own, leaves the covariance among the indicators unexplained. By Reichenbach’s common cause principle, indicators that covary without causing one another share common causes. A reflective or hierarchical model names that shared background and models it. The same is done, yet differently, by process models. A composite absorbs it into a score and is silent about it. The composite is a legitimate scoring rule sitting on top of an unstated causal structure. The question is what that structure is, and a sum does not answer it.</w:t>
      </w:r>
      <w:commentRangeEnd w:id="20"/>
      <w:r>
        <w:rPr>
          <w:rStyle w:val="CommentReference"/>
        </w:rPr>
        <w:commentReference w:id="20"/>
      </w:r>
    </w:p>
    <w:p>
      <w:pPr>
        <w:pStyle w:val="BodyText"/>
      </w:pPr>
      <w:r>
        <w:t xml:space="preserve">Composite-formative models risk becoming an operationalist retreat when they are offered as a general replacement for latent-trait models</w:t>
      </w:r>
      <w:r>
        <w:t xml:space="preserve"> </w:t>
      </w:r>
      <w:r>
        <w:t xml:space="preserve">(</w:t>
      </w:r>
      <w:hyperlink w:anchor="ref-yarkoniImplicitRealismImpedes2020">
        <w:r>
          <w:rPr>
            <w:rStyle w:val="Hyperlink"/>
          </w:rPr>
          <w:t xml:space="preserve">Yarkoni, 2020</w:t>
        </w:r>
      </w:hyperlink>
      <w:r>
        <w:t xml:space="preserve">)</w:t>
      </w:r>
      <w:r>
        <w:t xml:space="preserve">. Composites are often useful, especially for transparent scoring and prediction. A descriptive scoring rule can still be mistaken for a solution to an explanatory problem. Saying that extraversion is the sum of extraversion items tells us how the score is computed. It leaves open why these items covary, why the covariance is stable, why the score predicts life outcomes, why it shows genetic associations, and why it can be recovered across instruments and samples. Treating covariance as theoretically informative gives a rationale for grouping these indicators instead of arbitrary alternatives. The fallback position of</w:t>
      </w:r>
      <w:r>
        <w:t xml:space="preserve"> </w:t>
      </w:r>
      <w:r>
        <w:t xml:space="preserve">“correlated but distinct facets”</w:t>
      </w:r>
      <w:commentRangeStart w:id="21"/>
      <w:r>
        <w:t xml:space="preserve">, sometimes offered as a theory-neutral middle ground, is the weakest option. A correlation is not an explanation. Two facets correlate because one causes the other, because they share causes, or because both processes occur together. Recording the correlation while leaving these possibilities unmodeled explains nothing and forfeits the ability to separate true score from measurement error. Stopping at correlated facets is the point at which explanation and understanding are abandoned. Similarly, simulating correlated variables without specifying a data generating process of such correlations is misleading and inappropriate.</w:t>
      </w:r>
      <w:commentRangeEnd w:id="21"/>
      <w:r>
        <w:rPr>
          <w:rStyle w:val="CommentReference"/>
        </w:rPr>
        <w:commentReference w:id="21"/>
      </w:r>
    </w:p>
    <w:p>
      <w:pPr>
        <w:pStyle w:val="BodyText"/>
      </w:pPr>
      <w:commentRangeStart w:id="22"/>
      <w:r>
        <w:t xml:space="preserve">A systems view can make a composite principled. If one holds that the indicators covary because of reciprocal causation, social learning, and partly shared architecture, then a composite may summarize a system whose dynamics are specified elsewhere. That position is coherent. The weaker move is adopting the composite while leaving the underlying model unstated, which keeps the descriptive convenience of a sum and the explanatory commitments of none.</w:t>
      </w:r>
      <w:commentRangeEnd w:id="22"/>
      <w:r>
        <w:rPr>
          <w:rStyle w:val="CommentReference"/>
        </w:rPr>
        <w:commentReference w:id="22"/>
      </w:r>
    </w:p>
    <w:p>
      <w:pPr>
        <w:pStyle w:val="BodyText"/>
      </w:pPr>
      <w:commentRangeStart w:id="23"/>
      <w:r>
        <w:t xml:space="preserve">Direct relations among indicators also complicate composite interpretation. Suppose enthusiasm increases talkativeness, talkativeness elicits rewarding social interaction, and rewarding social interaction further increases enthusiasm. A composite of enthusiasm and talkativeness can summarize this pattern, but it does not tell us whether its components are independent ingredients, consequences of one another, or products of a feedback loop. If one component partly causes another, a composite may weight the upstream process both directly and indirectly through its downstream consequences. With reciprocal causation, the score reflects an equilibrium of mutually reinforcing processes and does not have a simple additive interpretation.</w:t>
      </w:r>
      <w:commentRangeEnd w:id="23"/>
      <w:r>
        <w:rPr>
          <w:rStyle w:val="CommentReference"/>
        </w:rPr>
        <w:commentReference w:id="23"/>
      </w:r>
    </w:p>
    <w:p>
      <w:pPr>
        <w:pStyle w:val="BodyText"/>
      </w:pPr>
      <w:r>
        <w:t xml:space="preserve">This point does not make composites mathematically invalid. It does make their substantive interpretation less transparent. The same local dependencies that challenge simple reflective models also limit the explanatory interpretation of simple composite scores. They point toward causal and explicit modeling of the indicator system.</w:t>
      </w:r>
    </w:p>
    <w:bookmarkEnd w:id="36"/>
    <w:bookmarkStart w:id="37" w:name="Xe1d60eb8ed62d57644290f0b5052ece0d13dc31"/>
    <w:p>
      <w:pPr>
        <w:pStyle w:val="Heading2"/>
      </w:pPr>
      <w:r>
        <w:t xml:space="preserve">The Positive Manifold Cannot Be Merely Aggregated Away</w:t>
      </w:r>
    </w:p>
    <w:p>
      <w:pPr>
        <w:pStyle w:val="FirstParagraph"/>
      </w:pPr>
      <w:commentRangeStart w:id="24"/>
      <w:r>
        <w:t xml:space="preserve">A central fact about personality data remains: indicators within broad domains tend to covary. This positive manifold per se is not proof of a latent common cause (i.e., a set of shared causes), although that remains our favorite explanation. It may also arise from direct reciprocal relations, semantic overlap, social desirability, response styles, or mixtures of these. Yet the positive manifold is an explanandum. One further observation bears on the composite interpretation: if the Big Five were simple algebraic sums tied to specific item sets, their predictive and structural properties should change substantially when the item set changes. The evidence runs in the opposite direction. Domain-level convergence across instruments with different item pools, response formats, and informants is well documented, and the five-factor structure recovers across languages and cultures. This cross-instrument approximate invariance is difficult to explain if each composite is merely the sum of its own particular items; it is consistent with the view that different instruments sample, imperfectly and from different angles, the same underlying covariance space.</w:t>
      </w:r>
      <w:commentRangeEnd w:id="24"/>
      <w:r>
        <w:rPr>
          <w:rStyle w:val="CommentReference"/>
        </w:rPr>
        <w:commentReference w:id="24"/>
      </w:r>
    </w:p>
    <w:p>
      <w:pPr>
        <w:pStyle w:val="BodyText"/>
      </w:pPr>
      <w:commentRangeStart w:id="25"/>
      <w:r>
        <w:t xml:space="preserve">The existence of a useful composite presupposes that the indicators hang together; otherwise there would be little reason to aggregate them. A composite faces a simple dilemma. If its indicators do not covary, its psychological unity is unclear. If they do covary, that covariance requires explanation and cannot be made theoretically irrelevant by summing the indicators.</w:t>
      </w:r>
      <w:commentRangeEnd w:id="25"/>
      <w:r>
        <w:rPr>
          <w:rStyle w:val="CommentReference"/>
        </w:rPr>
        <w:commentReference w:id="25"/>
      </w:r>
    </w:p>
    <w:p>
      <w:pPr>
        <w:pStyle w:val="BodyText"/>
      </w:pPr>
      <w:r>
        <w:t xml:space="preserve">The composite-only interpretation therefore faces a limitation. It can describe the manifold, but it does not explain it. If the correlations among indicators are due mainly to common substantive causes, then some form of common-cause or shared-variance explanation re-enters. If they are due mainly to reciprocal relations among narrower tendencies, then a network or process model is needed. If both sources are important, latent and network models may need to be integrated. If they are due mainly to semantic overlap, then the issue concerns item construction and language. If they are due to perceiver’s attitudes or response styles, then method variance must be modeled. If they are due to how the instrument and the scales are constructed, then the measure is the problem. In none of these cases is aggregation by itself explanatory.</w:t>
      </w:r>
    </w:p>
    <w:p>
      <w:pPr>
        <w:pStyle w:val="BodyText"/>
      </w:pPr>
      <w:r>
        <w:t xml:space="preserve">This point also preserves the distinction between prediction and explanation. A composite or item-level algorithm may predict an outcome well while telling us little about why the predictors covary, why they predict the outcome, or what construct the predictor actually represents. Conversely, a broad factor may organize a domain of individual differences even when narrower indicators outperform it for some specific outcomes. Prediction and explanation are related but not identical aims. Treating the Big Five as composites may be sufficient for some predictive purposes, but it does not settle their theoretical status.</w:t>
      </w:r>
    </w:p>
    <w:p>
      <w:pPr>
        <w:pStyle w:val="BodyText"/>
      </w:pPr>
      <w:commentRangeStart w:id="26"/>
      <w:r>
        <w:t xml:space="preserve">A latent-variable model can fail when its causal assumptions are false. A composite-formative model can also fail when it treats a heterogeneous, locally dependent, or semantically redundant item set as a straightforward additive score. Repeated items, logical opposites, semantic overlap, and direct causal relations among indicators remain present under compositing and are absorbed into the score. Composite-formative models therefore leave important assumptions implicit. The relevant question concerns which model best represents the covariance structure, residual dependencies, and substantive theory of the construct. A composite-formative modeling is not a safe, assumptions-free solution.</w:t>
      </w:r>
      <w:commentRangeEnd w:id="26"/>
      <w:r>
        <w:rPr>
          <w:rStyle w:val="CommentReference"/>
        </w:rPr>
        <w:commentReference w:id="26"/>
      </w:r>
    </w:p>
    <w:bookmarkEnd w:id="37"/>
    <w:bookmarkStart w:id="38" w:name="X9f2ccfb784a4a5037e34510fe965117b36ed006"/>
    <w:p>
      <w:pPr>
        <w:pStyle w:val="Heading2"/>
      </w:pPr>
      <w:r>
        <w:t xml:space="preserve">The Intelligence Analogy Clarifies the Composite-Only Inference</w:t>
      </w:r>
    </w:p>
    <w:p>
      <w:pPr>
        <w:pStyle w:val="FirstParagraph"/>
      </w:pPr>
      <w:r>
        <w:t xml:space="preserve">The same logic appears in intelligence research. Cognitive tests show a positive manifold, task-specific variance, group factors, method effects, training effects, and local dependencies. General intelligence is also genetically and biologically distributed, with many small influences and no single simple mechanism</w:t>
      </w:r>
      <w:r>
        <w:t xml:space="preserve"> </w:t>
      </w:r>
      <w:r>
        <w:t xml:space="preserve">(</w:t>
      </w:r>
      <w:hyperlink w:anchor="X42ee104d443a3a6c657fd3ff4a7f97f68741643">
        <w:r>
          <w:rPr>
            <w:rStyle w:val="Hyperlink"/>
          </w:rPr>
          <w:t xml:space="preserve">Plomin &amp; Deary, 2015</w:t>
        </w:r>
      </w:hyperlink>
      <w:r>
        <w:t xml:space="preserve">;</w:t>
      </w:r>
      <w:r>
        <w:t xml:space="preserve"> </w:t>
      </w:r>
      <w:hyperlink w:anchor="X6112d9fba4c6b21a26c888b7e3936d17a625ae7">
        <w:r>
          <w:rPr>
            <w:rStyle w:val="Hyperlink"/>
          </w:rPr>
          <w:t xml:space="preserve">Savage et al., 2018</w:t>
        </w:r>
      </w:hyperlink>
      <w:r>
        <w:t xml:space="preserve">;</w:t>
      </w:r>
      <w:r>
        <w:t xml:space="preserve"> </w:t>
      </w:r>
      <w:hyperlink w:anchor="X4d3bd9becacb69f7d207c3f1c5524977f352213">
        <w:r>
          <w:rPr>
            <w:rStyle w:val="Hyperlink"/>
          </w:rPr>
          <w:t xml:space="preserve">Spearman, 1904</w:t>
        </w:r>
      </w:hyperlink>
      <w:r>
        <w:t xml:space="preserve">)</w:t>
      </w:r>
      <w:commentRangeStart w:id="27"/>
      <w:r>
        <w:t xml:space="preserve">. These facts have not led intelligence research to treat general intelligence as an arbitrary sum of test scores.</w:t>
      </w:r>
      <w:commentRangeEnd w:id="27"/>
      <w:r>
        <w:rPr>
          <w:rStyle w:val="CommentReference"/>
        </w:rPr>
        <w:commentReference w:id="27"/>
      </w:r>
    </w:p>
    <w:p>
      <w:pPr>
        <w:pStyle w:val="BodyText"/>
      </w:pPr>
      <w:r>
        <w:t xml:space="preserve">The usual response has been hierarchical and process-oriented modeling. The general factor, broad abilities, narrow abilities, and task-specific residuals can be represented together in hierarchical models</w:t>
      </w:r>
      <w:r>
        <w:t xml:space="preserve"> </w:t>
      </w:r>
      <w:r>
        <w:t xml:space="preserve">(</w:t>
      </w:r>
      <w:hyperlink w:anchor="ref-carrollHumanCognitiveAbilities1993">
        <w:r>
          <w:rPr>
            <w:rStyle w:val="Hyperlink"/>
          </w:rPr>
          <w:t xml:space="preserve">Carroll, 1993</w:t>
        </w:r>
      </w:hyperlink>
      <w:r>
        <w:t xml:space="preserve">)</w:t>
      </w:r>
      <w:r>
        <w:t xml:space="preserve">. Alternative accounts, such as mutualism, also treat the positive manifold as a phenomenon requiring explanation</w:t>
      </w:r>
      <w:r>
        <w:t xml:space="preserve"> </w:t>
      </w:r>
      <w:r>
        <w:t xml:space="preserve">(</w:t>
      </w:r>
      <w:hyperlink w:anchor="ref-vandermaasDynamicalModelGeneral2006">
        <w:r>
          <w:rPr>
            <w:rStyle w:val="Hyperlink"/>
          </w:rPr>
          <w:t xml:space="preserve">Van Der Maas et al., 2006</w:t>
        </w:r>
      </w:hyperlink>
      <w:r>
        <w:t xml:space="preserve">)</w:t>
      </w:r>
      <w:r>
        <w:t xml:space="preserve">. The shared lesson is that covariance structure remains theoretically informative even when its generative mechanisms are distributed and complex.</w:t>
      </w:r>
    </w:p>
    <w:p>
      <w:pPr>
        <w:pStyle w:val="BodyText"/>
      </w:pPr>
      <w:r>
        <w:t xml:space="preserve">The intervention literature sharpens the same methodological point. Working memory training can improve the trained task while showing little transfer to general cognitive ability</w:t>
      </w:r>
      <w:r>
        <w:t xml:space="preserve"> </w:t>
      </w:r>
      <w:r>
        <w:t xml:space="preserve">(</w:t>
      </w:r>
      <w:hyperlink w:anchor="X04e5cceede2d2bff4b6f614314cacc3800dbf97">
        <w:r>
          <w:rPr>
            <w:rStyle w:val="Hyperlink"/>
          </w:rPr>
          <w:t xml:space="preserve">Melby-Lervåg et al., 2016</w:t>
        </w:r>
      </w:hyperlink>
      <w:r>
        <w:t xml:space="preserve">)</w:t>
      </w:r>
      <w:commentRangeStart w:id="28"/>
      <w:r>
        <w:t xml:space="preserve">. This cuts against a hasty composite reading. The specific skill could be moved, yet because the movement did not propagate to the general factor, the intervention lost much of its theoretical interest. If</w:t>
      </w:r>
      <w:commentRangeEnd w:id="28"/>
      <w:r>
        <w:rPr>
          <w:rStyle w:val="CommentReference"/>
        </w:rPr>
        <w:commentReference w:id="28"/>
      </w:r>
      <w:r>
        <w:t xml:space="preserve"> </w:t>
      </w:r>
      <w:r>
        <w:rPr>
          <w:i/>
          <w:iCs/>
        </w:rPr>
        <w:t xml:space="preserve">g</w:t>
      </w:r>
      <w:r>
        <w:t xml:space="preserve"> </w:t>
      </w:r>
      <w:r>
        <w:t xml:space="preserve">is the level that carries consequential variance and training cannot shift</w:t>
      </w:r>
      <w:r>
        <w:t xml:space="preserve"> </w:t>
      </w:r>
      <w:r>
        <w:rPr>
          <w:i/>
          <w:iCs/>
        </w:rPr>
        <w:t xml:space="preserve">g</w:t>
      </w:r>
      <w:r>
        <w:t xml:space="preserve">, then shifting the narrow component is a local effect of limited reach. Transposed to personality, and only as a methodological analogy, an intervention that changes one facet without moving the domain shows that the manipulation was local. Whether that local change matters depends on whether it propagates to the level at which outcomes are explained. This supports joint modeling of the levels.</w:t>
      </w:r>
    </w:p>
    <w:p>
      <w:pPr>
        <w:pStyle w:val="BodyText"/>
      </w:pPr>
      <w:commentRangeStart w:id="29"/>
      <w:r>
        <w:t xml:space="preserve">Grosz himself judges mutualism an unlikely primary source of within-domain covariance in personality and points instead to shared genetic and biological influences, including Franic et al.</w:t>
      </w:r>
      <w:commentRangeEnd w:id="29"/>
      <w:r>
        <w:rPr>
          <w:rStyle w:val="CommentReference"/>
        </w:rPr>
        <w:commentReference w:id="29"/>
      </w:r>
      <w:r>
        <w:t xml:space="preserve"> </w:t>
      </w:r>
      <w:r>
        <w:t xml:space="preserve">(</w:t>
      </w:r>
      <w:hyperlink w:anchor="ref-franicBigFivePersonality2014">
        <w:r>
          <w:rPr>
            <w:rStyle w:val="Hyperlink"/>
          </w:rPr>
          <w:t xml:space="preserve">2014</w:t>
        </w:r>
      </w:hyperlink>
      <w:r>
        <w:t xml:space="preserve">)</w:t>
      </w:r>
      <w:r>
        <w:t xml:space="preserve"> </w:t>
      </w:r>
      <w:r>
        <w:t xml:space="preserve">and Jackson and Wright</w:t>
      </w:r>
      <w:r>
        <w:t xml:space="preserve"> </w:t>
      </w:r>
      <w:r>
        <w:t xml:space="preserve">(</w:t>
      </w:r>
      <w:hyperlink w:anchor="Xc6f92149fc7268dd2477e2bfb3781b02afcd67c">
        <w:r>
          <w:rPr>
            <w:rStyle w:val="Hyperlink"/>
          </w:rPr>
          <w:t xml:space="preserve">2024</w:t>
        </w:r>
      </w:hyperlink>
      <w:r>
        <w:t xml:space="preserve">)</w:t>
      </w:r>
      <w:r>
        <w:t xml:space="preserve">. We take this seriously, and it forces a dilemma that Grosz does not resolve. We do not adopt mutualism for personality; we raise it as an explicit benchmark to make the choice visible. Either the covariance among Big Five indicators is generated by a declared systems model, with reciprocal causation in the mutualist sense, in which case the generative theory is a network and its implications must be accepted in full. Or the covariance is generated mainly by shared causes, which is the option Grosz’s own cited evidence favors, in which case a distributed common cause returns to the center of the explanation and a higher-order latent factor is its natural representation. The third path is the weak one: adopting an agnostic composite while invoking shared genetic and biological causes informally, taking the explanatory credit of common causes without paying the modeling cost of representing them. A composite is an operationalist retreat precisely when it occupies that third path.</w:t>
      </w:r>
    </w:p>
    <w:bookmarkEnd w:id="38"/>
    <w:bookmarkStart w:id="39" w:name="causal-inference-is-multilevel"/>
    <w:p>
      <w:pPr>
        <w:pStyle w:val="Heading2"/>
      </w:pPr>
      <w:r>
        <w:t xml:space="preserve">Causal Inference Is Multilevel</w:t>
      </w:r>
    </w:p>
    <w:p>
      <w:pPr>
        <w:pStyle w:val="FirstParagraph"/>
      </w:pPr>
      <w:r>
        <w:t xml:space="preserve">Grosz is right that broad personality domains are often poor direct intervention targets. On the narrow point that the Big Five are weak treatment variables, we do not contest him. We make a different and complementary claim: ruling the domains out as treatments does not rule them out of causal models in every role. Conflating</w:t>
      </w:r>
      <w:r>
        <w:t xml:space="preserve"> </w:t>
      </w:r>
      <w:r>
        <w:t xml:space="preserve">“a poor cause to manipulate”</w:t>
      </w:r>
      <w:r>
        <w:t xml:space="preserve"> </w:t>
      </w:r>
      <w:r>
        <w:t xml:space="preserve">with</w:t>
      </w:r>
      <w:r>
        <w:t xml:space="preserve"> </w:t>
      </w:r>
      <w:r>
        <w:t xml:space="preserve">“a variable to delete from the model”</w:t>
      </w:r>
      <w:r>
        <w:t xml:space="preserve"> </w:t>
      </w:r>
      <w:commentRangeStart w:id="30"/>
      <w:commentRangeStart w:id="50"/>
      <w:r>
        <w:t xml:space="preserve">is the step we resist. An intervention rarely changes extraversion as a whole. It changes opportunities, habits, skills, self-beliefs, motives, or specific behaviors. Narrow traits and multimethod assessments can therefore be closer to actionable mechanisms. This recommendation is fully compatible with latent-variable thinking. Self-reports, informant reports, and behavioral recordings can be treated as fallible indicators of a narrower disposition, with method variance modeled explicitly.</w:t>
      </w:r>
      <w:commentRangeEnd w:id="50"/>
      <w:r>
        <w:rPr>
          <w:rStyle w:val="CommentReference"/>
        </w:rPr>
        <w:commentReference w:id="50"/>
      </w:r>
      <w:commentRangeEnd w:id="30"/>
      <w:r>
        <w:rPr>
          <w:rStyle w:val="CommentReference"/>
        </w:rPr>
        <w:commentReference w:id="30"/>
      </w:r>
    </w:p>
    <w:p>
      <w:pPr>
        <w:pStyle w:val="BodyText"/>
      </w:pPr>
      <w:commentRangeStart w:id="31"/>
      <w:r>
        <w:t xml:space="preserve">Broad domains can still matter for causal inference in other roles. A broad domain may represent shared etiological variance that confounds the relation between a narrow trait and an outcome. It may moderate the effect of an intervention on a facet. It may serve as a mediator, a higher-order outcome, or a background liability that shapes many downstream behaviors at once. VanderWeele’s</w:t>
      </w:r>
      <w:commentRangeEnd w:id="31"/>
      <w:r>
        <w:rPr>
          <w:rStyle w:val="CommentReference"/>
        </w:rPr>
        <w:commentReference w:id="31"/>
      </w:r>
      <w:r>
        <w:t xml:space="preserve"> </w:t>
      </w:r>
      <w:r>
        <w:t xml:space="preserve">(</w:t>
      </w:r>
      <w:hyperlink w:anchor="ref-ConstructedMeasuresCausal">
        <w:r>
          <w:rPr>
            <w:rStyle w:val="Hyperlink"/>
          </w:rPr>
          <w:t xml:space="preserve">2022</w:t>
        </w:r>
      </w:hyperlink>
      <w:r>
        <w:t xml:space="preserve">)</w:t>
      </w:r>
      <w:r>
        <w:t xml:space="preserve"> </w:t>
      </w:r>
      <w:r>
        <w:t xml:space="preserve">discussion of constructed measures is useful here because causal inference often concerns multivariate constructs whose components have different causal relations with outcomes. Westfall and Yarkoni</w:t>
      </w:r>
      <w:r>
        <w:t xml:space="preserve"> </w:t>
      </w:r>
      <w:r>
        <w:t xml:space="preserve">(</w:t>
      </w:r>
      <w:hyperlink w:anchor="Xe62d62208315736a44309c390e110b3ff4a912a">
        <w:r>
          <w:rPr>
            <w:rStyle w:val="Hyperlink"/>
          </w:rPr>
          <w:t xml:space="preserve">2016</w:t>
        </w:r>
      </w:hyperlink>
      <w:r>
        <w:t xml:space="preserve">)</w:t>
      </w:r>
      <w:r>
        <w:t xml:space="preserve"> </w:t>
      </w:r>
      <w:r>
        <w:t xml:space="preserve">make a related point for statistical control: when constructs overlap and are measured fallibly, naive adjustment can seriously distort inferences. These possibilities require explicit causal diagrams and measurement models. Removing broad traits from the model can obscure the source of covariance that links the narrow variables together. A related concern in this literature is collider bias: Wysocki et al.</w:t>
      </w:r>
      <w:r>
        <w:t xml:space="preserve"> </w:t>
      </w:r>
      <w:r>
        <w:t xml:space="preserve">(</w:t>
      </w:r>
      <w:hyperlink w:anchor="X7a83b059e133039f7bec9dee435c24645fbb3d1">
        <w:r>
          <w:rPr>
            <w:rStyle w:val="Hyperlink"/>
          </w:rPr>
          <w:t xml:space="preserve">2022</w:t>
        </w:r>
      </w:hyperlink>
      <w:r>
        <w:t xml:space="preserve">)</w:t>
      </w:r>
      <w:r>
        <w:t xml:space="preserve"> </w:t>
      </w:r>
      <w:commentRangeStart w:id="32"/>
      <w:commentRangeStart w:id="33"/>
      <w:r>
        <w:t xml:space="preserve">argue that statistical control of a composite-formative score can introduce selection distortions because the components of an arbitrary composite may not share a common causal pathway. This concern, however, is not symmetrically a problem for the distributed common-cause view we defend. If a broad domain represents a higher-order latent structure generated by many partly shared causes, then conditioning on that domain in a causal model amounts to conditioning on the shared causal background of the facets, not on an arbitrary aggregate. The relevant question is therefore whether the broad trait being controlled for is a genuine common-cause representation or an atheoretical sum. For a distributed latent factor, controlling for the domain-level variance is the appropriate move to close backdoor paths through the shared etiology; for a purely composite score with no declared causal structure, the concern raised by Wysocki et al. applies. This distinction motivates explicit modeling of the higher-order structure rather than its removal.</w:t>
      </w:r>
      <w:commentRangeEnd w:id="33"/>
      <w:r>
        <w:rPr>
          <w:rStyle w:val="CommentReference"/>
        </w:rPr>
        <w:commentReference w:id="33"/>
      </w:r>
      <w:commentRangeEnd w:id="32"/>
      <w:r>
        <w:rPr>
          <w:rStyle w:val="CommentReference"/>
        </w:rPr>
        <w:commentReference w:id="32"/>
      </w:r>
    </w:p>
    <w:p>
      <w:pPr>
        <w:pStyle w:val="BodyText"/>
      </w:pPr>
      <w:commentRangeStart w:id="34"/>
      <w:r>
        <w:t xml:space="preserve">A reviewer might object that conditioning on a broad factor risks collider or M-bias. The objection changes once the cases are separated. If the facets are uncorrelated, no one would introduce a common factor over them, and the worry is moot. If the facets correlate because of a shared distributed background, then that background is a common cause of the facets and a confounder of the facet-to-outcome relation whenever it also affects the outcome. Representing it, through a higher-order factor that stands in for the shared causes, is what closes the backdoor path. This does not make adjustment automatic. It means that the bias objection is not asymmetrically a problem for hierarchical latent models. The right adjustment depends on the causal graph, which depends on the theory.</w:t>
      </w:r>
      <w:commentRangeEnd w:id="34"/>
      <w:r>
        <w:rPr>
          <w:rStyle w:val="CommentReference"/>
        </w:rPr>
        <w:commentReference w:id="34"/>
      </w:r>
    </w:p>
    <w:p>
      <w:pPr>
        <w:pStyle w:val="BodyText"/>
      </w:pPr>
      <w:commentRangeStart w:id="35"/>
      <w:commentRangeStart w:id="51"/>
      <w:r>
        <w:t xml:space="preserve">For example, suppose talkativeness predicts occupational networking. If this association is estimated without modelling broader extraversion-related variance, the result may conflate talkativeness-specific effects with the influence of broader tendencies such as sociability, reward sensitivity, positive affect, or social confidence. If a broad extraversion factor is theoretically assumed, it should therefore be represented in the model. The factor here is not posited as an entity. It is the model-based representation of the shared causal background that makes the facets covary in the first place, the same object defended in the opening sections. Controlling for it means controlling for that shared background, not for a free-floating statistical abstraction. Doing so does not make the facet irrelevant; rather, it decomposes the association into a domain-general component and a facet-specific residual component. The key question is then whether occupational networking is predicted by broad extraversion, by the talkativeness-specific residual, or by both. Causal inference in personality is therefore multilevel: items, facets, domains, methods, and mechanisms may each be relevant depending on the estimand.</w:t>
      </w:r>
      <w:commentRangeEnd w:id="51"/>
      <w:r>
        <w:rPr>
          <w:rStyle w:val="CommentReference"/>
        </w:rPr>
        <w:commentReference w:id="51"/>
      </w:r>
      <w:commentRangeEnd w:id="35"/>
      <w:r>
        <w:rPr>
          <w:rStyle w:val="CommentReference"/>
        </w:rPr>
        <w:commentReference w:id="35"/>
      </w:r>
    </w:p>
    <w:p>
      <w:pPr>
        <w:pStyle w:val="BodyText"/>
      </w:pPr>
      <w:commentRangeStart w:id="36"/>
      <w:r>
        <w:t xml:space="preserve">This is also why facet-level heterogeneity should not be interpreted too quickly. If facets within a domain predict an outcome in different directions, this may indicate that only narrow traits matter. But it may also indicate multiple indirect pathways from a broader disposition through different components. Extraversion, for instance, could increase social contact through sociability while also increasing interpersonal conflict through dominance. Opposing indirect effects would make the total domain-level effect small, even if broader dispositional structure remains causally relevant. Facet-level analysis is therefore essential, but it does not eliminate the need to model higher-order structure.</w:t>
      </w:r>
      <w:commentRangeEnd w:id="36"/>
      <w:r>
        <w:rPr>
          <w:rStyle w:val="CommentReference"/>
        </w:rPr>
        <w:commentReference w:id="36"/>
      </w:r>
    </w:p>
    <w:bookmarkEnd w:id="39"/>
    <w:bookmarkStart w:id="40" w:name="X1008550d72b8b5cc1f20a32df4c2d0b4e4c7508"/>
    <w:p>
      <w:pPr>
        <w:pStyle w:val="Heading2"/>
      </w:pPr>
      <w:commentRangeStart w:id="46"/>
      <w:r>
        <w:t xml:space="preserve">Toward Multilevel Causal-Measurement Models</w:t>
      </w:r>
      <w:commentRangeEnd w:id="46"/>
      <w:r>
        <w:rPr>
          <w:rStyle w:val="CommentReference"/>
        </w:rPr>
        <w:commentReference w:id="46"/>
      </w:r>
    </w:p>
    <w:p>
      <w:pPr>
        <w:pStyle w:val="FirstParagraph"/>
      </w:pPr>
      <w:commentRangeStart w:id="37"/>
      <w:commentRangeStart w:id="38"/>
      <w:commentRangeStart w:id="47"/>
      <w:commentRangeStart w:id="48"/>
      <w:commentRangeStart w:id="49"/>
      <w:commentRangeStart w:id="54"/>
      <w:r>
        <w:t xml:space="preserve">The constructive alternative is concrete and already implementable: hierarchical structural equation models that separate measurement error from true variance, represent the distributed domain-level background at the top, and preserve facet- and nuance-level specificity below. This is a standard hierarchical SEM toolkit, applied with explicit ontological assumptions. Method factors, correlated residuals for semantic redundancy, and direct dependencies enter where theory and item design predict them, with post-hoc repairs reserved for cases of misfit. The Big Five can still organize a wide trait space, including many narrower trait scales, while leaving room for intermediate-level aspects, facets, and nuances</w:t>
      </w:r>
      <w:commentRangeEnd w:id="49"/>
      <w:r>
        <w:rPr>
          <w:rStyle w:val="CommentReference"/>
        </w:rPr>
        <w:commentReference w:id="49"/>
      </w:r>
      <w:commentRangeEnd w:id="48"/>
      <w:r>
        <w:rPr>
          <w:rStyle w:val="CommentReference"/>
        </w:rPr>
        <w:commentReference w:id="48"/>
      </w:r>
      <w:commentRangeEnd w:id="47"/>
      <w:r>
        <w:rPr>
          <w:rStyle w:val="CommentReference"/>
        </w:rPr>
        <w:commentReference w:id="47"/>
      </w:r>
      <w:commentRangeEnd w:id="38"/>
      <w:r>
        <w:rPr>
          <w:rStyle w:val="CommentReference"/>
        </w:rPr>
        <w:commentReference w:id="38"/>
      </w:r>
      <w:commentRangeEnd w:id="37"/>
      <w:r>
        <w:rPr>
          <w:rStyle w:val="CommentReference"/>
        </w:rPr>
        <w:commentReference w:id="37"/>
      </w:r>
      <w:r>
        <w:t xml:space="preserve"> </w:t>
      </w:r>
      <w:r>
        <w:t xml:space="preserve">(</w:t>
      </w:r>
      <w:hyperlink w:anchor="ref-bainbridgeEvaluatingBigFive2022">
        <w:r>
          <w:rPr>
            <w:rStyle w:val="Hyperlink"/>
          </w:rPr>
          <w:t xml:space="preserve">Bainbridge et al., 2022</w:t>
        </w:r>
      </w:hyperlink>
      <w:r>
        <w:t xml:space="preserve">;</w:t>
      </w:r>
      <w:r>
        <w:t xml:space="preserve"> </w:t>
      </w:r>
      <w:hyperlink w:anchor="ref-deyoungFacetsDomains102007">
        <w:r>
          <w:rPr>
            <w:rStyle w:val="Hyperlink"/>
          </w:rPr>
          <w:t xml:space="preserve">DeYoung et al., 2007</w:t>
        </w:r>
      </w:hyperlink>
      <w:r>
        <w:t xml:space="preserve">;</w:t>
      </w:r>
      <w:r>
        <w:t xml:space="preserve"> </w:t>
      </w:r>
      <w:hyperlink w:anchor="ref-sotoNextBigFive2017">
        <w:r>
          <w:rPr>
            <w:rStyle w:val="Hyperlink"/>
          </w:rPr>
          <w:t xml:space="preserve">Soto &amp; John, 2017</w:t>
        </w:r>
      </w:hyperlink>
      <w:r>
        <w:t xml:space="preserve">)</w:t>
      </w:r>
      <w:r>
        <w:t xml:space="preserve">.</w:t>
      </w:r>
      <w:commentRangeEnd w:id="54"/>
      <w:r>
        <w:rPr>
          <w:rStyle w:val="CommentReference"/>
        </w:rPr>
        <w:commentReference w:id="54"/>
      </w:r>
    </w:p>
    <w:p>
      <w:pPr>
        <w:pStyle w:val="BodyText"/>
      </w:pPr>
      <w:commentRangeStart w:id="39"/>
      <w:r>
        <w:t xml:space="preserve">Whole Trait Theory provides a useful bridge between descriptive trait structure and process explanation by distinguishing stable distributions of personality states from the social-cognitive, motivational, affective, biological, and situational processes that generate them</w:t>
      </w:r>
      <w:commentRangeEnd w:id="39"/>
      <w:r>
        <w:rPr>
          <w:rStyle w:val="CommentReference"/>
        </w:rPr>
        <w:commentReference w:id="39"/>
      </w:r>
      <w:r>
        <w:t xml:space="preserve"> </w:t>
      </w:r>
      <w:r>
        <w:t xml:space="preserve">(</w:t>
      </w:r>
      <w:hyperlink w:anchor="ref-fleesonWholeTraitTheory2015">
        <w:r>
          <w:rPr>
            <w:rStyle w:val="Hyperlink"/>
          </w:rPr>
          <w:t xml:space="preserve">Fleeson &amp; Jayawickreme, 2015</w:t>
        </w:r>
      </w:hyperlink>
      <w:r>
        <w:t xml:space="preserve">)</w:t>
      </w:r>
      <w:r>
        <w:t xml:space="preserve">. This distinction is compatible with hierarchical measurement: broad domains can represent stable between-person regularities without being treated as unitary mechanisms that directly cause momentary states. On this interpretation, latent trait dimensions belong primarily to the descriptive level, whereas their covariance and stability require explanation through lower-level processes</w:t>
      </w:r>
      <w:r>
        <w:t xml:space="preserve"> </w:t>
      </w:r>
      <w:r>
        <w:t xml:space="preserve">(</w:t>
      </w:r>
      <w:hyperlink w:anchor="ref-woodHowFunctionalistProcess2015">
        <w:r>
          <w:rPr>
            <w:rStyle w:val="Hyperlink"/>
          </w:rPr>
          <w:t xml:space="preserve">Wood et al., 2015</w:t>
        </w:r>
      </w:hyperlink>
      <w:r>
        <w:t xml:space="preserve">)</w:t>
      </w:r>
      <w:r>
        <w:t xml:space="preserve">. Whole Trait Theory therefore illustrates why rejecting a simple common-cause interpretation need not entail abandoning broad latent structure, although it does not by itself determine the appropriate measurement model.</w:t>
      </w:r>
    </w:p>
    <w:p>
      <w:pPr>
        <w:pStyle w:val="BodyText"/>
      </w:pPr>
      <w:commentRangeStart w:id="40"/>
      <w:r>
        <w:t xml:space="preserve">This position is compatible with the most important lesson of Grosz’s critique. The Big Five should not be treated as five simple entities analogous to blood glucose or temperature. Their indicators are impure reflections of many partly shared and partly specific processes. Local dependence, semantic overlap, facet-specific variance, and causal heterogeneity are real. These facts support a pluralistic, explicit, and multilevel account of broad traits as model-based representations of a distributed causal background.</w:t>
      </w:r>
      <w:commentRangeEnd w:id="40"/>
      <w:r>
        <w:rPr>
          <w:rStyle w:val="CommentReference"/>
        </w:rPr>
        <w:commentReference w:id="40"/>
      </w:r>
    </w:p>
    <w:bookmarkEnd w:id="40"/>
    <w:bookmarkStart w:id="41" w:name="conclusion"/>
    <w:p>
      <w:pPr>
        <w:pStyle w:val="Heading2"/>
      </w:pPr>
      <w:r>
        <w:t xml:space="preserve">Conclusion</w:t>
      </w:r>
    </w:p>
    <w:p>
      <w:pPr>
        <w:pStyle w:val="FirstParagraph"/>
      </w:pPr>
      <w:r>
        <w:t xml:space="preserve">Grosz’s critique is valuable because it challenges an overly simple interpretation of Big Five measurement. Personality psychologists should not assume that a broad factor is a single common cause of its indicators, nor should they ignore local dependence, semantic overlap, or facet-level heterogeneity. These points are important.</w:t>
      </w:r>
    </w:p>
    <w:p>
      <w:pPr>
        <w:pStyle w:val="BodyText"/>
      </w:pPr>
      <w:commentRangeStart w:id="41"/>
      <w:r>
        <w:t xml:space="preserve">The problem is that the conclusion that the Big Five should be treated as composites is underdetermined. Statistical unidimensionality does not entail mechanistic singularity. A latent dimension can summarize a distributed causal structure generated by many partly shared mechanisms. Local dependence challenges simple models. Latent structure remains a live explanatory hypothesis. Composite-formative scores are useful descriptive tools, although they do not explain the covariance structure that makes them useful. The positive manifold cannot be aggregated away.</w:t>
      </w:r>
      <w:commentRangeEnd w:id="41"/>
      <w:r>
        <w:rPr>
          <w:rStyle w:val="CommentReference"/>
        </w:rPr>
        <w:commentReference w:id="41"/>
      </w:r>
    </w:p>
    <w:p>
      <w:pPr>
        <w:pStyle w:val="BodyText"/>
      </w:pPr>
      <w:commentRangeStart w:id="42"/>
      <w:r>
        <w:t xml:space="preserve">It cannot, because covariance among indicators that are not causally related to one another implies shared causes, and shared causes are what a hierarchical latent model represents and a sum conceals. The choice Grosz leaves open should be closed honestly: either a declared systems model behind the composite, with its full implications, or a distributed common cause and the higher-order structure that represents it. The agnostic composite, invoking shared causes while modeling none, is the one position the evidence does not support.</w:t>
      </w:r>
      <w:commentRangeEnd w:id="42"/>
      <w:r>
        <w:rPr>
          <w:rStyle w:val="CommentReference"/>
        </w:rPr>
        <w:commentReference w:id="42"/>
      </w:r>
    </w:p>
    <w:p>
      <w:pPr>
        <w:pStyle w:val="BodyText"/>
      </w:pPr>
      <w:commentRangeStart w:id="43"/>
      <w:r>
        <w:t xml:space="preserve">The more defensible conclusion is that causal complexity challenges simple reflective models. Latent traits remain useful when they are treated as higher-order, multilevel, and approximate representations. Big Five domains are broad, imperfect, and causally heterogeneous structures that organize individual differences and guide multilevel explanation. The task is to model explicitly the levels at which personality structure, prediction, and causal explanation each operate.</w:t>
      </w:r>
      <w:commentRangeEnd w:id="43"/>
      <w:r>
        <w:rPr>
          <w:rStyle w:val="CommentReference"/>
        </w:rPr>
        <w:commentReference w:id="43"/>
      </w:r>
    </w:p>
    <w:bookmarkEnd w:id="41"/>
    <w:bookmarkEnd w:id="42"/>
    <w:bookmarkStart w:id="43" w:name="declarations"/>
    <w:p>
      <w:pPr>
        <w:pStyle w:val="Heading1"/>
      </w:pPr>
      <w:r>
        <w:t xml:space="preserve">Declarations</w:t>
      </w:r>
    </w:p>
    <w:p>
      <w:pPr>
        <w:numPr>
          <w:ilvl w:val="0"/>
          <w:numId w:val="1001"/>
        </w:numPr>
      </w:pPr>
      <w:r>
        <w:rPr>
          <w:b/>
          <w:bCs/>
        </w:rPr>
        <w:t xml:space="preserve">AI use</w:t>
      </w:r>
      <w:r>
        <w:t xml:space="preserve">: The authors used ChatGPT to identify potential weaknesses in the manuscript and to assist with English-language editing, and improvements to clarity and tone. All AI-generated suggestions were critically evaluated and revised by the authors, who take full responsibility for the final content of the manuscript.</w:t>
      </w:r>
    </w:p>
    <w:p>
      <w:pPr>
        <w:numPr>
          <w:ilvl w:val="0"/>
          <w:numId w:val="1001"/>
        </w:numPr>
      </w:pPr>
      <w:r>
        <w:rPr>
          <w:b/>
          <w:bCs/>
        </w:rPr>
        <w:t xml:space="preserve">Funding</w:t>
      </w:r>
      <w:r>
        <w:t xml:space="preserve">: The authors received no funding for this study.</w:t>
      </w:r>
    </w:p>
    <w:p>
      <w:pPr>
        <w:numPr>
          <w:ilvl w:val="0"/>
          <w:numId w:val="1001"/>
        </w:numPr>
      </w:pPr>
      <w:r>
        <w:rPr>
          <w:b/>
          <w:bCs/>
        </w:rPr>
        <w:t xml:space="preserve">Conflict of interest</w:t>
      </w:r>
      <w:r>
        <w:t xml:space="preserve">: The authors have no conflict of interest to declare.</w:t>
      </w:r>
    </w:p>
    <w:p>
      <w:pPr>
        <w:numPr>
          <w:ilvl w:val="0"/>
          <w:numId w:val="1001"/>
        </w:numPr>
      </w:pPr>
      <w:r>
        <w:rPr>
          <w:b/>
          <w:bCs/>
        </w:rPr>
        <w:t xml:space="preserve">Ethics approval</w:t>
      </w:r>
      <w:r>
        <w:t xml:space="preserve">: Not applicable.</w:t>
      </w:r>
    </w:p>
    <w:p>
      <w:pPr>
        <w:numPr>
          <w:ilvl w:val="0"/>
          <w:numId w:val="1001"/>
        </w:numPr>
      </w:pPr>
      <w:r>
        <w:rPr>
          <w:b/>
          <w:bCs/>
        </w:rPr>
        <w:t xml:space="preserve">Consent to participate</w:t>
      </w:r>
      <w:r>
        <w:t xml:space="preserve">: Not applicable.</w:t>
      </w:r>
    </w:p>
    <w:p>
      <w:pPr>
        <w:numPr>
          <w:ilvl w:val="0"/>
          <w:numId w:val="1001"/>
        </w:numPr>
      </w:pPr>
      <w:r>
        <w:rPr>
          <w:b/>
          <w:bCs/>
        </w:rPr>
        <w:t xml:space="preserve">Consent for publication</w:t>
      </w:r>
      <w:r>
        <w:t xml:space="preserve">: Not applicable.</w:t>
      </w:r>
    </w:p>
    <w:p>
      <w:pPr>
        <w:numPr>
          <w:ilvl w:val="0"/>
          <w:numId w:val="1001"/>
        </w:numPr>
      </w:pPr>
      <w:commentRangeStart w:id="44"/>
      <w:r>
        <w:rPr>
          <w:b/>
          <w:bCs/>
        </w:rPr>
        <w:t xml:space="preserve">Availability of data, code, and materials</w:t>
      </w:r>
      <w:commentRangeEnd w:id="44"/>
      <w:r>
        <w:rPr>
          <w:rStyle w:val="CommentReference"/>
        </w:rPr>
        <w:commentReference w:id="44"/>
      </w:r>
      <w:r>
        <w:t xml:space="preserve">: Not applicable.</w:t>
      </w:r>
    </w:p>
    <w:bookmarkEnd w:id="43"/>
    <w:bookmarkStart w:id="101" w:name="references"/>
    <w:p>
      <w:pPr>
        <w:pStyle w:val="Heading1"/>
      </w:pPr>
      <w:commentRangeStart w:id="45"/>
      <w:commentRangeStart w:id="53"/>
      <w:r>
        <w:t xml:space="preserve">References</w:t>
      </w:r>
      <w:commentRangeEnd w:id="53"/>
      <w:r>
        <w:rPr>
          <w:rStyle w:val="CommentReference"/>
        </w:rPr>
        <w:commentReference w:id="53"/>
      </w:r>
      <w:commentRangeEnd w:id="45"/>
      <w:r>
        <w:rPr>
          <w:rStyle w:val="CommentReference"/>
        </w:rPr>
        <w:commentReference w:id="45"/>
      </w:r>
    </w:p>
    <w:bookmarkStart w:id="100" w:name="refs"/>
    <w:bookmarkStart w:id="45" w:name="ref-bainbridgeEvaluatingBigFive2022"/>
    <w:p>
      <w:pPr>
        <w:pStyle w:val="Bibliography"/>
      </w:pPr>
      <w:r>
        <w:t xml:space="preserve">Bainbridge, T. F., Ludeke, S. G., &amp; Smillie, L. D. (2022). Evaluating the big five as an organizing framework for commonly used psychological trait scales.</w:t>
      </w:r>
      <w:r>
        <w:t xml:space="preserve"> </w:t>
      </w:r>
      <w:r>
        <w:rPr>
          <w:i/>
          <w:iCs/>
        </w:rPr>
        <w:t xml:space="preserve">Journal of Personality and Social Psychology</w:t>
      </w:r>
      <w:r>
        <w:t xml:space="preserve">,</w:t>
      </w:r>
      <w:r>
        <w:t xml:space="preserve"> </w:t>
      </w:r>
      <w:r>
        <w:rPr>
          <w:i/>
          <w:iCs/>
        </w:rPr>
        <w:t xml:space="preserve">122</w:t>
      </w:r>
      <w:r>
        <w:t xml:space="preserve">(4), 749–777.</w:t>
      </w:r>
      <w:r>
        <w:t xml:space="preserve"> </w:t>
      </w:r>
      <w:hyperlink r:id="rId44">
        <w:r>
          <w:rPr>
            <w:rStyle w:val="Hyperlink"/>
          </w:rPr>
          <w:t xml:space="preserve">https://doi.org/10.1037/pspp0000395</w:t>
        </w:r>
      </w:hyperlink>
    </w:p>
    <w:bookmarkEnd w:id="45"/>
    <w:bookmarkStart w:id="47" w:name="ref-bollenThreeCsMeasurement2011"/>
    <w:p>
      <w:pPr>
        <w:pStyle w:val="Bibliography"/>
      </w:pPr>
      <w:r>
        <w:t xml:space="preserve">Bollen, K. A., &amp; Bauldry, S. (2011). Three cs in measurement models: Causal indicators, composite indicators, and covariates.</w:t>
      </w:r>
      <w:r>
        <w:t xml:space="preserve"> </w:t>
      </w:r>
      <w:r>
        <w:rPr>
          <w:i/>
          <w:iCs/>
        </w:rPr>
        <w:t xml:space="preserve">Psychological Methods</w:t>
      </w:r>
      <w:r>
        <w:t xml:space="preserve">,</w:t>
      </w:r>
      <w:r>
        <w:t xml:space="preserve"> </w:t>
      </w:r>
      <w:r>
        <w:rPr>
          <w:i/>
          <w:iCs/>
        </w:rPr>
        <w:t xml:space="preserve">16</w:t>
      </w:r>
      <w:r>
        <w:t xml:space="preserve">(3), 265–284.</w:t>
      </w:r>
      <w:r>
        <w:t xml:space="preserve"> </w:t>
      </w:r>
      <w:hyperlink r:id="rId46">
        <w:r>
          <w:rPr>
            <w:rStyle w:val="Hyperlink"/>
          </w:rPr>
          <w:t xml:space="preserve">https://doi.org/10.1037/a0024448</w:t>
        </w:r>
      </w:hyperlink>
    </w:p>
    <w:bookmarkEnd w:id="47"/>
    <w:bookmarkStart w:id="49" w:name="ref-borsboomTheoreticalStatusLatent2003"/>
    <w:p>
      <w:pPr>
        <w:pStyle w:val="Bibliography"/>
      </w:pPr>
      <w:r>
        <w:t xml:space="preserve">Borsboom, D., Mellenbergh, G. J., &amp; Heerden, J. van. (2003). The theoretical status of latent variables.</w:t>
      </w:r>
      <w:r>
        <w:t xml:space="preserve"> </w:t>
      </w:r>
      <w:r>
        <w:rPr>
          <w:i/>
          <w:iCs/>
        </w:rPr>
        <w:t xml:space="preserve">Psychological Review</w:t>
      </w:r>
      <w:r>
        <w:t xml:space="preserve">,</w:t>
      </w:r>
      <w:r>
        <w:t xml:space="preserve"> </w:t>
      </w:r>
      <w:r>
        <w:rPr>
          <w:i/>
          <w:iCs/>
        </w:rPr>
        <w:t xml:space="preserve">110</w:t>
      </w:r>
      <w:r>
        <w:t xml:space="preserve">(2), 203–219.</w:t>
      </w:r>
      <w:r>
        <w:t xml:space="preserve"> </w:t>
      </w:r>
      <w:hyperlink r:id="rId48">
        <w:r>
          <w:rPr>
            <w:rStyle w:val="Hyperlink"/>
          </w:rPr>
          <w:t xml:space="preserve">https://doi.org/10.1037/0033-295X.110.2.203</w:t>
        </w:r>
      </w:hyperlink>
    </w:p>
    <w:bookmarkEnd w:id="49"/>
    <w:bookmarkStart w:id="51" w:name="ref-borsboomConceptValidity2004"/>
    <w:p>
      <w:pPr>
        <w:pStyle w:val="Bibliography"/>
      </w:pPr>
      <w:r>
        <w:t xml:space="preserve">Borsboom, D., Mellenbergh, G. J., &amp; Heerden, J. van. (2004). The concept of validity.</w:t>
      </w:r>
      <w:r>
        <w:t xml:space="preserve"> </w:t>
      </w:r>
      <w:r>
        <w:rPr>
          <w:i/>
          <w:iCs/>
        </w:rPr>
        <w:t xml:space="preserve">Psychological Review</w:t>
      </w:r>
      <w:r>
        <w:t xml:space="preserve">,</w:t>
      </w:r>
      <w:r>
        <w:t xml:space="preserve"> </w:t>
      </w:r>
      <w:r>
        <w:rPr>
          <w:i/>
          <w:iCs/>
        </w:rPr>
        <w:t xml:space="preserve">111</w:t>
      </w:r>
      <w:r>
        <w:t xml:space="preserve">(4), 1061–1071.</w:t>
      </w:r>
      <w:r>
        <w:t xml:space="preserve"> </w:t>
      </w:r>
      <w:hyperlink r:id="rId50">
        <w:r>
          <w:rPr>
            <w:rStyle w:val="Hyperlink"/>
          </w:rPr>
          <w:t xml:space="preserve">https://doi.org/10.1037/0033-295X.111.4.1061</w:t>
        </w:r>
      </w:hyperlink>
    </w:p>
    <w:bookmarkEnd w:id="51"/>
    <w:bookmarkStart w:id="53" w:name="ref-brileyBroadBandwidthHigh2012"/>
    <w:p>
      <w:pPr>
        <w:pStyle w:val="Bibliography"/>
      </w:pPr>
      <w:r>
        <w:t xml:space="preserve">Briley, D. A., &amp; Tucker-Drob, E. M. (2012). Broad Bandwidth or High Fidelity? Evidence from the Structure of Genetic and Environmental Effects on the Facets of the Five Factor Model.</w:t>
      </w:r>
      <w:r>
        <w:t xml:space="preserve"> </w:t>
      </w:r>
      <w:r>
        <w:rPr>
          <w:i/>
          <w:iCs/>
        </w:rPr>
        <w:t xml:space="preserve">Behavior Genetics</w:t>
      </w:r>
      <w:r>
        <w:t xml:space="preserve">,</w:t>
      </w:r>
      <w:r>
        <w:t xml:space="preserve"> </w:t>
      </w:r>
      <w:r>
        <w:rPr>
          <w:i/>
          <w:iCs/>
        </w:rPr>
        <w:t xml:space="preserve">42</w:t>
      </w:r>
      <w:r>
        <w:t xml:space="preserve">(5), 743–763.</w:t>
      </w:r>
      <w:r>
        <w:t xml:space="preserve"> </w:t>
      </w:r>
      <w:hyperlink r:id="rId52">
        <w:r>
          <w:rPr>
            <w:rStyle w:val="Hyperlink"/>
          </w:rPr>
          <w:t xml:space="preserve">https://doi.org/10.1007/s10519-012-9548-8</w:t>
        </w:r>
      </w:hyperlink>
    </w:p>
    <w:bookmarkEnd w:id="53"/>
    <w:bookmarkStart w:id="54" w:name="ref-carrollHumanCognitiveAbilities1993"/>
    <w:p>
      <w:pPr>
        <w:pStyle w:val="Bibliography"/>
      </w:pPr>
      <w:r>
        <w:t xml:space="preserve">Carroll, J. B. (1993).</w:t>
      </w:r>
      <w:r>
        <w:t xml:space="preserve"> </w:t>
      </w:r>
      <w:r>
        <w:rPr>
          <w:i/>
          <w:iCs/>
        </w:rPr>
        <w:t xml:space="preserve">Human Cognitive Abilities: A Survey of Factor-Analytic Studies</w:t>
      </w:r>
      <w:r>
        <w:t xml:space="preserve">. Cambridge University Press.</w:t>
      </w:r>
    </w:p>
    <w:bookmarkEnd w:id="54"/>
    <w:bookmarkStart w:id="56" w:name="X6a43a8acb711d39434cd14fc7b4fcd90dfcb461"/>
    <w:p>
      <w:pPr>
        <w:pStyle w:val="Bibliography"/>
      </w:pPr>
      <w:r>
        <w:t xml:space="preserve">Cramer, A. O. J., Van Der Sluis, S., Noordhof, A., Wichers, M., Geschwind, N., Aggen, S. H., Kendler, K. S., &amp; Borsboom, D. (2012). Measurable Like Temperature or Mereological like Flocking? on the Nature of Personality Traits.</w:t>
      </w:r>
      <w:r>
        <w:t xml:space="preserve"> </w:t>
      </w:r>
      <w:r>
        <w:rPr>
          <w:i/>
          <w:iCs/>
        </w:rPr>
        <w:t xml:space="preserve">European Journal of Personality</w:t>
      </w:r>
      <w:r>
        <w:t xml:space="preserve">,</w:t>
      </w:r>
      <w:r>
        <w:t xml:space="preserve"> </w:t>
      </w:r>
      <w:r>
        <w:rPr>
          <w:i/>
          <w:iCs/>
        </w:rPr>
        <w:t xml:space="preserve">26</w:t>
      </w:r>
      <w:r>
        <w:t xml:space="preserve">(4), 451–459.</w:t>
      </w:r>
      <w:r>
        <w:t xml:space="preserve"> </w:t>
      </w:r>
      <w:hyperlink r:id="rId55">
        <w:r>
          <w:rPr>
            <w:rStyle w:val="Hyperlink"/>
          </w:rPr>
          <w:t xml:space="preserve">https://doi.org/10.1002/per.1879</w:t>
        </w:r>
      </w:hyperlink>
    </w:p>
    <w:bookmarkEnd w:id="56"/>
    <w:bookmarkStart w:id="58" w:name="ref-deyoungFacetsDomains102007"/>
    <w:p>
      <w:pPr>
        <w:pStyle w:val="Bibliography"/>
      </w:pPr>
      <w:r>
        <w:t xml:space="preserve">DeYoung, C. G., Quilty, L. C., &amp; Peterson, J. B. (2007). Between facets and domains: 10 aspects of the big five.</w:t>
      </w:r>
      <w:r>
        <w:t xml:space="preserve"> </w:t>
      </w:r>
      <w:r>
        <w:rPr>
          <w:i/>
          <w:iCs/>
        </w:rPr>
        <w:t xml:space="preserve">Journal of Personality and Social Psychology</w:t>
      </w:r>
      <w:r>
        <w:t xml:space="preserve">,</w:t>
      </w:r>
      <w:r>
        <w:t xml:space="preserve"> </w:t>
      </w:r>
      <w:r>
        <w:rPr>
          <w:i/>
          <w:iCs/>
        </w:rPr>
        <w:t xml:space="preserve">93</w:t>
      </w:r>
      <w:r>
        <w:t xml:space="preserve">(5), 880–896.</w:t>
      </w:r>
      <w:r>
        <w:t xml:space="preserve"> </w:t>
      </w:r>
      <w:hyperlink r:id="rId57">
        <w:r>
          <w:rPr>
            <w:rStyle w:val="Hyperlink"/>
          </w:rPr>
          <w:t xml:space="preserve">https://doi.org/10.1037/0022-3514.93.5.880</w:t>
        </w:r>
      </w:hyperlink>
    </w:p>
    <w:bookmarkEnd w:id="58"/>
    <w:bookmarkStart w:id="60" w:name="X4c6434462a136c53a9e9cc69b09c570a26e5826"/>
    <w:p>
      <w:pPr>
        <w:pStyle w:val="Bibliography"/>
      </w:pPr>
      <w:r>
        <w:t xml:space="preserve">Eronen, M. I. (2025). Causal complexity and psychological measurement.</w:t>
      </w:r>
      <w:r>
        <w:t xml:space="preserve"> </w:t>
      </w:r>
      <w:r>
        <w:rPr>
          <w:i/>
          <w:iCs/>
        </w:rPr>
        <w:t xml:space="preserve">Philosophical Psychology</w:t>
      </w:r>
      <w:r>
        <w:t xml:space="preserve">,</w:t>
      </w:r>
      <w:r>
        <w:t xml:space="preserve"> </w:t>
      </w:r>
      <w:r>
        <w:rPr>
          <w:i/>
          <w:iCs/>
        </w:rPr>
        <w:t xml:space="preserve">38</w:t>
      </w:r>
      <w:r>
        <w:t xml:space="preserve">(5), 2217–2232.</w:t>
      </w:r>
      <w:r>
        <w:t xml:space="preserve"> </w:t>
      </w:r>
      <w:hyperlink r:id="rId59">
        <w:r>
          <w:rPr>
            <w:rStyle w:val="Hyperlink"/>
          </w:rPr>
          <w:t xml:space="preserve">https://doi.org/10.1080/09515089.2023.2300693</w:t>
        </w:r>
      </w:hyperlink>
    </w:p>
    <w:bookmarkEnd w:id="60"/>
    <w:bookmarkStart w:id="62" w:name="ref-fleesonWholeTraitTheory2015"/>
    <w:p>
      <w:pPr>
        <w:pStyle w:val="Bibliography"/>
      </w:pPr>
      <w:r>
        <w:t xml:space="preserve">Fleeson, W., &amp; Jayawickreme, E. (2015). Whole trait theory.</w:t>
      </w:r>
      <w:r>
        <w:t xml:space="preserve"> </w:t>
      </w:r>
      <w:r>
        <w:rPr>
          <w:i/>
          <w:iCs/>
        </w:rPr>
        <w:t xml:space="preserve">Journal of Research in Personality</w:t>
      </w:r>
      <w:r>
        <w:t xml:space="preserve">,</w:t>
      </w:r>
      <w:r>
        <w:t xml:space="preserve"> </w:t>
      </w:r>
      <w:r>
        <w:rPr>
          <w:i/>
          <w:iCs/>
        </w:rPr>
        <w:t xml:space="preserve">56</w:t>
      </w:r>
      <w:r>
        <w:t xml:space="preserve">, 82–92.</w:t>
      </w:r>
      <w:r>
        <w:t xml:space="preserve"> </w:t>
      </w:r>
      <w:hyperlink r:id="rId61">
        <w:r>
          <w:rPr>
            <w:rStyle w:val="Hyperlink"/>
          </w:rPr>
          <w:t xml:space="preserve">https://doi.org/10.1016/j.jrp.2014.10.009</w:t>
        </w:r>
      </w:hyperlink>
    </w:p>
    <w:bookmarkEnd w:id="62"/>
    <w:bookmarkStart w:id="64" w:name="ref-franicBigFivePersonality2014"/>
    <w:p>
      <w:pPr>
        <w:pStyle w:val="Bibliography"/>
      </w:pPr>
      <w:r>
        <w:t xml:space="preserve">Franić, S., Borsboom, D., Dolan, C. V., &amp; Boomsma, D. I. (2014). The Big Five Personality Traits: Psychological Entities or Statistical Constructs?</w:t>
      </w:r>
      <w:r>
        <w:t xml:space="preserve"> </w:t>
      </w:r>
      <w:r>
        <w:rPr>
          <w:i/>
          <w:iCs/>
        </w:rPr>
        <w:t xml:space="preserve">Behavior Genetics</w:t>
      </w:r>
      <w:r>
        <w:t xml:space="preserve">,</w:t>
      </w:r>
      <w:r>
        <w:t xml:space="preserve"> </w:t>
      </w:r>
      <w:r>
        <w:rPr>
          <w:i/>
          <w:iCs/>
        </w:rPr>
        <w:t xml:space="preserve">44</w:t>
      </w:r>
      <w:r>
        <w:t xml:space="preserve">(6), 591–604.</w:t>
      </w:r>
      <w:r>
        <w:t xml:space="preserve"> </w:t>
      </w:r>
      <w:hyperlink r:id="rId63">
        <w:r>
          <w:rPr>
            <w:rStyle w:val="Hyperlink"/>
          </w:rPr>
          <w:t xml:space="preserve">https://doi.org/10.1007/s10519-013-9625-7</w:t>
        </w:r>
      </w:hyperlink>
    </w:p>
    <w:bookmarkEnd w:id="64"/>
    <w:bookmarkStart w:id="66" w:name="ref-groszWhyBigFive2026"/>
    <w:p>
      <w:pPr>
        <w:pStyle w:val="Bibliography"/>
      </w:pPr>
      <w:r>
        <w:t xml:space="preserve">Grosz, M. P. (2026). Why the big five personality traits are composites, not common causes: Implications for measurement, prediction, and causal inference.</w:t>
      </w:r>
      <w:r>
        <w:t xml:space="preserve"> </w:t>
      </w:r>
      <w:r>
        <w:rPr>
          <w:i/>
          <w:iCs/>
        </w:rPr>
        <w:t xml:space="preserve">Psychological Review</w:t>
      </w:r>
      <w:r>
        <w:t xml:space="preserve">.</w:t>
      </w:r>
      <w:r>
        <w:t xml:space="preserve"> </w:t>
      </w:r>
      <w:hyperlink r:id="rId65">
        <w:r>
          <w:rPr>
            <w:rStyle w:val="Hyperlink"/>
          </w:rPr>
          <w:t xml:space="preserve">https://doi.org/10.1037/rev0000637</w:t>
        </w:r>
      </w:hyperlink>
    </w:p>
    <w:bookmarkEnd w:id="66"/>
    <w:bookmarkStart w:id="68" w:name="Xc6f92149fc7268dd2477e2bfb3781b02afcd67c"/>
    <w:p>
      <w:pPr>
        <w:pStyle w:val="Bibliography"/>
      </w:pPr>
      <w:r>
        <w:t xml:space="preserve">Jackson, J. J., &amp; Wright, A. J. (2024). The process and mechanisms of personality change.</w:t>
      </w:r>
      <w:r>
        <w:t xml:space="preserve"> </w:t>
      </w:r>
      <w:r>
        <w:rPr>
          <w:i/>
          <w:iCs/>
        </w:rPr>
        <w:t xml:space="preserve">Nature Reviews Psychology</w:t>
      </w:r>
      <w:r>
        <w:t xml:space="preserve">,</w:t>
      </w:r>
      <w:r>
        <w:t xml:space="preserve"> </w:t>
      </w:r>
      <w:r>
        <w:rPr>
          <w:i/>
          <w:iCs/>
        </w:rPr>
        <w:t xml:space="preserve">3</w:t>
      </w:r>
      <w:r>
        <w:t xml:space="preserve">(5), 305–318.</w:t>
      </w:r>
      <w:r>
        <w:t xml:space="preserve"> </w:t>
      </w:r>
      <w:hyperlink r:id="rId67">
        <w:r>
          <w:rPr>
            <w:rStyle w:val="Hyperlink"/>
          </w:rPr>
          <w:t xml:space="preserve">https://doi.org/10.1038/s44159-024-00295-z</w:t>
        </w:r>
      </w:hyperlink>
    </w:p>
    <w:bookmarkEnd w:id="68"/>
    <w:bookmarkStart w:id="70" w:name="ref-leisingWhyJudgmentsDifferent2025"/>
    <w:p>
      <w:pPr>
        <w:pStyle w:val="Bibliography"/>
      </w:pPr>
      <w:r>
        <w:t xml:space="preserve">Leising, D., Borgstede, M., Burger, J., Zimmermann, J., Bäckström, M., Oltmanns, J., Freyer, N., Wiedenroth, A., Knischewksi, P., &amp; Connelly, B. (2025). Why do judgments on different person-descriptive attributes correlate with one another? A conceptual analysis with relevance for most psychometric research.</w:t>
      </w:r>
      <w:r>
        <w:t xml:space="preserve"> </w:t>
      </w:r>
      <w:r>
        <w:rPr>
          <w:i/>
          <w:iCs/>
        </w:rPr>
        <w:t xml:space="preserve">Collabra: Psychology</w:t>
      </w:r>
      <w:r>
        <w:t xml:space="preserve">,</w:t>
      </w:r>
      <w:r>
        <w:t xml:space="preserve"> </w:t>
      </w:r>
      <w:r>
        <w:rPr>
          <w:i/>
          <w:iCs/>
        </w:rPr>
        <w:t xml:space="preserve">11</w:t>
      </w:r>
      <w:r>
        <w:t xml:space="preserve">(1), 133683.</w:t>
      </w:r>
      <w:r>
        <w:t xml:space="preserve"> </w:t>
      </w:r>
      <w:hyperlink r:id="rId69">
        <w:r>
          <w:rPr>
            <w:rStyle w:val="Hyperlink"/>
          </w:rPr>
          <w:t xml:space="preserve">https://doi.org/10.1525/collabra.133683</w:t>
        </w:r>
      </w:hyperlink>
    </w:p>
    <w:bookmarkEnd w:id="70"/>
    <w:bookmarkStart w:id="72" w:name="Xc4b5eabf8bfc9a04f54219d708c2981825dc6dc"/>
    <w:p>
      <w:pPr>
        <w:pStyle w:val="Bibliography"/>
      </w:pPr>
      <w:r>
        <w:t xml:space="preserve">McCrae, R. R., &amp; John, O. P. (1992). An Introduction to the Five-Factor Model and Its Applications.</w:t>
      </w:r>
      <w:r>
        <w:t xml:space="preserve"> </w:t>
      </w:r>
      <w:r>
        <w:rPr>
          <w:i/>
          <w:iCs/>
        </w:rPr>
        <w:t xml:space="preserve">Journal of Personality</w:t>
      </w:r>
      <w:r>
        <w:t xml:space="preserve">,</w:t>
      </w:r>
      <w:r>
        <w:t xml:space="preserve"> </w:t>
      </w:r>
      <w:r>
        <w:rPr>
          <w:i/>
          <w:iCs/>
        </w:rPr>
        <w:t xml:space="preserve">60</w:t>
      </w:r>
      <w:r>
        <w:t xml:space="preserve">(2), 175–215.</w:t>
      </w:r>
      <w:r>
        <w:t xml:space="preserve"> </w:t>
      </w:r>
      <w:hyperlink r:id="rId71">
        <w:r>
          <w:rPr>
            <w:rStyle w:val="Hyperlink"/>
          </w:rPr>
          <w:t xml:space="preserve">https://doi.org/10.1111/j.1467-6494.1992.tb00970.x</w:t>
        </w:r>
      </w:hyperlink>
    </w:p>
    <w:bookmarkEnd w:id="72"/>
    <w:bookmarkStart w:id="74" w:name="X04e5cceede2d2bff4b6f614314cacc3800dbf97"/>
    <w:p>
      <w:pPr>
        <w:pStyle w:val="Bibliography"/>
      </w:pPr>
      <w:r>
        <w:t xml:space="preserve">Melby-Lervåg, M., Redick, T. S., &amp; Hulme, C. (2016). Working Memory Training Does Not Improve Performance on Measures of Intelligence or Other Measures of</w:t>
      </w:r>
      <w:r>
        <w:t xml:space="preserve"> </w:t>
      </w:r>
      <w:r>
        <w:t xml:space="preserve">“</w:t>
      </w:r>
      <w:r>
        <w:t xml:space="preserve">Far Transfer</w:t>
      </w:r>
      <w:r>
        <w:t xml:space="preserve">”</w:t>
      </w:r>
      <w:r>
        <w:t xml:space="preserve">: Evidence From a Meta-Analytic Review.</w:t>
      </w:r>
      <w:r>
        <w:t xml:space="preserve"> </w:t>
      </w:r>
      <w:r>
        <w:rPr>
          <w:i/>
          <w:iCs/>
        </w:rPr>
        <w:t xml:space="preserve">Perspectives on Psychological Science</w:t>
      </w:r>
      <w:r>
        <w:t xml:space="preserve">,</w:t>
      </w:r>
      <w:r>
        <w:t xml:space="preserve"> </w:t>
      </w:r>
      <w:r>
        <w:rPr>
          <w:i/>
          <w:iCs/>
        </w:rPr>
        <w:t xml:space="preserve">11</w:t>
      </w:r>
      <w:r>
        <w:t xml:space="preserve">(4), 512–534.</w:t>
      </w:r>
      <w:r>
        <w:t xml:space="preserve"> </w:t>
      </w:r>
      <w:hyperlink r:id="rId73">
        <w:r>
          <w:rPr>
            <w:rStyle w:val="Hyperlink"/>
          </w:rPr>
          <w:t xml:space="preserve">https://doi.org/10.1177/1745691616635612</w:t>
        </w:r>
      </w:hyperlink>
    </w:p>
    <w:bookmarkEnd w:id="74"/>
    <w:bookmarkStart w:id="76" w:name="X995a3206a9fa7cbfa8d34c172dbc4423f965255"/>
    <w:p>
      <w:pPr>
        <w:pStyle w:val="Bibliography"/>
      </w:pPr>
      <w:r>
        <w:t xml:space="preserve">Mõttus, R., Sinick, J., Terracciano, A., Hřebíčková, M., Kandler, C., Ando, J., Mortensen, E. L., Colodro-Conde, L., &amp; Jang, K. L. (2019). Personality characteristics below facets: A replication and meta-analysis of cross-rater agreement, rank-order stability, heritability, and utility of personality nuances.</w:t>
      </w:r>
      <w:r>
        <w:t xml:space="preserve"> </w:t>
      </w:r>
      <w:r>
        <w:rPr>
          <w:i/>
          <w:iCs/>
        </w:rPr>
        <w:t xml:space="preserve">Journal of Personality and Social Psychology</w:t>
      </w:r>
      <w:r>
        <w:t xml:space="preserve">,</w:t>
      </w:r>
      <w:r>
        <w:t xml:space="preserve"> </w:t>
      </w:r>
      <w:r>
        <w:rPr>
          <w:i/>
          <w:iCs/>
        </w:rPr>
        <w:t xml:space="preserve">117</w:t>
      </w:r>
      <w:r>
        <w:t xml:space="preserve">(4), e35–e50.</w:t>
      </w:r>
      <w:r>
        <w:t xml:space="preserve"> </w:t>
      </w:r>
      <w:hyperlink r:id="rId75">
        <w:r>
          <w:rPr>
            <w:rStyle w:val="Hyperlink"/>
          </w:rPr>
          <w:t xml:space="preserve">https://doi.org/10.1037/pspp0000202</w:t>
        </w:r>
      </w:hyperlink>
    </w:p>
    <w:bookmarkEnd w:id="76"/>
    <w:bookmarkStart w:id="78" w:name="X42ee104d443a3a6c657fd3ff4a7f97f68741643"/>
    <w:p>
      <w:pPr>
        <w:pStyle w:val="Bibliography"/>
      </w:pPr>
      <w:r>
        <w:t xml:space="preserve">Plomin, R., &amp; Deary, I. J. (2015). Genetics and intelligence differences: five special findings.</w:t>
      </w:r>
      <w:r>
        <w:t xml:space="preserve"> </w:t>
      </w:r>
      <w:r>
        <w:rPr>
          <w:i/>
          <w:iCs/>
        </w:rPr>
        <w:t xml:space="preserve">Molecular Psychiatry</w:t>
      </w:r>
      <w:r>
        <w:t xml:space="preserve">,</w:t>
      </w:r>
      <w:r>
        <w:t xml:space="preserve"> </w:t>
      </w:r>
      <w:r>
        <w:rPr>
          <w:i/>
          <w:iCs/>
        </w:rPr>
        <w:t xml:space="preserve">20</w:t>
      </w:r>
      <w:r>
        <w:t xml:space="preserve">(1), 98–108.</w:t>
      </w:r>
      <w:r>
        <w:t xml:space="preserve"> </w:t>
      </w:r>
      <w:hyperlink r:id="rId77">
        <w:r>
          <w:rPr>
            <w:rStyle w:val="Hyperlink"/>
          </w:rPr>
          <w:t xml:space="preserve">https://doi.org/10.1038/mp.2014.105</w:t>
        </w:r>
      </w:hyperlink>
    </w:p>
    <w:bookmarkEnd w:id="78"/>
    <w:bookmarkStart w:id="79" w:name="ref-reichenbachDirectionTime1956"/>
    <w:p>
      <w:pPr>
        <w:pStyle w:val="Bibliography"/>
      </w:pPr>
      <w:r>
        <w:t xml:space="preserve">Reichenbach, H. (1956).</w:t>
      </w:r>
      <w:r>
        <w:t xml:space="preserve"> </w:t>
      </w:r>
      <w:r>
        <w:rPr>
          <w:i/>
          <w:iCs/>
        </w:rPr>
        <w:t xml:space="preserve">The direction of time</w:t>
      </w:r>
      <w:r>
        <w:t xml:space="preserve"> </w:t>
      </w:r>
      <w:r>
        <w:t xml:space="preserve">(M. Reichenbach, Ed.). Dover Publications.</w:t>
      </w:r>
    </w:p>
    <w:bookmarkEnd w:id="79"/>
    <w:bookmarkStart w:id="81" w:name="ref-rhemtullaWorseMeasurementError2020"/>
    <w:p>
      <w:pPr>
        <w:pStyle w:val="Bibliography"/>
      </w:pPr>
      <w:r>
        <w:t xml:space="preserve">Rhemtulla, M., Bork, R. van, &amp; Borsboom, D. (2020). Worse than measurement error: Consequences of inappropriate latent variable measurement models.</w:t>
      </w:r>
      <w:r>
        <w:t xml:space="preserve"> </w:t>
      </w:r>
      <w:r>
        <w:rPr>
          <w:i/>
          <w:iCs/>
        </w:rPr>
        <w:t xml:space="preserve">Psychological Methods</w:t>
      </w:r>
      <w:r>
        <w:t xml:space="preserve">,</w:t>
      </w:r>
      <w:r>
        <w:t xml:space="preserve"> </w:t>
      </w:r>
      <w:r>
        <w:rPr>
          <w:i/>
          <w:iCs/>
        </w:rPr>
        <w:t xml:space="preserve">25</w:t>
      </w:r>
      <w:r>
        <w:t xml:space="preserve">(1), 30–45.</w:t>
      </w:r>
      <w:r>
        <w:t xml:space="preserve"> </w:t>
      </w:r>
      <w:hyperlink r:id="rId80">
        <w:r>
          <w:rPr>
            <w:rStyle w:val="Hyperlink"/>
          </w:rPr>
          <w:t xml:space="preserve">https://doi.org/10.1037/met0000220</w:t>
        </w:r>
      </w:hyperlink>
    </w:p>
    <w:bookmarkEnd w:id="81"/>
    <w:bookmarkStart w:id="83" w:name="X6112d9fba4c6b21a26c888b7e3936d17a625ae7"/>
    <w:p>
      <w:pPr>
        <w:pStyle w:val="Bibliography"/>
      </w:pPr>
      <w:r>
        <w:t xml:space="preserve">Savage, J. E., Jansen, P. R., Stringer, S., Watanabe, K., Bryois, J., Leeuw, C. A. de, Nagel, M., Awasthi, S., Barr, P. B., Coleman, J. R. I., Grasby, K. L., Hammerschlag, A. R., Kaminski, J. A., Karlsson, R., Krapohl, E., Lam, M., Nygaard, M., Reynolds, C. A., Trampush, J. W., … Posthuma, D. (2018). Genome-wide association meta-analysis in 269,867 individuals identifies new genetic and functional links to intelligence.</w:t>
      </w:r>
      <w:r>
        <w:t xml:space="preserve"> </w:t>
      </w:r>
      <w:r>
        <w:rPr>
          <w:i/>
          <w:iCs/>
        </w:rPr>
        <w:t xml:space="preserve">Nature Genetics</w:t>
      </w:r>
      <w:r>
        <w:t xml:space="preserve">,</w:t>
      </w:r>
      <w:r>
        <w:t xml:space="preserve"> </w:t>
      </w:r>
      <w:r>
        <w:rPr>
          <w:i/>
          <w:iCs/>
        </w:rPr>
        <w:t xml:space="preserve">50</w:t>
      </w:r>
      <w:r>
        <w:t xml:space="preserve">(7), 912–919.</w:t>
      </w:r>
      <w:r>
        <w:t xml:space="preserve"> </w:t>
      </w:r>
      <w:hyperlink r:id="rId82">
        <w:r>
          <w:rPr>
            <w:rStyle w:val="Hyperlink"/>
          </w:rPr>
          <w:t xml:space="preserve">https://doi.org/10.1038/s41588-018-0152-6</w:t>
        </w:r>
      </w:hyperlink>
    </w:p>
    <w:bookmarkEnd w:id="83"/>
    <w:bookmarkStart w:id="85" w:name="ref-sotoNextBigFive2017"/>
    <w:p>
      <w:pPr>
        <w:pStyle w:val="Bibliography"/>
      </w:pPr>
      <w:r>
        <w:t xml:space="preserve">Soto, C. J., &amp; John, O. P. (2017). The next big five inventory (BFI-2): Developing and assessing a hierarchical model with 15 facets to enhance bandwidth, fidelity, and predictive power.</w:t>
      </w:r>
      <w:r>
        <w:t xml:space="preserve"> </w:t>
      </w:r>
      <w:r>
        <w:rPr>
          <w:i/>
          <w:iCs/>
        </w:rPr>
        <w:t xml:space="preserve">Journal of Personality and Social Psychology</w:t>
      </w:r>
      <w:r>
        <w:t xml:space="preserve">,</w:t>
      </w:r>
      <w:r>
        <w:t xml:space="preserve"> </w:t>
      </w:r>
      <w:r>
        <w:rPr>
          <w:i/>
          <w:iCs/>
        </w:rPr>
        <w:t xml:space="preserve">113</w:t>
      </w:r>
      <w:r>
        <w:t xml:space="preserve">(1), 117–143.</w:t>
      </w:r>
      <w:r>
        <w:t xml:space="preserve"> </w:t>
      </w:r>
      <w:hyperlink r:id="rId84">
        <w:r>
          <w:rPr>
            <w:rStyle w:val="Hyperlink"/>
          </w:rPr>
          <w:t xml:space="preserve">https://doi.org/10.1037/pspp0000096</w:t>
        </w:r>
      </w:hyperlink>
    </w:p>
    <w:bookmarkEnd w:id="85"/>
    <w:bookmarkStart w:id="87" w:name="X4d3bd9becacb69f7d207c3f1c5524977f352213"/>
    <w:p>
      <w:pPr>
        <w:pStyle w:val="Bibliography"/>
      </w:pPr>
      <w:r>
        <w:t xml:space="preserve">Spearman, C. (1904).</w:t>
      </w:r>
      <w:r>
        <w:t xml:space="preserve"> </w:t>
      </w:r>
      <w:r>
        <w:t xml:space="preserve">"</w:t>
      </w:r>
      <w:r>
        <w:t xml:space="preserve">General intelligence,</w:t>
      </w:r>
      <w:r>
        <w:t xml:space="preserve">"</w:t>
      </w:r>
      <w:r>
        <w:t xml:space="preserve"> </w:t>
      </w:r>
      <w:r>
        <w:t xml:space="preserve">objectively determined and measured.</w:t>
      </w:r>
      <w:r>
        <w:t xml:space="preserve"> </w:t>
      </w:r>
      <w:r>
        <w:rPr>
          <w:i/>
          <w:iCs/>
        </w:rPr>
        <w:t xml:space="preserve">The American Journal of Psychology</w:t>
      </w:r>
      <w:r>
        <w:t xml:space="preserve">,</w:t>
      </w:r>
      <w:r>
        <w:t xml:space="preserve"> </w:t>
      </w:r>
      <w:r>
        <w:rPr>
          <w:i/>
          <w:iCs/>
        </w:rPr>
        <w:t xml:space="preserve">15</w:t>
      </w:r>
      <w:r>
        <w:t xml:space="preserve">(2), 201–292.</w:t>
      </w:r>
      <w:r>
        <w:t xml:space="preserve"> </w:t>
      </w:r>
      <w:hyperlink r:id="rId86">
        <w:r>
          <w:rPr>
            <w:rStyle w:val="Hyperlink"/>
          </w:rPr>
          <w:t xml:space="preserve">https://doi.org/10.2307/1412107</w:t>
        </w:r>
      </w:hyperlink>
    </w:p>
    <w:bookmarkEnd w:id="87"/>
    <w:bookmarkStart w:id="89" w:name="ref-vandermaasDynamicalModelGeneral2006"/>
    <w:p>
      <w:pPr>
        <w:pStyle w:val="Bibliography"/>
      </w:pPr>
      <w:r>
        <w:t xml:space="preserve">Van Der Maas, H. L. J., Dolan, C. V., Grasman, R. P. P. P., Wicherts, J. M., Huizenga, H. M., &amp; Raijmakers, M. E. J. (2006). A dynamical model of general intelligence: The positive manifold of intelligence by mutualism.</w:t>
      </w:r>
      <w:r>
        <w:t xml:space="preserve"> </w:t>
      </w:r>
      <w:r>
        <w:rPr>
          <w:i/>
          <w:iCs/>
        </w:rPr>
        <w:t xml:space="preserve">Psychological Review</w:t>
      </w:r>
      <w:r>
        <w:t xml:space="preserve">,</w:t>
      </w:r>
      <w:r>
        <w:t xml:space="preserve"> </w:t>
      </w:r>
      <w:r>
        <w:rPr>
          <w:i/>
          <w:iCs/>
        </w:rPr>
        <w:t xml:space="preserve">113</w:t>
      </w:r>
      <w:r>
        <w:t xml:space="preserve">(4), 842–861.</w:t>
      </w:r>
      <w:r>
        <w:t xml:space="preserve"> </w:t>
      </w:r>
      <w:hyperlink r:id="rId88">
        <w:r>
          <w:rPr>
            <w:rStyle w:val="Hyperlink"/>
          </w:rPr>
          <w:t xml:space="preserve">https://doi.org/10.1037/0033-295X.113.4.842</w:t>
        </w:r>
      </w:hyperlink>
    </w:p>
    <w:bookmarkEnd w:id="89"/>
    <w:bookmarkStart w:id="91" w:name="ref-ConstructedMeasuresCausal"/>
    <w:p>
      <w:pPr>
        <w:pStyle w:val="Bibliography"/>
      </w:pPr>
      <w:r>
        <w:t xml:space="preserve">VanderWeele, T. J. (2022). Constructed Measures and Causal Inference : Epidemiology.</w:t>
      </w:r>
      <w:r>
        <w:t xml:space="preserve"> </w:t>
      </w:r>
      <w:r>
        <w:rPr>
          <w:i/>
          <w:iCs/>
        </w:rPr>
        <w:t xml:space="preserve">Epidemiology</w:t>
      </w:r>
      <w:r>
        <w:t xml:space="preserve">,</w:t>
      </w:r>
      <w:r>
        <w:t xml:space="preserve"> </w:t>
      </w:r>
      <w:r>
        <w:rPr>
          <w:i/>
          <w:iCs/>
        </w:rPr>
        <w:t xml:space="preserve">33</w:t>
      </w:r>
      <w:r>
        <w:t xml:space="preserve">(1), 141–151.</w:t>
      </w:r>
      <w:r>
        <w:t xml:space="preserve"> </w:t>
      </w:r>
      <w:hyperlink r:id="rId90">
        <w:r>
          <w:rPr>
            <w:rStyle w:val="Hyperlink"/>
          </w:rPr>
          <w:t xml:space="preserve">https://doi.org/10.1097/EDE.0000000000001434</w:t>
        </w:r>
      </w:hyperlink>
    </w:p>
    <w:bookmarkEnd w:id="91"/>
    <w:bookmarkStart w:id="93" w:name="Xe62d62208315736a44309c390e110b3ff4a912a"/>
    <w:p>
      <w:pPr>
        <w:pStyle w:val="Bibliography"/>
      </w:pPr>
      <w:r>
        <w:t xml:space="preserve">Westfall, J., &amp; Yarkoni, T. (2016). Statistically Controlling for Confounding Constructs Is Harder than You Think.</w:t>
      </w:r>
      <w:r>
        <w:t xml:space="preserve"> </w:t>
      </w:r>
      <w:r>
        <w:rPr>
          <w:i/>
          <w:iCs/>
        </w:rPr>
        <w:t xml:space="preserve">PLOS ONE</w:t>
      </w:r>
      <w:r>
        <w:t xml:space="preserve">,</w:t>
      </w:r>
      <w:r>
        <w:t xml:space="preserve"> </w:t>
      </w:r>
      <w:r>
        <w:rPr>
          <w:i/>
          <w:iCs/>
        </w:rPr>
        <w:t xml:space="preserve">11</w:t>
      </w:r>
      <w:r>
        <w:t xml:space="preserve">(3), e0152719.</w:t>
      </w:r>
      <w:r>
        <w:t xml:space="preserve"> </w:t>
      </w:r>
      <w:hyperlink r:id="rId92">
        <w:r>
          <w:rPr>
            <w:rStyle w:val="Hyperlink"/>
          </w:rPr>
          <w:t xml:space="preserve">https://doi.org/10.1371/journal.pone.0152719</w:t>
        </w:r>
      </w:hyperlink>
    </w:p>
    <w:bookmarkEnd w:id="93"/>
    <w:bookmarkStart w:id="95" w:name="ref-woodHowFunctionalistProcess2015"/>
    <w:p>
      <w:pPr>
        <w:pStyle w:val="Bibliography"/>
      </w:pPr>
      <w:r>
        <w:t xml:space="preserve">Wood, D., Gardner, M. H., &amp; Harms, P. D. (2015). How functionalist and process approaches to behavior can explain trait covariation.</w:t>
      </w:r>
      <w:r>
        <w:t xml:space="preserve"> </w:t>
      </w:r>
      <w:r>
        <w:rPr>
          <w:i/>
          <w:iCs/>
        </w:rPr>
        <w:t xml:space="preserve">Psychological Review</w:t>
      </w:r>
      <w:r>
        <w:t xml:space="preserve">,</w:t>
      </w:r>
      <w:r>
        <w:t xml:space="preserve"> </w:t>
      </w:r>
      <w:r>
        <w:rPr>
          <w:i/>
          <w:iCs/>
        </w:rPr>
        <w:t xml:space="preserve">122</w:t>
      </w:r>
      <w:r>
        <w:t xml:space="preserve">(1), 84–111.</w:t>
      </w:r>
      <w:r>
        <w:t xml:space="preserve"> </w:t>
      </w:r>
      <w:hyperlink r:id="rId94">
        <w:r>
          <w:rPr>
            <w:rStyle w:val="Hyperlink"/>
          </w:rPr>
          <w:t xml:space="preserve">https://doi.org/10.1037/a0038423</w:t>
        </w:r>
      </w:hyperlink>
    </w:p>
    <w:bookmarkEnd w:id="95"/>
    <w:bookmarkStart w:id="97" w:name="X7a83b059e133039f7bec9dee435c24645fbb3d1"/>
    <w:p>
      <w:pPr>
        <w:pStyle w:val="Bibliography"/>
      </w:pPr>
      <w:r>
        <w:t xml:space="preserve">Wysocki, A. C., Lawson, K. M., &amp; Rhemtulla, M. (2022). Statistical Control Requires Causal Justification.</w:t>
      </w:r>
      <w:r>
        <w:t xml:space="preserve"> </w:t>
      </w:r>
      <w:r>
        <w:rPr>
          <w:i/>
          <w:iCs/>
        </w:rPr>
        <w:t xml:space="preserve">Advances in Methods and Practices in Psychological Science</w:t>
      </w:r>
      <w:r>
        <w:t xml:space="preserve">,</w:t>
      </w:r>
      <w:r>
        <w:t xml:space="preserve"> </w:t>
      </w:r>
      <w:r>
        <w:rPr>
          <w:i/>
          <w:iCs/>
        </w:rPr>
        <w:t xml:space="preserve">5</w:t>
      </w:r>
      <w:r>
        <w:t xml:space="preserve">(2), 25152459221095823.</w:t>
      </w:r>
      <w:r>
        <w:t xml:space="preserve"> </w:t>
      </w:r>
      <w:hyperlink r:id="rId96">
        <w:r>
          <w:rPr>
            <w:rStyle w:val="Hyperlink"/>
          </w:rPr>
          <w:t xml:space="preserve">https://doi.org/10.1177/25152459221095823</w:t>
        </w:r>
      </w:hyperlink>
    </w:p>
    <w:bookmarkEnd w:id="97"/>
    <w:bookmarkStart w:id="99" w:name="ref-yarkoniImplicitRealismImpedes2020"/>
    <w:p>
      <w:pPr>
        <w:pStyle w:val="Bibliography"/>
      </w:pPr>
      <w:r>
        <w:t xml:space="preserve">Yarkoni, T. (2020). Implicit realism impedes progress in psychology: Comment on fried (2020).</w:t>
      </w:r>
      <w:r>
        <w:t xml:space="preserve"> </w:t>
      </w:r>
      <w:r>
        <w:rPr>
          <w:i/>
          <w:iCs/>
        </w:rPr>
        <w:t xml:space="preserve">Psychological Inquiry</w:t>
      </w:r>
      <w:r>
        <w:t xml:space="preserve">,</w:t>
      </w:r>
      <w:r>
        <w:t xml:space="preserve"> </w:t>
      </w:r>
      <w:r>
        <w:rPr>
          <w:i/>
          <w:iCs/>
        </w:rPr>
        <w:t xml:space="preserve">31</w:t>
      </w:r>
      <w:r>
        <w:t xml:space="preserve">(4), 326–333.</w:t>
      </w:r>
      <w:r>
        <w:t xml:space="preserve"> </w:t>
      </w:r>
      <w:hyperlink r:id="rId98">
        <w:r>
          <w:rPr>
            <w:rStyle w:val="Hyperlink"/>
          </w:rPr>
          <w:t xml:space="preserve">https://doi.org/10.1080/1047840X.2020.1853478</w:t>
        </w:r>
      </w:hyperlink>
    </w:p>
    <w:bookmarkEnd w:id="99"/>
    <w:bookmarkEnd w:id="100"/>
    <w:bookmarkEnd w:id="101"/>
    <w:sectPr w:rsidR="007868AB" w:rsidRPr="005528BA">
      <w:headerReference r:id="rId9" w:type="even"/>
      <w:headerReference r:id="rId11" w:type="default"/>
      <w:footerReference r:id="rId14" w:type="even"/>
      <w:footerReference r:id="rId13" w:type="default"/>
      <w:headerReference r:id="rId10" w:type="first"/>
      <w:footerReference r:id="rId12"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comment w:id="0" w:author="Codex" w:initials="CX" w:date="2026-10-26T15:35:15Z">
    <w:p>
      <w:pPr>
        <w:pStyle w:val="CommentText"/>
      </w:pPr>
      <w:r>
        <w:t>[R2.1; R2.2] Attenuare il titolo, come accettato negli appunti TF. Proposta: “The Big Five Need Not Be Simple Composite Scores: Causal Complexity and Multilevel Trait Structure. A Commentary on Grosz (2026)”. Aggiornare anche la ripetizione del titolo all'inizio del testo. Evitare una nuova formulazione altrettanto categorica come “theoretically deleterious”: la tesi da difendere è che la conclusione composite-only non sia necessaria, non che i compositi siano impossibili o sempre inappropriati.</w:t>
      </w:r>
    </w:p>
  </w:comment>
  <w:comment w:id="1" w:author="Codex" w:initials="CX" w:date="2026-10-26T15:35:15Z">
    <w:p>
      <w:pPr>
        <w:pStyle w:val="CommentText"/>
      </w:pPr>
      <w:r>
        <w:t>[E1; E3; R1.1; R1.m4; R2.2] Riscrivere e accorciare l'abstract intorno alla decomposizione gerarchica: varianza comune di dominio, varianza affidabile specifica di facet/nuance, metodo ed errore. Precisare subito che Grosz propone compositi per descrizione/predizione e narrow traits con più indicatori e metodi per la ricerca causale. Eliminare “operationalist retreat”, l'inferenza dalla normalità e il ruolo centrale dell'unidimensionalità. Conservare il dissenso: queste raccomandazioni non rendono irrilevante la componente comune. Concludere che un SEM gerarchico può formalizzare ipotesi causali condivise e specifiche, ma né la decomposizione né il fit le identificano da soli. Proposta per il nucleo: “Rejecting a simple reflective model does not establish that domain-common variance is substantively irrelevant. Hierarchical models can separate this variance from reliable lower-order specificity and measurement error; causal interpretations require additional, explicit assumptions.”</w:t>
      </w:r>
    </w:p>
  </w:comment>
  <w:comment w:id="2" w:author="Codex" w:initials="CX" w:date="2026-10-26T15:35:15Z">
    <w:p>
      <w:pPr>
        <w:pStyle w:val="CommentText"/>
      </w:pPr>
      <w:r>
        <w:t>[R1.1; R1.2a; R1.m1] Definire con precisione il bersaglio condiviso: il modello riflessivo semplice assume un singolo mediatore latente e indipendenza locale, non necessariamente una sola causa biologica o ambientale a monte. Grosz riconosce che una variabile può avere molte cause. Specificare inoltre, qui o alla prima definizione, che “latent variable” è un termine generale: nel seguito usare “reflective domain factor”, “higher-order factor” o “hierarchical latent model” quando si intende quella specifica rappresentazione; esistono anche latenti in modelli causal-formative e latent-composite.</w:t>
      </w:r>
    </w:p>
  </w:comment>
  <w:comment w:id="3" w:author="Codex" w:initials="CX" w:date="2026-10-27T15:33:40Z">
    <w:p>
      <w:pPr>
        <w:pStyle w:val="CommentText"/>
      </w:pPr>
      <w:r>
        <w:t>[E1; E2; E3; R1.0; R1.1; R1.2c; R2.0] IMPOSTAZIONE DEFINITIVA.</w:t>
      </w:r>
    </w:p>
    <w:p>
      <w:pPr>
        <w:pStyle w:val="CommentText"/>
      </w:pPr>
      <w:r>
        <w:t>Dove: nel paragrafo introduttivo “Our disagreement concerns...”.</w:t>
      </w:r>
    </w:p>
    <w:p>
      <w:pPr>
        <w:pStyle w:val="CommentText"/>
      </w:pPr>
      <w:r>
        <w:t>Cosa fare: riconoscere la proposta completa di Grosz e circoscrivere il dissenso al ruolo della componente comune. Organizzare il testo intorno a quanta varianza sia comune, quanta specifica e affidabile, e quale sia pertinente al criterio. La priorità teorica del livello comune non ne presume la superiorità per ogni outcome. La componente condivisa può rappresentare influenze causali, sotto ipotesi esplicite; la struttura di covarianza non ne identifica da sola l'origine.</w:t>
      </w:r>
    </w:p>
    <w:p>
      <w:pPr>
        <w:pStyle w:val="CommentText"/>
      </w:pPr>
      <w:r>
        <w:t>Verifica: nel manoscritto accettato di Grosz, versione 23 maggio 2026, pp. 22–25, Tabella 2 e raccomandazioni distinguono compositi per descrizione/predizione e narrow traits multimethod per la ricerca causale. Riconoscere questo accordo; non attribuire ai compositi una pretesa esplicativa che Grosz non avanza. Fonte: https://osf.io/preprints/psyarxiv/6ukqb_v4 .</w:t>
      </w:r>
    </w:p>
  </w:comment>
  <w:comment w:id="4" w:author="Codex" w:initials="CX" w:date="2026-10-26T15:35:15Z">
    <w:p>
      <w:pPr>
        <w:pStyle w:val="CommentText"/>
      </w:pPr>
      <w:r>
        <w:t>[R1.1; R1.2a; R2.2] Eliminare questa attribuzione: un modello riflessivo non richiede “one and only one” determinante biologica, ambientale o mentale. Ridurre il paragrafo a una frase che riconosca l'accordo sul rigetto del semplice modello a un mediatore comune con indipendenza locale. Il dissenso riguarda la possibilità di una rappresentazione gerarchica di componenti condivise e specifiche, non il numero di cause a monte. Evitare anche l'immagine polemica del “single small element inside the person”.</w:t>
      </w:r>
    </w:p>
  </w:comment>
  <w:comment w:id="5" w:author="Codex" w:initials="CX" w:date="2026-10-27T15:33:40Z">
    <w:p>
      <w:pPr>
        <w:pStyle w:val="CommentText"/>
      </w:pPr>
      <w:r>
        <w:t>[E1; E3; E5; R1.2a; R1.2b; R1.2c; R1.3] SIGNIFICATO DEL FATTORE E RESTRIZIONI CAUSALI.</w:t>
      </w:r>
    </w:p>
    <w:p>
      <w:pPr>
        <w:pStyle w:val="CommentText"/>
      </w:pPr>
      <w:r>
        <w:t>Dove: sostituire il nucleo del paragrafo “Statistical unidimensionality...”, subordinando il tema dell'unidimensionalità alla gerarchia.</w:t>
      </w:r>
    </w:p>
    <w:p>
      <w:pPr>
        <w:pStyle w:val="CommentText"/>
      </w:pPr>
      <w:r>
        <w:t>Cosa potremmo scrivere: “We hypothesize that part of the covariance among facets reflects shared processes whose effects admit a common higher-order representation. This hypothesis places restrictions on the pattern of shared influences; it does not identify the underlying processes or imply that all causes operate through the domain.”</w:t>
      </w:r>
    </w:p>
    <w:p>
      <w:pPr>
        <w:pStyle w:val="CommentText"/>
      </w:pPr>
      <w:r>
        <w:t>Cosa chiarire: un solo fattore non rappresenta qualsiasi insieme di cause con effetti arbitrari. Le influenze condivise non allineate richiedono una rappresentazione ulteriore, motivata prima dell'analisi, oppure rendono insufficiente quella a un fattore. Le specificità affidabili restano distinte dall'errore. Le frecce SEM formalizzano ipotesi sostantive, senza essere confermate automaticamente dal fit.</w:t>
      </w:r>
    </w:p>
    <w:p>
      <w:pPr>
        <w:pStyle w:val="CommentText"/>
      </w:pPr>
      <w:r>
        <w:t>Fonti controllate: Bollen e Pearl (2013), https://ftp.cs.ucla.edu/pub/stat_ser/r393-reprint.pdf . Borsboom et al. (2003), https://doi.org/10.1037/0033-295X.110.2.203 , difendono un'interpretazione realista e distinguono inferenze interindividuali e intraindividuali: non citarli come semplice approvazione dell'idea che qualunque covarianza sia una causa distribuita. Eronen (2025), https://doi.org/10.1080/09515089.2023.2300693 , va usato per il rapporto problematico fra misure e realtà causale, non come dimostrazione della vostra particolare gerarchia.</w:t>
      </w:r>
    </w:p>
  </w:comment>
  <w:comment w:id="6" w:author="Codex" w:initials="CX" w:date="2026-10-27T15:33:40Z">
    <w:p>
      <w:pPr>
        <w:pStyle w:val="CommentText"/>
      </w:pPr>
      <w:r>
        <w:t>[E3; R1.2b; R1.2c; R1.2d] INTEGRARE LE CAUSE MISURABILI.</w:t>
      </w:r>
    </w:p>
    <w:p>
      <w:pPr>
        <w:pStyle w:val="CommentText"/>
      </w:pPr>
      <w:r>
        <w:t>Dove: nel paragrafo “When those causes can be isolated...”, con rinvio all'esempio propositivo.</w:t>
      </w:r>
    </w:p>
    <w:p>
      <w:pPr>
        <w:pStyle w:val="CommentText"/>
      </w:pPr>
      <w:r>
        <w:t>Cosa fare: includere una causa candidata misurata, come reward sensitivity, per verificare quali relazioni abbia con la componente comune e con eventuali specificità. Un fattore residuo non deve assorbire automaticamente un meccanismo già misurato. Non serve conoscere tutte le determinanti prima di formulare e testare ipotesi sulla struttura condivisa; tuttavia una causa ignota non diventa identificata stimando un fattore.</w:t>
      </w:r>
    </w:p>
    <w:p>
      <w:pPr>
        <w:pStyle w:val="CommentText"/>
      </w:pPr>
      <w:r>
        <w:t>Per l'esempio: presentare il percorso reward sensitivity → componente comune e le possibili deviazioni specifiche come ipotesi da confrontare. Un effetto non proporzionale di quella causa contraddice il suo ruolo esclusivamente domain-mediated, senza dimostrare l'inesistenza di ogni componente comune.</w:t>
      </w:r>
    </w:p>
  </w:comment>
  <w:comment w:id="7" w:author="Codex" w:initials="CX" w:date="2026-10-27T15:33:40Z">
    <w:p>
      <w:pPr>
        <w:pStyle w:val="CommentText"/>
      </w:pPr>
      <w:r>
        <w:t>[E1; E3; R1.2a; R1.3] EVIDENZE GENETICHE VERIFICATE: RIFORMULARE SENZA SOVRAINTERPRETAZIONI.</w:t>
      </w:r>
    </w:p>
    <w:p>
      <w:pPr>
        <w:pStyle w:val="CommentText"/>
      </w:pPr>
      <w:r>
        <w:t>Dove: riscrivere il paragrafo sugli studi genetici, eliminando “therefore requires a higher-order representation”.</w:t>
      </w:r>
    </w:p>
    <w:p>
      <w:pPr>
        <w:pStyle w:val="CommentText"/>
      </w:pPr>
      <w:r>
        <w:t>Briley e Tucker-Drob (2012), Tabella 8 e Discussion: il common-pathway model non peggiora significativamente il fit per Extraversion e Openness; è meno adeguato per Agreeableness, Conscientiousness e Neuroticism. Entrambi i modelli confrontati includono già influenze genetiche e ambientali specifiche delle facet. La sola presenza di specificità non risolve quindi il rigetto della proporzionalità delle influenze condivise. DOI: https://doi.org/10.1007/s10519-012-9548-8 ; testo: https://pmc.ncbi.nlm.nih.gov/articles/PMC5380466/ .</w:t>
      </w:r>
    </w:p>
    <w:p>
      <w:pPr>
        <w:pStyle w:val="CommentText"/>
      </w:pPr>
      <w:r>
        <w:t>Franić et al. (2014): vengono recuperate strutture a cinque fattori nelle componenti genetiche e ambientali, ma sono respinti i vincoli di collinearità del common-pathway model. La struttura condivisa non dimostra la validità della vostra specifica gerarchia. DOI: https://doi.org/10.1007/s10519-013-9625-7 . Esiste un erratum, https://doi.org/10.1007/s10519-013-9633-7 : estremi verificati, contenuto integrale non accessibile; evitare dettagli numerici che dipendano da esso.</w:t>
      </w:r>
    </w:p>
    <w:p>
      <w:pPr>
        <w:pStyle w:val="CommentText"/>
      </w:pPr>
      <w:r>
        <w:t>Proposta: “These findings motivate distinguishing shared and specific influences while testing, rather than presuming, whether their shared component admits a single higher-order representation.” Non sostenere che l'aggiunta di residui specifici salvi automaticamente i modelli respinti, né accusare il revisore di lettura selettiva.</w:t>
      </w:r>
    </w:p>
  </w:comment>
  <w:comment w:id="8" w:author="Codex" w:initials="CX" w:date="2026-10-26T15:35:15Z">
    <w:p>
      <w:pPr>
        <w:pStyle w:val="CommentText"/>
      </w:pPr>
      <w:r>
        <w:t>[R1.3; R1.6e; R2.2] Eliminare o ridurre a una sola precisazione l'argomento del limite centrale. Molte influenze additive possono produrre una distribuzione circa normale, ma ciò non prova né proporzionalità degli effetti né struttura riflessiva. Distinguere un aggregato di cause da un composito degli indicatori: non sono lo stesso oggetto. Se si mantiene Thomson/bonds, presentarlo come esempio di equivalenza osservazionale, non come conferma causale del fattore. Gli esempi di altezza, pressione e resa agricola proposti negli appunti possono illustrare la differenza tra cause e misurazione, ma non servono come prova e appesantirebbero il commentary.</w:t>
      </w:r>
    </w:p>
  </w:comment>
  <w:comment w:id="9" w:author="Codex" w:initials="CX" w:date="2026-10-27T15:33:40Z">
    <w:p>
      <w:pPr>
        <w:pStyle w:val="CommentText"/>
      </w:pPr>
      <w:r>
        <w:t>[E1; E2; E5; R1.2c; R1.5] DOMANDE SOSTANTIVE E MODELLO DEL CRITERIO.</w:t>
      </w:r>
    </w:p>
    <w:p>
      <w:pPr>
        <w:pStyle w:val="CommentText"/>
      </w:pPr>
      <w:r>
        <w:t>Dove: anticipare nell'introduzione le domande di questo paragrafo e riprenderle nell'esempio sull'estroversione.</w:t>
      </w:r>
    </w:p>
    <w:p>
      <w:pPr>
        <w:pStyle w:val="CommentText"/>
      </w:pPr>
      <w:r>
        <w:t>Cosa fare: distinguere componente comune, specificità affidabili e errore; chiedere quali siano associate al criterio, senza presumere che la componente comune debba prevalere. La somiglianza fra determinanti delle facet e determinanti dell'outcome è un'ipotesi sostantiva, non un risultato della sola covarianza.</w:t>
      </w:r>
    </w:p>
    <w:p>
      <w:pPr>
        <w:pStyle w:val="CommentText"/>
      </w:pPr>
      <w:r>
        <w:t>Riferimento pertinente identificato: Moshagen (2023; online 2021), https://doi.org/10.1177/08902070211050170 . Vedere il commento bibliografico aggiuntivo nella sezione propositiva per il risultato specifico e i limiti del controllo. Non usare la fonte come approvazione indiscriminata del secondo ordine.</w:t>
      </w:r>
    </w:p>
  </w:comment>
  <w:comment w:id="10" w:author="Codex" w:initials="CX" w:date="2026-10-27T15:33:40Z">
    <w:p>
      <w:pPr>
        <w:pStyle w:val="CommentText"/>
      </w:pPr>
      <w:r>
        <w:t>[E5; R1.3; R1.5; R2.2] CRITERI DI REVISIONE DEL MODELLO, CON TRE ESITI DISTINTI.</w:t>
      </w:r>
    </w:p>
    <w:p>
      <w:pPr>
        <w:pStyle w:val="CommentText"/>
      </w:pPr>
      <w:r>
        <w:t>Dove: sostituire “Strong deviations should appear as poor fit...” con il rinvio breve proposto nel commento aggiuntivo; sviluppare i criteri nell'esempio in “Toward Multilevel Causal-Measurement Models”.</w:t>
      </w:r>
    </w:p>
    <w:p>
      <w:pPr>
        <w:pStyle w:val="CommentText"/>
      </w:pPr>
      <w:r>
        <w:t>Cosa dichiarare: (1) violazioni sostanziali e replicabili delle restrizioni sulle relazioni fra facet portano a rivedere o abbandonare quella gerarchia per strumento e popolazione; (2) un contributo comune trascurabile rispetto a un criterio può rendere preferibile il livello più stretto per quella domanda, senza negare il dominio; (3) cambiamenti non proporzionali mettono in discussione un'ipotesi esclusivamente domain-mediated di quell'intervento, se formulata, senza confutare automaticamente il fattore.</w:t>
      </w:r>
    </w:p>
    <w:p>
      <w:pPr>
        <w:pStyle w:val="CommentText"/>
      </w:pPr>
      <w:r>
        <w:t>Valutare precisione, discrepanze locali, confronto con alternative e replicabilità. Per contributo trascurabile definire prima un margine sostantivamente motivato: la non significatività non dimostra equivalenza a zero. Non proporre cutoff universali inventati per questo commentary. Le modifiche esplorative richiedono giustificazione e verifica indipendente; non confermano retroattivamente la specificazione originaria. Le comparazioni pre-post richiedono adeguata comparabilità di misura.</w:t>
      </w:r>
    </w:p>
  </w:comment>
  <w:comment w:id="11" w:author="Codex" w:initials="CX" w:date="2026-10-26T15:35:15Z">
    <w:p>
      <w:pPr>
        <w:pStyle w:val="CommentText"/>
      </w:pPr>
      <w:r>
        <w:t>[E3; R1.1; R1.2c; R1.6c; R2.2] Attenuare “theoretical retreat”: Grosz non presenta il composito come spiegazione. Il punto condiviso è che la covarianza resta da spiegare. Qualificare l'appello a Reichenbach: servono assunzioni sul sistema causale, sulla selezione e sugli effetti di metodo; una singola dimensione riflessiva non segue automaticamente dall'esistenza di cause condivise. Unire questo passaggio alla sezione sui compositi per evitare di ripetere la stessa obiezione più volte.</w:t>
      </w:r>
    </w:p>
  </w:comment>
  <w:comment w:id="12" w:author="Codex" w:initials="CX" w:date="2026-10-26T15:35:15Z">
    <w:p>
      <w:pPr>
        <w:pStyle w:val="CommentText"/>
      </w:pPr>
      <w:r>
        <w:t>[R1.m2; R1.2a; R2.2] Riscrivere la separability in forma breve e ordinata. La proprietà rilevante del glucosio è l'identificazione e manipolazione della quantità indipendentemente dagli indicatori, non la semplicità delle sue cause né la sola precisione dello strumento. Sostituire “Extraversion cannot be isolated” con una formulazione sul fatto che un analogo intervento sul dominio non è attualmente stabilito: gli appunti TF non accettano un'impossibilità di principio. Tenere distinti separabilità, affidabilità e livello dell'inferenza, spostando gli ultimi due nella discussione della gerarchia.</w:t>
      </w:r>
    </w:p>
  </w:comment>
  <w:comment w:id="13" w:author="Codex" w:initials="CX" w:date="2026-10-26T15:35:15Z">
    <w:p>
      <w:pPr>
        <w:pStyle w:val="CommentText"/>
      </w:pPr>
      <w:r>
        <w:t>[R1.m2; R1.6g; R2.2] Tagliare gran parte di questo confronto e non presentare sindromi o malattie come casi risolti a favore di un fattore comune. L'eterogeneità clinica è compatibile con più ontologie, comprese reti e aggregati. Se l'analogia rimane, usarla solo per mostrare che una struttura descrittiva non decide da sola il meccanismo, con rimando alle alternative menzionate dal revisore. La critica al benchmark del glucosio non deve basarsi sulla sua multicausalità, che Grosz già riconosce.</w:t>
      </w:r>
    </w:p>
  </w:comment>
  <w:comment w:id="14" w:author="Codex" w:initials="CX" w:date="2026-10-26T15:35:15Z">
    <w:p>
      <w:pPr>
        <w:pStyle w:val="CommentText"/>
      </w:pPr>
      <w:r>
        <w:t>[E1; E2; R1.2b; R1.6g] Rendere questa frase dipendente dall'obiettivo: il livello comune è un bersaglio sostantivo importante, ma non è sempre “the inferential target”. Alcuni criteri possono essere associati soprattutto a specificità di facet o nuance. L'analogia cognitiva richiesta dall'editor serve a motivare l'analisi congiunta di generale e specifico, non a decidere in anticipo quale livello spieghi l'outcome.</w:t>
      </w:r>
    </w:p>
  </w:comment>
  <w:comment w:id="15" w:author="Codex" w:initials="CX" w:date="2026-10-27T15:33:40Z">
    <w:p>
      <w:pPr>
        <w:pStyle w:val="CommentText"/>
      </w:pPr>
      <w:r>
        <w:t>[E1; E2; R1.1; R1.6a; R1.m2] AFFIDABILITÀ: CORREGGERE L'INFERENZA DAL RETEST.</w:t>
      </w:r>
    </w:p>
    <w:p>
      <w:pPr>
        <w:pStyle w:val="CommentText"/>
      </w:pPr>
      <w:r>
        <w:t>Dove: abbreviare il lungo paragrafo che qualifica il livello stretto come rumoroso e interpreta la raccomandazione del retest come una concessione.</w:t>
      </w:r>
    </w:p>
    <w:p>
      <w:pPr>
        <w:pStyle w:val="CommentText"/>
      </w:pPr>
      <w:r>
        <w:t>Verifica: Henry, Thielmann, Booth e Mõttus (2022) riportano, nel loro studio HEXACO su 416 persone a 13 giorni, mediane retest .88 per domini, .81 per facet e .65 per item. Questi numeri non sono stime universali e non misurano automaticamente la reliability del residuo dopo il dominio. Fonte primaria: https://doi.org/10.1371/journal.pone.0262465 .</w:t>
      </w:r>
    </w:p>
    <w:p>
      <w:pPr>
        <w:pStyle w:val="CommentText"/>
      </w:pPr>
      <w:r>
        <w:t>Cosa fare: distinguere affidabilità del totale, specificità affidabile ed errore; riconoscere che Grosz propone narrow traits con indicatori e metodi multipli. Un SEM può rappresentare l'errore sotto assunzioni appropriate. Anche un composito inserito in un modello esplicito può essere corretto per inaffidabilità: verificato nella Figura 2, pp. 18–20 del manoscritto accettato di Grosz. Evitare quindi l'opposizione “SEM che corregge l'errore” contro “composito necessariamente senza correzione”. Gli errori di misura e il confondimento causale omesso sono problemi distinti.</w:t>
      </w:r>
    </w:p>
  </w:comment>
  <w:comment w:id="16" w:author="Codex" w:initials="CX" w:date="2026-10-26T15:35:15Z">
    <w:p>
      <w:pPr>
        <w:pStyle w:val="CommentText"/>
      </w:pPr>
      <w:r>
        <w:t>[E3; R1.2d; R1.m2; R2.2] Distinguere le facet/manifestazioni del dominio dai meccanismi candidati che potrebbero produrle: reward sensitivity non va elencata senza chiarimento come una sua parte sullo stesso piano di talkativeness o sociability. Conservare soltanto la domanda sulla covarianza tra componenti e accorpare questo punto alla discussione generale; non occorre una seconda lunga analogia mereologica.</w:t>
      </w:r>
    </w:p>
  </w:comment>
  <w:comment w:id="17" w:author="Codex" w:initials="CX" w:date="2026-10-26T15:35:15Z">
    <w:p>
      <w:pPr>
        <w:pStyle w:val="CommentText"/>
      </w:pPr>
      <w:r>
        <w:t>[E3; E5; R1.5; R2.0; R2.2] Conservare la possibilità di integrare fattori comuni, specificità e relazioni dirette, ma sostituire l'elenco di strumenti con una breve procedura: specificazione teorica di livelli, metodo e path; controllo dell'identificazione; confronto con alternative; verifica su dati indipendenti. Una correlazione residua non distingue da sola ridondanza semantica, causa omessa o effetto diretto. Frecce reciproche richiedono informazioni temporali o altri vincoli identificativi, non una semplice aggiunta di edge. Accorpare qui i contenuti sovrapposti dei paragrafi su Leising e semantic overlap, mantenendo il ruolo dei dati multimethod. Una gerarchia prevista a priori evita alcuni interventi ad hoc ma resta una specificazione da mettere alla prova.</w:t>
      </w:r>
    </w:p>
  </w:comment>
  <w:comment w:id="18" w:author="Codex" w:initials="CX" w:date="2026-10-27T15:33:40Z">
    <w:p>
      <w:pPr>
        <w:pStyle w:val="CommentText"/>
      </w:pPr>
      <w:r>
        <w:t>[E3; R1.2b; R1.4; R1.5; R1.6h] RHEMTULLA ET AL.: USARE IL RISULTATO CORRETTO E AGGIORNATO.</w:t>
      </w:r>
    </w:p>
    <w:p>
      <w:pPr>
        <w:pStyle w:val="CommentText"/>
      </w:pPr>
      <w:r>
        <w:t>Dove: sostituire il paragrafo che limita il loro avvertimento al semplice one-factor model e ne esenta la gerarchia.</w:t>
      </w:r>
    </w:p>
    <w:p>
      <w:pPr>
        <w:pStyle w:val="CommentText"/>
      </w:pPr>
      <w:r>
        <w:t>Cosa fare: riconoscere che anche una gerarchia può essere misspecificata e produrre relazioni strutturali distorte. Proposta: “These results motivate testing the measurement and structural assumptions of the proposed hierarchy; adding levels does not itself protect against misspecification.”</w:t>
      </w:r>
    </w:p>
    <w:p>
      <w:pPr>
        <w:pStyle w:val="CommentText"/>
      </w:pPr>
      <w:r>
        <w:t>Verifica: articolo https://doi.org/10.1037/met0000220 e correzione di ottobre 2026, https://doi.org/10.1037/met0000871 , PMID 42895499. La correzione segnala un errore di codice relativo a Figura 10, testo associato e parameter sweep supplementare; figure, materiali e codice sono stati aggiornati su https://osf.io/f8g4d . Citare la versione corretta e non riprodurre risultati numerici della vecchia Figura 10. La correzione non autorizza ad affermare che sia stato ritirato l'avvertimento generale sulla misspecificazione. La distinzione appropriateness/sufficiency dell'aggiustamento è specificata nei commenti della sezione causale.</w:t>
      </w:r>
    </w:p>
  </w:comment>
  <w:comment w:id="19" w:author="Codex" w:initials="CX" w:date="2026-10-26T15:35:15Z">
    <w:p>
      <w:pPr>
        <w:pStyle w:val="CommentText"/>
      </w:pPr>
      <w:r>
        <w:t>[R1.1; R1.m4; R2.2] Cambiare il titolo polemico in uno coerente con il dissenso circoscritto, ad esempio “What Composite Scores Preserve and Leave Unresolved”. Ridurre l'intera sezione, conservando tre punti: utilità descrittiva/predittiva, perdita della distinzione comune-specifico nel punteggio, necessità di studiare la covarianza con modelli espliciti. Grosz non rivendica per i compositi una funzione esplicativa.</w:t>
      </w:r>
    </w:p>
  </w:comment>
  <w:comment w:id="20" w:author="Codex" w:initials="CX" w:date="2026-10-26T15:35:15Z">
    <w:p>
      <w:pPr>
        <w:pStyle w:val="CommentText"/>
      </w:pPr>
      <w:r>
        <w:t>[E3; R1.1; R1.2b; R1.2c; R1.6c] Togliere l'attribuzione secondo cui Grosz tratta il composito come una spiegazione o gli attribuisce automaticamente un'ontologia causale. Quando si caratterizza la sua posizione, riportare nella revisione una breve citazione controllata sul target article. Riformulare il vostro punto positivo: la componente condivisa resta oggetto di ricerca e un modello gerarchico può formalizzare ipotesi sulla sua origine senza identificarle con il semplice atto di stimare un fattore. “A reflective or hierarchical model names that shared background” è troppo forte: le frecce impongono assunzioni da motivare e sottoporre a verifica.</w:t>
      </w:r>
    </w:p>
  </w:comment>
  <w:comment w:id="21" w:author="Codex" w:initials="CX" w:date="2026-10-27T15:33:40Z">
    <w:p>
      <w:pPr>
        <w:pStyle w:val="CommentText"/>
      </w:pPr>
      <w:r>
        <w:t>[R1.1; R1.6h; R2.2] SIMULAZIONE E YARKONI: ATTRIBUZIONI CONTROLLATE.</w:t>
      </w:r>
    </w:p>
    <w:p>
      <w:pPr>
        <w:pStyle w:val="CommentText"/>
      </w:pPr>
      <w:r>
        <w:t>Dove: eliminare “simulating correlated variables ... is misleading and inappropriate” e ridurre i giudizi sul presunto abbandono della spiegazione.</w:t>
      </w:r>
    </w:p>
    <w:p>
      <w:pPr>
        <w:pStyle w:val="CommentText"/>
      </w:pPr>
      <w:r>
        <w:t>Verifica del target: Figura 2, pp. 18–19 del manoscritto accettato di Grosz, dichiara numerosità, varianze, correlazioni item-item e item-outcome, reliability e scopo della simulazione. È una dimostrazione della gestione dell'errore di misura, non un tentativo di identificare i meccanismi della covarianza. Ritirare l'obiezione che il modello generativo statistico non sia specificato. Fonte: https://osf.io/preprints/psyarxiv/6ukqb_v4 .</w:t>
      </w:r>
    </w:p>
    <w:p>
      <w:pPr>
        <w:pStyle w:val="CommentText"/>
      </w:pPr>
      <w:r>
        <w:t>Verifica di Yarkoni: il preprint dell'autore https://osf.io/preprints/psyarxiv/xj5uq_v1 , pp. 8–9, ammette un uso pragmatico dei modelli riflessivi anche senza entity realism, ma mantiene una posizione critica verso il realismo e verso le pretese causali delle rappresentazioni a poche dimensioni. Usarlo soltanto per distinguere utilità del modello e impegno ontologico; non come prova della vostra eziologia. DOI della pubblicazione: https://doi.org/10.1080/1047840X.2020.1853478 . La paginazione del preprint non va trasferita automaticamente alla versione pubblicata.</w:t>
      </w:r>
    </w:p>
  </w:comment>
  <w:comment w:id="22" w:author="Codex" w:initials="CX" w:date="2026-10-26T15:35:15Z">
    <w:p>
      <w:pPr>
        <w:pStyle w:val="CommentText"/>
      </w:pPr>
      <w:r>
        <w:t>[R1.1; R1.6c; R2.2] Accorpare al paragrafo precedente e rimuovere il giudizio sulla “weaker move”. Una convenzione di scoring può legittimamente non specificare il processo. La critica pertinente al vostro obiettivo è che il punteggio da solo non distingue contributi comuni, specifici e di metodo e quindi non risolve la domanda sostantiva. Cause condivise e dinamiche di sistema possono coesistere: non richiedere una scelta esclusiva.</w:t>
      </w:r>
    </w:p>
  </w:comment>
  <w:comment w:id="23" w:author="Codex" w:initials="CX" w:date="2026-10-26T15:35:15Z">
    <w:p>
      <w:pPr>
        <w:pStyle w:val="CommentText"/>
      </w:pPr>
      <w:r>
        <w:t>[R1.0; R1.6b; R1.6c] Mantenere il rischio di sovrappesare processi ridondanti, come negli appunti ET/TF, ma definirlo come problema di interpretazione e di adeguatezza allo scopo, non come errore matematico o violazione di un'assunzione causale del composito. Il double counting dipende dal bersaglio del punteggio e dai pesi. Specificare quali informazioni l'aggregazione rende indistinguibili: contributi del processo a monte e delle sue conseguenze. Anche la rappresentazione SEM deve dichiarare i path e richiede identificazione; non è automaticamente immune dal problema.</w:t>
      </w:r>
    </w:p>
  </w:comment>
  <w:comment w:id="24" w:author="Codex" w:initials="CX" w:date="2026-10-27T15:33:40Z">
    <w:p>
      <w:pPr>
        <w:pStyle w:val="CommentText"/>
      </w:pPr>
      <w:r>
        <w:t>[E3; R1.6d; R2.2] CONVERGENZA FRA STRUMENTI: LIMITARE L'INFERENZA.</w:t>
      </w:r>
    </w:p>
    <w:p>
      <w:pPr>
        <w:pStyle w:val="CommentText"/>
      </w:pPr>
      <w:r>
        <w:t>Dove: sostituire la previsione secondo cui compositi di item pool diversi debbano necessariamente divergere e qualificare le generalizzazioni interculturali.</w:t>
      </w:r>
    </w:p>
    <w:p>
      <w:pPr>
        <w:pStyle w:val="CommentText"/>
      </w:pPr>
      <w:r>
        <w:t>Fonti primarie verificate: Miller et al. (2011), https://doi.org/10.1177/1073191111411671 , mostrano che Agreeableness BFI e NEO PI-R sono correlate ma differiscono nel contenuto e nelle associazioni esterne, con un ruolo di Straightforwardness e Modesty. Laajaj et al. (2019), https://doi.org/10.1126/sciadv.aaw5226 , documentano problemi di validità in indagini faccia a faccia non-WEIRD e risultati diversi nei campioni internet.</w:t>
      </w:r>
    </w:p>
    <w:p>
      <w:pPr>
        <w:pStyle w:val="CommentText"/>
      </w:pPr>
      <w:r>
        <w:t>Cosa fare: riconoscere che la convergenza dipende da dominio, strumenti, campionamento e contesto. Può essere compatibile con una struttura comune, ma non ne identifica l'origine causale né discrimina da sola fattori e aggregazione. Conservare la domanda sul perché le tendenze covarino. Evitare affermazioni universali sul recupero dei cinque fattori e non confondere evidenza between-person con struttura within-person.</w:t>
      </w:r>
    </w:p>
  </w:comment>
  <w:comment w:id="25" w:author="Codex" w:initials="CX" w:date="2026-10-27T15:33:40Z">
    <w:p>
      <w:pPr>
        <w:pStyle w:val="CommentText"/>
      </w:pPr>
      <w:r>
        <w:t>[R1.6b; R1.6c; R2.2] CORREGGERE IL PRESUNTO REQUISITO DI INTERCORRELAZIONE.</w:t>
      </w:r>
    </w:p>
    <w:p>
      <w:pPr>
        <w:pStyle w:val="CommentText"/>
      </w:pPr>
      <w:r>
        <w:t>Dove: sostituire il dilemma “The existence of a useful composite presupposes...” con una domanda sulla scelta degli indicatori per i Big Five.</w:t>
      </w:r>
    </w:p>
    <w:p>
      <w:pPr>
        <w:pStyle w:val="CommentText"/>
      </w:pPr>
      <w:r>
        <w:t>Verifica: Bollen e Bauldry (2011), https://doi.org/10.1037/a0024448 , distinguono indicatori causali, indicatori compositi e covariate; un composito è una combinazione esatta e i suoi componenti non devono condividere un unico concetto. Non richiede quindi la covarianza postulata nel testo.</w:t>
      </w:r>
    </w:p>
    <w:p>
      <w:pPr>
        <w:pStyle w:val="CommentText"/>
      </w:pPr>
      <w:r>
        <w:t>Cosa fare: riconoscere la legittimità dei compositi ottimizzati per un criterio e chiedere perché, per una tassonomia Big Five, vengano selezionati proprio cluster di tendenze covarianti. Il problema sostantivo è ciò che l'aggregazione rende indistinguibile per la domanda di ricerca, non un errore matematico o una necessaria misspecificazione causale del composito.</w:t>
      </w:r>
    </w:p>
  </w:comment>
  <w:comment w:id="26" w:author="Codex" w:initials="CX" w:date="2026-10-26T15:35:15Z">
    <w:p>
      <w:pPr>
        <w:pStyle w:val="CommentText"/>
      </w:pPr>
      <w:r>
        <w:t>[R1.6c; R1.0; R2.2] Sostituire “can also fail” e “leave important assumptions implicit” con una formulazione esplicita delle scelte sostantive: selezione degli indicatori, pesi, copertura del costrutto e finalità del punteggio. Un composito privo di pretese causali non è causalmente misspecificato per il solo fatto di includere dipendenze locali; può essere poco adeguato a una domanda o sovrarappresentare contenuti. Preservare il vantaggio informativo della decomposizione gerarchica senza attribuirle identificazione causale automatica. Unire questo punto al caso di ridondanza discusso sopra, evitando ripetizioni.</w:t>
      </w:r>
    </w:p>
  </w:comment>
  <w:comment w:id="27" w:author="Codex" w:initials="CX" w:date="2026-10-27T15:33:40Z">
    <w:p>
      <w:pPr>
        <w:pStyle w:val="CommentText"/>
      </w:pPr>
      <w:r>
        <w:t>[E2; R1.6g; R2.2] ANALOGIA COGNITIVA: GERARCHIA SENZA ONTOLOGIA PRESUPPOSTA.</w:t>
      </w:r>
    </w:p>
    <w:p>
      <w:pPr>
        <w:pStyle w:val="CommentText"/>
      </w:pPr>
      <w:r>
        <w:t>Dove: abbreviare l'introduzione dell'analogia con g e togliere l'opposizione con un “arbitrary sum”.</w:t>
      </w:r>
    </w:p>
    <w:p>
      <w:pPr>
        <w:pStyle w:val="CommentText"/>
      </w:pPr>
      <w:r>
        <w:t>Cosa fare: usare generale e specifico come livelli da analizzare insieme, chiedendo quale sia pertinente al criterio. Non presentare l'ontologia di g come risolta né usare la tassonomia CHC come prova di una singola causa.</w:t>
      </w:r>
    </w:p>
    <w:p>
      <w:pPr>
        <w:pStyle w:val="CommentText"/>
      </w:pPr>
      <w:r>
        <w:t>Verifica bibliografica: Schneider e McGrew (2018) è documentato nel CV dell'autore, https://wjschne.github.io/vita.html . Per la bibliografia finale controllare titolo e paginazione del capitolo sull'esemplare del libro: le schede reperite differiscono e non giustificano l'inserimento automatico di estremi non controllati. Non sono necessari numeri di pagina o citazioni letterali per il breve punto metodologico proposto.</w:t>
      </w:r>
    </w:p>
  </w:comment>
  <w:comment w:id="28" w:author="Codex" w:initials="CX" w:date="2026-10-27T15:33:40Z">
    <w:p>
      <w:pPr>
        <w:pStyle w:val="CommentText"/>
      </w:pPr>
      <w:r>
        <w:t>[E5; R1.3; R1.6f; R2.2] CAMBIAMENTO LOCALE: NON È UN TEST DECISIVO FRA FATTORE E COMPOSITO.</w:t>
      </w:r>
    </w:p>
    <w:p>
      <w:pPr>
        <w:pStyle w:val="CommentText"/>
      </w:pPr>
      <w:r>
        <w:t>Dove: ridurre il paragrafo sul working-memory training e collegarlo al caso concreto di personalità, senza duplicare la discussione degli interventi.</w:t>
      </w:r>
    </w:p>
    <w:p>
      <w:pPr>
        <w:pStyle w:val="CommentText"/>
      </w:pPr>
      <w:r>
        <w:t>Cosa fare: togliere “This cuts against a hasty composite reading” e non qualificare come necessariamente irrilevante un cambiamento specifico. Un intervento locale può essere compatibile con una struttura comune; la rilevanza dipende dall'outcome.</w:t>
      </w:r>
    </w:p>
    <w:p>
      <w:pPr>
        <w:pStyle w:val="CommentText"/>
      </w:pPr>
      <w:r>
        <w:t>Verifica Olaru et al. (2024), https://doi.org/10.1177/08902070221145088 : nello studio i cambiamenti self-report dell'estroversione sono maggiori per sociability e differiscono dagli observer-report; sono esaminate violazioni di invarianza a più livelli. È evidenza di eterogeneità del cambiamento e della necessità di distinguere i livelli. Non dimostra da sola né assenza del dominio né correttezza causale del vostro SEM. Il nuovo passaggio in prosa sugli interventi specifica l'ipotesi che viene messa alla prova.</w:t>
      </w:r>
    </w:p>
  </w:comment>
  <w:comment w:id="29" w:author="Codex" w:initials="CX" w:date="2026-10-27T15:33:40Z">
    <w:p>
      <w:pPr>
        <w:pStyle w:val="CommentText"/>
      </w:pPr>
      <w:r>
        <w:t>[E3; R1.1; R1.m3; R1.6g; R2.2] ELIMINARE IL DILEMMA E CORREGGERE L'ATTRIBUZIONE AL TARGET.</w:t>
      </w:r>
    </w:p>
    <w:p>
      <w:pPr>
        <w:pStyle w:val="CommentText"/>
      </w:pPr>
      <w:r>
        <w:t>Dove: sostituire o eliminare il paragrafo “Grosz himself judges mutualism...”.</w:t>
      </w:r>
    </w:p>
    <w:p>
      <w:pPr>
        <w:pStyle w:val="CommentText"/>
      </w:pPr>
      <w:r>
        <w:t>Cosa fare: riconoscere insieme influenze genetiche e ambientali condivise, dipendenze fra narrow traits, semantica e response styles; non porle come alternative esclusive. Togliere “taking the explanatory credit” e “operationalist retreat”. Il dissenso sostenibile riguarda la possibilità e l'utilità di rappresentare una componente comune sotto restrizioni esplicite. Non imputare ai compositi una pretesa causale che il target non avanza.</w:t>
      </w:r>
    </w:p>
    <w:p>
      <w:pPr>
        <w:pStyle w:val="CommentText"/>
      </w:pPr>
      <w:r>
        <w:t>Fonte controllata: manoscritto accettato di Grosz, https://osf.io/preprints/psyarxiv/6ukqb_v4 ; per le raccomandazioni operative vedere Tabella 2, p. 22, e pp. 23–25.</w:t>
      </w:r>
    </w:p>
  </w:comment>
  <w:comment w:id="30" w:author="Codex" w:initials="CX" w:date="2026-10-26T15:35:15Z">
    <w:p>
      <w:pPr>
        <w:pStyle w:val="CommentText"/>
      </w:pPr>
      <w:r>
        <w:t>[E4; E5; R1.1; R1.3; R1.m2] Mantenere il riconoscimento dei narrow traits multimethod, precisando che non è una vostra alternativa contrapposta a Grosz ma un accordo. Sostituire l'asserzione generale su ciò che un intervento “rarely” fa con la distinzione tra effetti domain-common, facet-specific e item-specific. Un intervento eterogeneo non prova l'impossibilità di modificare il dominio; può mostrare che quella manipolazione non opera esclusivamente attraverso di esso, a condizione di una comparazione di misura appropriata. Nessun ruolo causale del dominio è autorizzato dalla sola gerarchia.</w:t>
      </w:r>
    </w:p>
  </w:comment>
  <w:comment w:id="31" w:author="Codex" w:initials="CX" w:date="2026-10-27T15:33:40Z">
    <w:p>
      <w:pPr>
        <w:pStyle w:val="CommentText"/>
      </w:pPr>
      <w:r>
        <w:t>[E3; E4; R1.2c; R1.4; R1.6h] RUOLI CAUSALI E USO CORRETTO DI VANDERWEELE.</w:t>
      </w:r>
    </w:p>
    <w:p>
      <w:pPr>
        <w:pStyle w:val="CommentText"/>
      </w:pPr>
      <w:r>
        <w:t>Dove: nel primo tratto del paragrafo “Broad domains can still matter...”.</w:t>
      </w:r>
    </w:p>
    <w:p>
      <w:pPr>
        <w:pStyle w:val="CommentText"/>
      </w:pPr>
      <w:r>
        <w:t>Cosa fare: definire ogni volta l'effetto bersaglio e il DAG. Dominio come confondente, mediatore, moderatore o esito sono ipotesi diverse. Il modello di misura può essere corretto senza che siano corrette tutte le relazioni con l'outcome; se invece l'intero modello causale è corretto e identifica l'effetto, non si deve postulare un ulteriore bias inevitabile.</w:t>
      </w:r>
    </w:p>
    <w:p>
      <w:pPr>
        <w:pStyle w:val="CommentText"/>
      </w:pPr>
      <w:r>
        <w:t>Fonte verificata: VanderWeele (2022), https://doi.org/10.1097/EDE.0000000000001434 , testo https://pmc.ncbi.nlm.nih.gov/articles/PMC8614532/ . L'autore critica sia formulazioni formative sia interpretazioni strutturali univariate riflessive e tratta costituenti causalmente multivariati. Citarlo per questa eterogeneità e per il problema delle diverse versioni dell'esposizione, non come sostegno al fattore scalare quale confondente sufficiente. Correggere, solo in fase di revisione del corpo/bibliografia, il DOI attualmente terminante in 1437.</w:t>
      </w:r>
    </w:p>
    <w:p>
      <w:pPr>
        <w:pStyle w:val="CommentText"/>
      </w:pPr>
      <w:r>
        <w:t>Westfall e Yarkoni (2016), https://doi.org/10.1371/journal.pone.0152719 , sostengono la necessità di considerare l'inaffidabilità e discutono soluzioni SEM; non identificano il DAG della personalità né eliminano un confondente omesso.</w:t>
      </w:r>
    </w:p>
  </w:comment>
  <w:comment w:id="32" w:author="Codex" w:initials="CX" w:date="2026-10-27T15:33:40Z">
    <w:p>
      <w:pPr>
        <w:pStyle w:val="CommentText"/>
      </w:pPr>
      <w:r>
        <w:t>[E3; E4; R1.2b; R1.4] DIFENDERE LA DISTINZIONE FRA FACTOR SCORE E LATENTE NEL SEM.</w:t>
      </w:r>
    </w:p>
    <w:p>
      <w:pPr>
        <w:pStyle w:val="CommentText"/>
      </w:pPr>
      <w:r>
        <w:t>Dove: riscrivere “This concern, however, is not symmetrically...”.</w:t>
      </w:r>
    </w:p>
    <w:p>
      <w:pPr>
        <w:pStyle w:val="CommentText"/>
      </w:pPr>
      <w:r>
        <w:t>Cosa fare: distinguere l'aggiustamento per un factor score estratto dalla stima congiunta di un modello latente. L'obiezione che entrambi siano somme pesate non esaurisce il secondo caso. Nel DAG riflessivo il dominio è genitore delle facet; la sua posizione non coincide con quella di un aggregato definito dai componenti. L'effetto del condizionamento dipende comunque dal grafo completo e dall'estimand.</w:t>
      </w:r>
    </w:p>
    <w:p>
      <w:pPr>
        <w:pStyle w:val="CommentText"/>
      </w:pPr>
      <w:r>
        <w:t>Non sostenere che solo il SEM latente consenta correzioni per inaffidabilità: il target presenta anche modelli compositi con errore esplicito. La distinzione difendibile riguarda assunzioni e struttura rappresentate, non un'immunità generale della tecnica. Fonte causale verificata: Wysocki et al. (2022), https://doi.org/10.1177/25152459221095823 ; per errore di misura e stima SEM, Westfall e Yarkoni (2016), https://doi.org/10.1371/journal.pone.0152719 .</w:t>
      </w:r>
    </w:p>
  </w:comment>
  <w:comment w:id="33" w:author="Codex" w:initials="CX" w:date="2026-10-27T15:33:40Z">
    <w:p>
      <w:pPr>
        <w:pStyle w:val="CommentText"/>
      </w:pPr>
      <w:r>
        <w:t>[E4; R1.4] BACKDOOR PATHS: APPROPRIATEZZA E SUFFICIENZA SONO DISTINTE.</w:t>
      </w:r>
    </w:p>
    <w:p>
      <w:pPr>
        <w:pStyle w:val="CommentText"/>
      </w:pPr>
      <w:r>
        <w:t>Dove: sostituire la frase “For a distributed latent factor ... is the appropriate move to close backdoor paths” con una conclusione condizionale e riferita all'effetto della facet.</w:t>
      </w:r>
    </w:p>
    <w:p>
      <w:pPr>
        <w:pStyle w:val="CommentText"/>
      </w:pPr>
      <w:r>
        <w:t>Cosa potremmo scrivere: “Under a correctly specified causal model, adjustment for the domain factor can block confounding paths through the domain-common component. Facet-specific confounding may nevertheless remain when estimating the causal effect of a narrower trait. This limitation concerns the sufficiency of domain-level adjustment, rather than its appropriateness for blocking the paths represented by the model.”</w:t>
      </w:r>
    </w:p>
    <w:p>
      <w:pPr>
        <w:pStyle w:val="CommentText"/>
      </w:pPr>
      <w:r>
        <w:t>Cosa chiarire: un confondente specifico della facet non invalida il corretto blocco del percorso che passa per il dominio. La concessione riguarda la sufficienza del solo dominio per identificare l'effetto della facet, non un divieto generale di usare il fattore come controllo. Conservare teoria, identificazione e modello di misura come condizioni; non dedurre il DAG dal solo buon fit.</w:t>
      </w:r>
    </w:p>
  </w:comment>
  <w:comment w:id="34" w:author="Codex" w:initials="CX" w:date="2026-10-27T15:33:40Z">
    <w:p>
      <w:pPr>
        <w:pStyle w:val="CommentText"/>
      </w:pPr>
      <w:r>
        <w:t>[E3; E4; R1.4; R1.5; R2.2] ACCORPARE IL RAGIONAMENTO SUI PERCORSI, SENZA ESTENDERE L'OBIEZIONE.</w:t>
      </w:r>
    </w:p>
    <w:p>
      <w:pPr>
        <w:pStyle w:val="CommentText"/>
      </w:pPr>
      <w:r>
        <w:t>Dove: accorpare il paragrafo “A reviewer might object...” al confronto precedente.</w:t>
      </w:r>
    </w:p>
    <w:p>
      <w:pPr>
        <w:pStyle w:val="CommentText"/>
      </w:pPr>
      <w:r>
        <w:t>Cosa fare: sostituire le promesse incondizionate di chiusura con i due percorsi dell'esempio: A ← E → Y, bloccabile aggiustando per E quando il DAG è corretto, e A ← U → Y, che resta aperto se U è omesso. Il secondo è un problema per l'effetto A → Y. Nel DAG proposto U non causa né confonde E: non presentarlo come backdoor dell'effetto E → Y.</w:t>
      </w:r>
    </w:p>
    <w:p>
      <w:pPr>
        <w:pStyle w:val="CommentText"/>
      </w:pPr>
      <w:r>
        <w:t>Precisazione: gerarchia di misura corretta e modello causale completo corretto sono affermazioni diverse. Se l'intero modello causale è correttamente specificato e l'effetto è identificato, l'obiezione non dimostra un bias residuo necessario. Il fit da solo non garantisce queste condizioni. Fonte: Wysocki et al. (2022), https://doi.org/10.1177/25152459221095823 .</w:t>
      </w:r>
    </w:p>
  </w:comment>
  <w:comment w:id="35" w:author="Codex" w:initials="CX" w:date="2026-10-27T15:33:40Z">
    <w:p>
      <w:pPr>
        <w:pStyle w:val="CommentText"/>
      </w:pPr>
      <w:r>
        <w:t>[E2; E3; E4; R1.2c; R1.4; R1.5] ESEMPIO CAUSALE DEFINITIVO: INDICARE SEMPRE L'EFFETTO BERSAGLIO.</w:t>
      </w:r>
    </w:p>
    <w:p>
      <w:pPr>
        <w:pStyle w:val="CommentText"/>
      </w:pPr>
      <w:r>
        <w:t>Dove: nel paragrafo “For example, suppose talkativeness predicts occupational networking”, da accorciare e coordinare con l'esempio assertiveness/iniziativa della sezione propositiva.</w:t>
      </w:r>
    </w:p>
    <w:p>
      <w:pPr>
        <w:pStyle w:val="CommentText"/>
      </w:pPr>
      <w:r>
        <w:t>Cosa descrivere: E è la componente comune dell'estroversione; A l'assertività; Y l'iniziativa in un compito successivo. Assumere E → A ed E → Y, oltre al possibile effetto A → Y. Il percorso A ← E → Y viene bloccato aggiustando per E se il modello causale è corretto. Aggiungere come limite eventuali precedenti esperienze di coordinamento U, indipendenti da E nell'esempio, con U → A e U → Y: A ← U → Y resta aperto senza gestione di U.</w:t>
      </w:r>
    </w:p>
    <w:p>
      <w:pPr>
        <w:pStyle w:val="CommentText"/>
      </w:pPr>
      <w:r>
        <w:t>Conclusione concordata: U confonde il possibile effetto della facet A, non quello del dominio E nel grafo specificato. La gerarchia può restare corretta; il controllo per E resta appropriato per il percorso che rappresenta, pur essendo insufficiente per ogni possibile confondimento di A. Stimare la specificità S_A non identifica né rimuove automaticamente U. Attribuire tutta l'associazione residua al percorso A/S_A → Y richiede assunzioni ulteriori.</w:t>
      </w:r>
    </w:p>
    <w:p>
      <w:pPr>
        <w:pStyle w:val="CommentText"/>
      </w:pPr>
      <w:r>
        <w:t>Non trasformare l'esempio in una garanzia universale di assenza di confondimento di E in qualunque DAG: qui E non ha cause comuni omesse con Y per costruzione. Non aggiungere questa possibilità ipotetica come se fosse presente nell'esempio.</w:t>
      </w:r>
    </w:p>
  </w:comment>
  <w:comment w:id="36" w:author="Codex" w:initials="CX" w:date="2026-10-26T15:35:15Z">
    <w:p>
      <w:pPr>
        <w:pStyle w:val="CommentText"/>
      </w:pPr>
      <w:r>
        <w:t>[E2; E5; R1.3] Ritarare come negli appunti TF: dominio comune e specificità di facet possono avere relazioni diverse, anche opposte, con uno stesso criterio. Nell'analisi gerarchica stimare separatamente queste componenti; non presentare un effetto totale piccolo come prova a favore della causa generale. Distinguere inoltre gli effetti delle specificità dai possibili effetti indiretti D → facet → outcome, che richiedono un modello causale identificato. Proposta: “Opposing facet-specific associations can coexist with a domain-common association. Their relative contribution must be estimated rather than inferred from the total domain score.”</w:t>
      </w:r>
    </w:p>
  </w:comment>
  <w:comment w:id="37" w:author="Codex" w:initials="CX" w:date="2026-10-27T15:33:40Z">
    <w:p>
      <w:pPr>
        <w:pStyle w:val="CommentText"/>
      </w:pPr>
      <w:r>
        <w:t>[E1; E2; E3; R1.2d; R1.5; R2.0] PROPOSTA CONCRETA DA DESCRIVERE NEL TESTO.</w:t>
      </w:r>
    </w:p>
    <w:p>
      <w:pPr>
        <w:pStyle w:val="CommentText"/>
      </w:pPr>
      <w:r>
        <w:t>Dove: sostituire l'apertura generica della sezione propositiva con i tre paragrafi in inglese contenuti nei commenti successivi.</w:t>
      </w:r>
    </w:p>
    <w:p>
      <w:pPr>
        <w:pStyle w:val="CommentText"/>
      </w:pPr>
      <w:r>
        <w:t>Cosa fare: usare sei facet dello schema NEO, più indicatori per facet, una componente comune e specificità affidabili distinte dall'errore. Per un criterio indipendente di iniziativa in un compito di gruppo, ipotizzare un'associazione con la componente comune e una con la specificità dell'assertività. Motivare a priori questi percorsi e l'esclusione degli altri; confrontare il modello con alternative.</w:t>
      </w:r>
    </w:p>
    <w:p>
      <w:pPr>
        <w:pStyle w:val="CommentText"/>
      </w:pPr>
      <w:r>
        <w:t>Identificazione: nello schema semplice di secondo ordine, con un solo criterio e soli dati di covarianza, non liberare simultaneamente un coefficiente del dominio e tutti quelli delle specificità senza ulteriori vincoli o informazioni. Il codice già preparato è un controllo interno; l'esempio del commentary rimane in prosa e non presenta dati simulati come evidenza sulla personalità.</w:t>
      </w:r>
    </w:p>
    <w:p>
      <w:pPr>
        <w:pStyle w:val="CommentText"/>
      </w:pPr>
      <w:r>
        <w:t>Riferimenti per i nomi delle facet: https://ipip.ori.org/newNEO_FacetsTable.htm . Per la relazione con il criterio seguire le indicazioni e le fonti dei commenti dedicati; non usare il modello come garanzia automatica di relazioni strutturali non distorte.</w:t>
      </w:r>
    </w:p>
  </w:comment>
  <w:comment w:id="38" w:author="Codex" w:initials="CX" w:date="2026-10-27T15:33:40Z">
    <w:p>
      <w:pPr>
        <w:pStyle w:val="CommentText"/>
      </w:pPr>
      <w:r>
        <w:t>[E5; R1.3; R1.5] PRESPECIFICAZIONE, IDENTIFICAZIONE E FALLIMENTO.</w:t>
      </w:r>
    </w:p>
    <w:p>
      <w:pPr>
        <w:pStyle w:val="CommentText"/>
      </w:pPr>
      <w:r>
        <w:t>Dove: al posto di “with post-hoc repairs reserved for cases of misfit”, in coordinamento con il terzo paragrafo dell'esempio.</w:t>
      </w:r>
    </w:p>
    <w:p>
      <w:pPr>
        <w:pStyle w:val="CommentText"/>
      </w:pPr>
      <w:r>
        <w:t>Cosa fare: dichiarare modello, esclusioni, alternative e criteri di revisione prima dell'analisi. Eventuali modifiche esplorative richiedono una nuova giustificazione e verifica indipendente; il modello modificato non conferma quello iniziale. Le relazioni dirette fra facet possono coesistere con cause comuni se specificate e identificabili, non come correttivi illimitati.</w:t>
      </w:r>
    </w:p>
    <w:p>
      <w:pPr>
        <w:pStyle w:val="CommentText"/>
      </w:pPr>
      <w:r>
        <w:t>Separare: fallimento delle restrizioni della gerarchia; scarsa utilità del livello comune per uno specifico criterio; fallimento dell'ipotesi che un particolare intervento agisca solo sul dominio. La sola non significatività non prova un effetto trascurabile. Fit globale, assenza di Heywood cases e convergenza non bastano a identificare la struttura causale.</w:t>
      </w:r>
    </w:p>
    <w:p>
      <w:pPr>
        <w:pStyle w:val="CommentText"/>
      </w:pPr>
      <w:r>
        <w:t>Con sole tre facet il livello sovraordinato può essere just-identified: l'esempio a sei facet evita questo limite specifico, ma richiede comunque assunzioni verificabili e non risolve la non identificazione di un outcome regredito liberamente su dominio e tutte le specificità.</w:t>
      </w:r>
    </w:p>
  </w:comment>
  <w:comment w:id="39" w:author="Codex" w:initials="CX" w:date="2026-10-27T15:33:40Z">
    <w:p>
      <w:pPr>
        <w:pStyle w:val="CommentText"/>
      </w:pPr>
      <w:r>
        <w:t>[E3; R1.2c; R1.6h; R2.0; R2.2] WHOLE TRAIT THEORY: MANTENERE IL PONTE, CIRCOSCRIVERNE IL RUOLO.</w:t>
      </w:r>
    </w:p>
    <w:p>
      <w:pPr>
        <w:pStyle w:val="CommentText"/>
      </w:pPr>
      <w:r>
        <w:t>Dove: abbreviare il paragrafo sulla Whole Trait Theory dopo il nuovo esempio propositivo.</w:t>
      </w:r>
    </w:p>
    <w:p>
      <w:pPr>
        <w:pStyle w:val="CommentText"/>
      </w:pPr>
      <w:r>
        <w:t>Verifica del testo originale: Fleeson e Jayawickreme (2015), https://doi.org/10.1016/j.jrp.2014.10.009 , https://pmc.ncbi.nlm.nih.gov/articles/PMC4472377/ , distinguono distribuzioni degli stati come lato descrittivo e meccanismi social-cognitivi come lato esplicativo, discutendo variabilità entro e fra persone.</w:t>
      </w:r>
    </w:p>
    <w:p>
      <w:pPr>
        <w:pStyle w:val="CommentText"/>
      </w:pPr>
      <w:r>
        <w:t>Cosa fare: presentare la compatibilità fra descrizione multilivello e ricerca sui processi; la teoria non seleziona né conferma il vostro specifico modello riflessivo. Riformulare “latent trait dimensions belong primarily to the descriptive level” affinché non neghi il ruolo delle ipotesi causali formalizzate nel SEM. Non dedurre i processi entro persona dalla sola covarianza fra persone e non affermare che tutte le teorie contemporanee escludano i compositi.</w:t>
      </w:r>
    </w:p>
  </w:comment>
  <w:comment w:id="40" w:author="Codex" w:initials="CX" w:date="2026-10-27T15:33:40Z">
    <w:p>
      <w:pPr>
        <w:pStyle w:val="CommentText"/>
      </w:pPr>
      <w:r>
        <w:t>[E3; E4; R1.2b; R1.2c; R2.2] SINTESI COERENTE CON LA POSIZIONE DEFINITA.</w:t>
      </w:r>
    </w:p>
    <w:p>
      <w:pPr>
        <w:pStyle w:val="CommentText"/>
      </w:pPr>
      <w:r>
        <w:t>Dove: accorpare questo paragrafo alla conclusione.</w:t>
      </w:r>
    </w:p>
    <w:p>
      <w:pPr>
        <w:pStyle w:val="CommentText"/>
      </w:pPr>
      <w:r>
        <w:t>Cosa fare: la gerarchia distingue comune e specifico; la sua lettura come componente di influenze causali condivise è un'ipotesi sostantiva con restrizioni, non una proprietà conferita dal fit. Gli effetti non allineati richiedono una rappresentazione ulteriore o limitano il modello. Il possibile confondimento specifico della facet limita la sufficienza dell'aggiustamento per stimarne l'effetto, senza invalidare il blocco dei percorsi che passano correttamente per il dominio.</w:t>
      </w:r>
    </w:p>
  </w:comment>
  <w:comment w:id="41" w:author="Codex" w:initials="CX" w:date="2026-10-26T15:35:15Z">
    <w:p>
      <w:pPr>
        <w:pStyle w:val="CommentText"/>
      </w:pPr>
      <w:r>
        <w:t>[E1; E2; E3; R1.1; R1.2c; R2.2] Riorganizzare la conclusione intorno al contributo più difendibile: il rigetto del modello riflessivo semplice non elimina la varianza domain-common, e la decomposizione gerarchica consente di studiarla insieme alle specificità e all'errore. Richiamare le condizioni della lettura causale e il carattere empirico dell'utilità del dominio. Ridurre il richiamo all'unidimensionalità a una precisazione secondaria. Riconoscere esplicitamente che la proposta di Grosz comprende ricerca causale su narrow traits multimethod, preservando il dissenso sul ruolo del livello comune.</w:t>
      </w:r>
    </w:p>
  </w:comment>
  <w:comment w:id="42" w:author="Codex" w:initials="CX" w:date="2026-10-26T15:35:15Z">
    <w:p>
      <w:pPr>
        <w:pStyle w:val="CommentText"/>
      </w:pPr>
      <w:r>
        <w:t>[E3; R1.1; R1.6c; R2.2] Eliminare il dilemma conclusivo e “the one position the evidence does not support”. Un composito agnostico è legittimo per lo scopo descrittivo/predittivo dichiarato e common causes, relazioni reciproche e metodo non sono alternative esclusive. Sostituire, se necessario, con una sola frase: “Composite scoring does not settle how domain-common and facet-specific variance should enter substantive models.” Il messaggio TF da preservare è il costo informativo dell'aggregazione per quelle domande, non l'invalidità generale dei compositi.</w:t>
      </w:r>
    </w:p>
  </w:comment>
  <w:comment w:id="43" w:author="Codex" w:initials="CX" w:date="2026-10-27T15:33:40Z">
    <w:p>
      <w:pPr>
        <w:pStyle w:val="CommentText"/>
      </w:pPr>
      <w:r>
        <w:t>[E1; E2; E3; E4; R2.0; R2.2] CHIUSURA DEFINITIVA E RIDUZIONE DEL TESTO.</w:t>
      </w:r>
    </w:p>
    <w:p>
      <w:pPr>
        <w:pStyle w:val="CommentText"/>
      </w:pPr>
      <w:r>
        <w:t>Dove: accorpare gli ultimi tre paragrafi della conclusione.</w:t>
      </w:r>
    </w:p>
    <w:p>
      <w:pPr>
        <w:pStyle w:val="CommentText"/>
      </w:pPr>
      <w:r>
        <w:t>Cosa fare: ribadire che rigettare il modello riflessivo semplice non rende irrilevante la componente comune, che va studiata insieme alle specificità. Il suo significato causale e la sua utilità richiedono ipotesi e verifiche esplicite; non rivendicare una soluzione definitiva. Per l'aggiustamento distinguere il corretto blocco dei percorsi attraverso il dominio dalla possibile insufficienza per l'effetto della facet.</w:t>
      </w:r>
    </w:p>
    <w:p>
      <w:pPr>
        <w:pStyle w:val="CommentText"/>
      </w:pPr>
      <w:r>
        <w:t>Riduzione R2.2: far sostituire al nuovo esempio in prosa gli elenchi, le analogie e i passaggi ripetuti; non aggiungerlo integralmente a tutto il testo esistente. Misurare poi la riduzione del 15–20% sul corpo, escludendo abstract e riferimenti. La presente operazione aggiorna i commenti e non applica ancora la riscrittura del manoscritto.</w:t>
      </w:r>
    </w:p>
  </w:comment>
  <w:comment w:id="44" w:author="Codex" w:initials="CX" w:date="2026-10-26T15:35:15Z">
    <w:p>
      <w:pPr>
        <w:pStyle w:val="CommentText"/>
      </w:pPr>
      <w:r>
        <w:t>[E6] In fase di revisione verificare questa dichiarazione e l'effettiva eleggibilità ai badge Open Science. Per un commentary teorico non dichiarare dati, materiali o badge inesistenti; se vengono prodotti materiali/modelli o codice dell'esempio, indicarne disponibilità e deposito effettivi. Promemoria per la risottomissione: preparare Authors' Response punto per punto con i codici E/R1/R2 e motivare eventuali dissensi; controllare Submission Guidelines, Open Science Policy ed Evaluation Criteria richiamate dall'editor. Queste attività editoriali vanno svolte separatamente: il presente commento non attesta che siano già state completate.</w:t>
      </w:r>
    </w:p>
  </w:comment>
  <w:comment w:id="45" w:author="Codex" w:initials="CX" w:date="2026-10-27T15:33:40Z">
    <w:p>
      <w:pPr>
        <w:pStyle w:val="CommentText"/>
      </w:pPr>
      <w:r>
        <w:t>[E1; E2; E3; E5; R1.1; R1.3; R1.5; R1.6a; R1.6d; R1.6h] ESITO DEL CONTROLLO DELLE FONTI E DELLA BIBLIOGRAFIA.</w:t>
      </w:r>
    </w:p>
    <w:p>
      <w:pPr>
        <w:pStyle w:val="CommentText"/>
      </w:pPr>
      <w:r>
        <w:t>Dove: aggiornare la bibliografia soltanto per le fonti effettivamente utilizzate nella futura riscrittura; qui si annotano correzioni, senza modificare le voci nel corpo.</w:t>
      </w:r>
    </w:p>
    <w:p>
      <w:pPr>
        <w:pStyle w:val="CommentText"/>
      </w:pPr>
      <w:r>
        <w:t>Correzioni certe: VanderWeele (2022), DOI https://doi.org/10.1097/EDE.0000000000001434 (non 1437); Rhemtulla et al. (2020), https://doi.org/10.1037/met0000220 , da leggere con la correzione di ottobre 2026 https://doi.org/10.1037/met0000871 . Olaru et al. è nel volume del 2024, ma pubblicato online il 14 dicembre 2022: https://doi.org/10.1177/08902070221145088 .</w:t>
      </w:r>
    </w:p>
    <w:p>
      <w:pPr>
        <w:pStyle w:val="CommentText"/>
      </w:pPr>
      <w:r>
        <w:t>Probabile identificazione del riferimento E2: Moshagen, M. (2023). When a Truly Positive Correlation Turns Negative: How Different Approaches to Model Hierarchically Structured Constructs Affect Estimated Correlations to Covariates. European Journal of Personality, 37(1), 95–112. https://doi.org/10.1177/08902070211050170 . Online 4 ottobre 2021, autore singolo; non riprodurre “Moshagen et al. (2021)” come voce definitiva.</w:t>
      </w:r>
    </w:p>
    <w:p>
      <w:pPr>
        <w:pStyle w:val="CommentText"/>
      </w:pPr>
      <w:r>
        <w:t>Probabile identificazione del riferimento E1: Ziegler e Bäckström (2016), non 2014, “50 Facets of a Trait – 50 Ways to Mess Up?”, EJPA 32(2), 105–110, https://doi.org/10.1027/1015-5759/a000372 . Estremi confermati dal repository di Lund; l'intenzione dell'editor non è verificabile dalla sola corrispondenza tematica.</w:t>
      </w:r>
    </w:p>
    <w:p>
      <w:pPr>
        <w:pStyle w:val="CommentText"/>
      </w:pPr>
      <w:r>
        <w:t>Altri controlli: Cronbach (1951), https://doi.org/10.1007/BF02310555 , contiene nell'abstract l'avvertenza sui subtest richiamata da E1. Ziegler e Hagemann (2015), EJPA 31, 231–237, DOI https://doi.org/10.1027/1015-5759/a000309 , identificato bibliograficamente; testo integrale non verificato. Per Schneider e McGrew (2018) restano da confrontare titolo e pagine con l'esemplare del capitolo. Queste ambiguità sono distinte dalle fonti chiave già controllate e non vanno mascherate con estremi inventati.</w:t>
      </w:r>
    </w:p>
  </w:comment>
  <w:comment w:id="46" w:author="Codex" w:initials="CX" w:date="2026-10-27T14:12:43Z">
    <w:p>
      <w:pPr>
        <w:pStyle w:val="CommentText"/>
      </w:pPr>
      <w:r>
        <w:t>[E1; E2; E3; E5; R1.2d; R1.5; R2.2] DISCUSSIONE AGGIUNTIVA — proposta nel testo, non un esempio centrato sul codice.</w:t>
      </w:r>
    </w:p>
    <w:p>
      <w:pPr>
        <w:pStyle w:val="CommentText"/>
      </w:pPr>
      <w:r>
        <w:t>Dove: nella sezione “Toward Multilevel Causal-Measurement Models”, sostituire parte del primo paragrafo (da “The constructive alternative...” e relativo elenco di strumenti) con tre brevi paragrafi consecutivi: (1) struttura e assunzioni del modello; (2) criterio esterno e meccanismo candidato; (3) confronti e condizioni di fallimento. I tre commenti successivi, ancorati a quel paragrafo, ne contengono una proposta in inglese.</w:t>
      </w:r>
    </w:p>
    <w:p>
      <w:pPr>
        <w:pStyle w:val="CommentText"/>
      </w:pPr>
      <w:r>
        <w:t>Cosa fare: descrivere un unico esempio di estroversione con sei facet della famiglia NEO, item multipli per facet, componente comune, specificità affidabili ed errore distinti. Non aggiungere codice o risultati simulati al corpo del commentary. L'implementazione R già discussa serve come controllo tecnico interno; non costituisce evidenza empirica sul modello di personalità.</w:t>
      </w:r>
    </w:p>
    <w:p>
      <w:pPr>
        <w:pStyle w:val="CommentText"/>
      </w:pPr>
      <w:r>
        <w:t>Per mantenere il testo breve, questa proposta deve sostituire gli elenchi ripetitivi e parte degli esempi esistenti. Il passaggio sugli interventi va nella sezione causale, come precisato nel commento ancorato a “An intervention rarely changes...”.</w:t>
      </w:r>
    </w:p>
  </w:comment>
  <w:comment w:id="47" w:author="Codex" w:initials="CX" w:date="2026-10-27T15:33:40Z">
    <w:p>
      <w:pPr>
        <w:pStyle w:val="CommentText"/>
      </w:pPr>
      <w:r>
        <w:t>[E1; E2; E3; R1.2a; R1.2b; R1.2c; R1.5] ESEMPIO IN PROSA — PARAGRAFO 1 AGGIORNATO.</w:t>
      </w:r>
    </w:p>
    <w:p>
      <w:pPr>
        <w:pStyle w:val="CommentText"/>
      </w:pPr>
      <w:r>
        <w:t>Dove: all'inizio di “Toward Multilevel Causal-Measurement Models”, sostituendo “The constructive alternative is concrete and already implementable...” e parte dell'elenco seguente.</w:t>
      </w:r>
    </w:p>
    <w:p>
      <w:pPr>
        <w:pStyle w:val="CommentText"/>
      </w:pPr>
      <w:r>
        <w:t>Cosa potremmo scrivere:</w:t>
      </w:r>
    </w:p>
    <w:p>
      <w:pPr>
        <w:pStyle w:val="CommentText"/>
      </w:pPr>
      <w:r>
        <w:t>“Consider extraversion assessed through multiple indicators of six narrower facets: warmth, gregariousness, assertiveness, activity, excitement-seeking, and positive emotions. A hierarchical model would distinguish variance shared across these facets from reliable facet-specific variance and item-level measurement error. We hypothesize that part of the shared variance reflects processes whose effects admit a common higher-order representation. This is a restriction on the pattern of shared influences, not an identification of the underlying processes or a claim that all causes operate through the domain. The initial model would assume that facet-specific components are uncorrelated with the domain and with one another, and that item errors are independent. These restrictions would be tested rather than treated as established facts.”</w:t>
      </w:r>
    </w:p>
    <w:p>
      <w:pPr>
        <w:pStyle w:val="CommentText"/>
      </w:pPr>
      <w:r>
        <w:t>Nota: le sei facet sono dello schema NEO, non del BFI-2. Le influenze non allineate devono essere rappresentate da ulteriori componenti motivate a priori o rendere insufficiente la gerarchia. Le frecce possono formalizzare ipotesi causali, mentre il fit ne esamina solo le implicazioni osservabili. Non includere codice o valori simulati come evidenze sul tratto.</w:t>
      </w:r>
    </w:p>
  </w:comment>
  <w:comment w:id="48" w:author="Codex" w:initials="CX" w:date="2026-10-27T15:33:40Z">
    <w:p>
      <w:pPr>
        <w:pStyle w:val="CommentText"/>
      </w:pPr>
      <w:r>
        <w:t>[E2; E3; R1.2b; R1.2d; R1.5] ESEMPIO IN PROSA — PARAGRAFO 2 E MOTIVAZIONE DELLE ESCLUSIONI.</w:t>
      </w:r>
    </w:p>
    <w:p>
      <w:pPr>
        <w:pStyle w:val="CommentText"/>
      </w:pPr>
      <w:r>
        <w:t>Dove: dopo il paragrafo sulla struttura, nella sezione propositiva.</w:t>
      </w:r>
    </w:p>
    <w:p>
      <w:pPr>
        <w:pStyle w:val="CommentText"/>
      </w:pPr>
      <w:r>
        <w:t>Cosa potremmo scrivere:</w:t>
      </w:r>
    </w:p>
    <w:p>
      <w:pPr>
        <w:pStyle w:val="CommentText"/>
      </w:pPr>
      <w:r>
        <w:t>“Suppose the substantive question concerns initiative during a subsequent group task, assessed independently of the personality questionnaire. This criterion could be associated both with the broad disposition toward social engagement and with the specific tendency to speak up and take the lead. An initial model would therefore estimate associations with domain-common extraversion and assertiveness-specific variance, while constraining the other facet-specific associations to zero. These exclusions are substantive hypotheses to be justified before analysis. The model would be compared with common-only, specific-only, and freely correlated facet representations with unrestricted criterion associations. An independently assessed candidate mechanism, such as reward sensitivity, could also be included to examine shared and additional facet-specific relations.”</w:t>
      </w:r>
    </w:p>
    <w:p>
      <w:pPr>
        <w:pStyle w:val="CommentText"/>
      </w:pPr>
      <w:r>
        <w:t>Nota: assertiveness-specific significa assertività al netto della componente comune, non la facet completa. Il criterio e gli zeri sono illustrativi e possono essere smentiti; non sostenere che le altre specificità siano irrilevanti per definizione. In questo schema di secondo ordine con un solo criterio e soli dati di covarianza, dominio e tutte le specificità non vanno simultaneamente liberati senza altre informazioni o vincoli. La scelta motivata di un percorso specifico evita quel problema, ma non dimostra che la scelta sia vera. Si tratta di associazioni finché il disegno e le assunzioni non giustificano causalità.</w:t>
      </w:r>
    </w:p>
  </w:comment>
  <w:comment w:id="49" w:author="Codex" w:initials="CX" w:date="2026-10-27T15:33:40Z">
    <w:p>
      <w:pPr>
        <w:pStyle w:val="CommentText"/>
      </w:pPr>
      <w:r>
        <w:t>[E5; R1.3; R1.5; R2.2] ESEMPIO IN PROSA — PARAGRAFO 3 CON CRITERI DISTINTI.</w:t>
      </w:r>
    </w:p>
    <w:p>
      <w:pPr>
        <w:pStyle w:val="CommentText"/>
      </w:pPr>
      <w:r>
        <w:t>Dove: dopo il paragrafo sul criterio e prima della Whole Trait Theory; sostituisce l'apertura ai “post-hoc repairs”.</w:t>
      </w:r>
    </w:p>
    <w:p>
      <w:pPr>
        <w:pStyle w:val="CommentText"/>
      </w:pPr>
      <w:r>
        <w:t>Cosa potremmo scrivere:</w:t>
      </w:r>
    </w:p>
    <w:p>
      <w:pPr>
        <w:pStyle w:val="CommentText"/>
      </w:pPr>
      <w:r>
        <w:t>“This proposal imposes restrictions that can fail. Substantial, replicable discrepancies in the relations among facets would motivate reconsidering the specified hierarchy, using a freely correlated facet model as one comparison, rather than preserving it through unrestricted residual adjustments. For the external criterion, the joint model can be compared with models retaining only the common or only the assertiveness-specific association. If the common contribution is negligible relative to a prespecified, substantively justified margin, a narrower representation may be preferable for that question without establishing the domain's general irrelevance. A non-proportional intervention response would instead challenge an exclusively domain-mediated account of that intervention, if proposed, rather than necessarily challenging domain-common variance itself.”</w:t>
      </w:r>
    </w:p>
    <w:p>
      <w:pPr>
        <w:pStyle w:val="CommentText"/>
      </w:pPr>
      <w:r>
        <w:t>Cosa aggiungere o precisare: esaminare discrepanze locali, precisione e replicabilità oltre al fit globale. Non significatività ed equivalenza pratica a zero non coincidono. Cambiamenti esplorativi richiedono nuova giustificazione e verifica indipendente e non confermano la specificazione iniziale. Non scegliere soglie numeriche universali senza motivazione sostantiva.</w:t>
      </w:r>
    </w:p>
  </w:comment>
  <w:comment w:id="50" w:author="Codex" w:initials="CX" w:date="2026-10-27T15:33:40Z">
    <w:p>
      <w:pPr>
        <w:pStyle w:val="CommentText"/>
      </w:pPr>
      <w:r>
        <w:t>[E4; E5; R1.3; R1.6f; R1.m2] RACCORDO CON GLI INTERVENTI E CON LE FONTI VERIFICATE.</w:t>
      </w:r>
    </w:p>
    <w:p>
      <w:pPr>
        <w:pStyle w:val="CommentText"/>
      </w:pPr>
      <w:r>
        <w:t>Dove: sostituire “An intervention rarely changes extraversion as a whole” e le generalizzazioni immediatamente successive nella sezione causale; richiamare poi il punto nell'esempio senza duplicare il testo.</w:t>
      </w:r>
    </w:p>
    <w:p>
      <w:pPr>
        <w:pStyle w:val="CommentText"/>
      </w:pPr>
      <w:r>
        <w:t>Cosa potremmo scrivere:</w:t>
      </w:r>
    </w:p>
    <w:p>
      <w:pPr>
        <w:pStyle w:val="CommentText"/>
      </w:pPr>
      <w:r>
        <w:t>“An intervention acting primarily on assertiveness-specific processes need not change the other facets. Such a result would challenge an exclusively domain-mediated account of that intervention, if proposed, rather than the existence of domain-common variance itself. Interpreting these changes would require appropriate measurement comparability. Under a correctly specified causal model, the domain may nevertheless remain an appropriate adjustment variable for confounding paths through the shared component.”</w:t>
      </w:r>
    </w:p>
    <w:p>
      <w:pPr>
        <w:pStyle w:val="CommentText"/>
      </w:pPr>
      <w:r>
        <w:t>Cosa fare: distinguere cambiamento comune e specifico; la proporzionalità riguarda la parte mediata dal dominio, non ogni antecedente possibile. L'invarianza ai livelli pertinenti va valutata prima di attribuire i cambiamenti alle componenti. Olaru et al. (2024), https://doi.org/10.1177/08902070221145088 , forniscono un caso di eterogeneità e valutazione multilivello dell'invarianza; non una prova decisiva della vostra ontologia. La sufficienza dell'aggiustamento per l'effetto della facet è trattata separatamente nei commenti sui backdoor paths.</w:t>
      </w:r>
    </w:p>
  </w:comment>
  <w:comment w:id="51" w:author="Codex" w:initials="CX" w:date="2026-10-27T15:33:40Z">
    <w:p>
      <w:pPr>
        <w:pStyle w:val="CommentText"/>
      </w:pPr>
      <w:r>
        <w:t>[E2; E3; E4; R1.2c; R1.4; R1.5; R2.2] RACCORDO CAUSALE DEFINITIVO — PRESERVARE IL PUNTO CONCORDATO SU E.</w:t>
      </w:r>
    </w:p>
    <w:p>
      <w:pPr>
        <w:pStyle w:val="CommentText"/>
      </w:pPr>
      <w:r>
        <w:t>Dove: accorciare il paragrafo sull'esempio talkativeness/networking e usare gli stessi simboli e lo stesso criterio dell'esempio assertiveness/iniziativa.</w:t>
      </w:r>
    </w:p>
    <w:p>
      <w:pPr>
        <w:pStyle w:val="CommentText"/>
      </w:pPr>
      <w:r>
        <w:t>Cosa potremmo scrivere:</w:t>
      </w:r>
    </w:p>
    <w:p>
      <w:pPr>
        <w:pStyle w:val="CommentText"/>
      </w:pPr>
      <w:r>
        <w:t>“For the effect of assertiveness A on initiative Y, a correctly represented domain E can block the path A ← E → Y. A facet-specific cause U may also influence A and Y, leaving A ← U → Y open unless it is appropriately addressed. In this example, U does not confound E. Its presence limits the sufficiency of domain-level adjustment for estimating the facet's effect; it does not invalidate the appropriate adjustment for the path through E.”</w:t>
      </w:r>
    </w:p>
    <w:p>
      <w:pPr>
        <w:pStyle w:val="CommentText"/>
      </w:pPr>
      <w:r>
        <w:t>Cosa mantenere: la distinzione fra correttezza della gerarchia di misura e correttezza del modello causale che include l'outcome. Non sostenere che resti necessariamente un bias se tutto il modello causale è corretto e identifica l'effetto. Il fattore non diventa un controllo inappropriato perché esistono anche altre fonti di confondimento. L'assenza di confondimento di E vale per questo DAG specificato, non per qualunque possibile modello del dominio.</w:t>
      </w:r>
    </w:p>
  </w:comment>
  <w:comment w:id="52" w:author="Codex" w:initials="CX" w:date="2026-10-27T15:33:40Z">
    <w:p>
      <w:pPr>
        <w:pStyle w:val="CommentText"/>
      </w:pPr>
      <w:r>
        <w:t>[E5; R1.3; R1.5; R2.2] RINVIO BREVE AI CRITERI CONCRETI.</w:t>
      </w:r>
    </w:p>
    <w:p>
      <w:pPr>
        <w:pStyle w:val="CommentText"/>
      </w:pPr>
      <w:r>
        <w:t>Dove: nella prima sezione teorica, in sostituzione di “Strong deviations should appear as poor fit...” e dell'elenco di possibili correttivi; il dettaglio va nell'esempio propositivo.</w:t>
      </w:r>
    </w:p>
    <w:p>
      <w:pPr>
        <w:pStyle w:val="CommentText"/>
      </w:pPr>
      <w:r>
        <w:t>Cosa potremmo scrivere:</w:t>
      </w:r>
    </w:p>
    <w:p>
      <w:pPr>
        <w:pStyle w:val="CommentText"/>
      </w:pPr>
      <w:r>
        <w:t>“The proposed representation must impose restrictions beyond summarizing the observed covariance. These concern both relations among facets and their associations with external variables. We illustrate below how a specified hierarchy can be compared with alternatives, distinguishing evidence against its structure from limited usefulness for a particular criterion or failure of an exclusively domain-mediated intervention hypothesis. Global fit alone cannot establish the causal structure.”</w:t>
      </w:r>
    </w:p>
    <w:p>
      <w:pPr>
        <w:pStyle w:val="CommentText"/>
      </w:pPr>
      <w:r>
        <w:t>Cosa fare: coordinare il rinvio con i tre paragrafi propositivi, mantenendo comune e specifico come ipotesi controllabili. Evitare la promessa che ogni errore causale emerga dal fit globale. Per R2.2 eliminare le spiegazioni duplicate: il nuovo esempio deve rendere il testo più concreto e più breve.</w:t>
      </w:r>
    </w:p>
  </w:comment>
  <w:comment w:id="53" w:author="Codex" w:initials="CX" w:date="2026-10-27T15:33:40Z">
    <w:p>
      <w:pPr>
        <w:pStyle w:val="CommentText"/>
      </w:pPr>
      <w:r>
        <w:t>[E1; E2; E3; E5; R1.1; R1.3; R1.4; R1.5; R1.6a; R1.6d; R1.6h] TRACCIABILITÀ DELLE VERIFICHE — 27 OTTOBRE 2026.</w:t>
      </w:r>
    </w:p>
    <w:p>
      <w:pPr>
        <w:pStyle w:val="CommentText"/>
      </w:pPr>
      <w:r>
        <w:t>Dove: usare questo controllo per la riscrittura dei passaggi e per la futura Authors' Response; nessuna modifica al testo delle referenze è stata applicata in questa fase.</w:t>
      </w:r>
    </w:p>
    <w:p>
      <w:pPr>
        <w:pStyle w:val="CommentText"/>
      </w:pPr>
      <w:r>
        <w:t>Testi/passaggi controllati direttamente: Briley e Tucker-Drob (2012), Tabella 8 e Discussion; Franić et al. (2014), testo originale sul confronto fra componenti e modelli; Olaru et al. (2024), risultati e invarianza; VanderWeele (2022), argomentazione sui costituenti multivariati; Fleeson e Jayawickreme (2015), descrizione degli stati e meccanismi; Wysocki et al. (2022), controllo giustificato dal DAG; Westfall e Yarkoni (2016), errore e SEM; Bollen e Bauldry (2011), distinzione fra tipi di indicatori.</w:t>
      </w:r>
    </w:p>
    <w:p>
      <w:pPr>
        <w:pStyle w:val="CommentText"/>
      </w:pPr>
      <w:r>
        <w:t>Per Grosz è stato consultato il manoscritto accettato OSF v4 (23 maggio 2026), in particolare Figura 2 pp. 18–19, affidabilità p. 20, Tabella 2 p. 22 e raccomandazioni pp. 23–25: https://osf.io/preprints/psyarxiv/6ukqb_v4 . Per Yarkoni è stato letto il preprint originale pp. 8–9, verificando il passaggio sull'utilità pragmatica dei modelli riflessivi: https://osf.io/preprints/psyarxiv/xj5uq_v1 . La versione e la paginazione vanno dichiarate correttamente se si citano passaggi letterali.</w:t>
      </w:r>
    </w:p>
    <w:p>
      <w:pPr>
        <w:pStyle w:val="CommentText"/>
      </w:pPr>
      <w:r>
        <w:t>Limiti espliciti: per Moshagen sono verificati metadata e abstract editoriale, non l'intero articolo a pagamento; l'identificazione con il riferimento dell'editor è molto plausibile ma inferenziale. Per i riferimenti editoriali incompleti e l'erratum di Franić restano i limiti specificati nel commento bibliografico precedente. Non si attesta un controllo integrale di ogni fonte dell'intera bibliografia: sono state verificate le attribuzioni e le fonti chiave contestate. I commenti locali riportano DOI e conseguenze editoriali.</w:t>
      </w:r>
    </w:p>
  </w:comment>
  <w:comment w:id="54" w:author="Codex" w:initials="CX" w:date="2026-10-27T15:33:40Z">
    <w:p>
      <w:pPr>
        <w:pStyle w:val="CommentText"/>
      </w:pPr>
      <w:r>
        <w:t>[E2; E3; R1.5] MOSHAGEN IDENTIFICATO: PERTINENZA E LIMITE DELLA VERIFICA.</w:t>
      </w:r>
    </w:p>
    <w:p>
      <w:pPr>
        <w:pStyle w:val="CommentText"/>
      </w:pPr>
      <w:r>
        <w:t>Dove: integrare una citazione nel passaggio che motiva la separazione fra componente comune e specificità nelle relazioni con il criterio, dopo il secondo paragrafo dell'esempio.</w:t>
      </w:r>
    </w:p>
    <w:p>
      <w:pPr>
        <w:pStyle w:val="CommentText"/>
      </w:pPr>
      <w:r>
        <w:t>Fonte primaria: https://doi.org/10.1177/08902070211050170 , Moshagen (2023), online 4 ottobre 2021, EJP 37(1), 95–112, autore singolo. È verosimilmente il riferimento indicato come “Moshagen et al. (2021)”, ma tale intenzione non è dimostrata dalla ricerca bibliografica.</w:t>
      </w:r>
    </w:p>
    <w:p>
      <w:pPr>
        <w:pStyle w:val="CommentText"/>
      </w:pPr>
      <w:r>
        <w:t>L'abstract editoriale, verificato, mostra che covarianze omesse fra parti del costrutto e covariata possono distorcere la relazione stimata col fattore generale, anche fino a cambiamenti di segno. Il vantaggio del bifactor riportato vale per le condizioni esaminate, non come superiorità universale.</w:t>
      </w:r>
    </w:p>
    <w:p>
      <w:pPr>
        <w:pStyle w:val="CommentText"/>
      </w:pPr>
      <w:r>
        <w:t>Cosa fare: usare la fonte per motivare la specificazione delle relazioni specifiche col criterio e il confronto fra rappresentazioni. Non citarla soltanto come sostegno generico alle gerarchie e non affermare che il buon fit del solo modello di misura protegga i coefficienti con l'outcome. Il risultato non dimostra che nel nostro DAG U sia un confondente di E: assenza di quel backdoor e correttezza di tutte le restrizioni del modello statistico sono questioni distinte.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21" Target="media/rId21.svg" /><Relationship Type="http://schemas.openxmlformats.org/officeDocument/2006/relationships/hyperlink" Id="rId55" Target="https://doi.org/10.1002/per.1879" TargetMode="External" /><Relationship Type="http://schemas.openxmlformats.org/officeDocument/2006/relationships/hyperlink" Id="rId52" Target="https://doi.org/10.1007/s10519-012-9548-8" TargetMode="External" /><Relationship Type="http://schemas.openxmlformats.org/officeDocument/2006/relationships/hyperlink" Id="rId63" Target="https://doi.org/10.1007/s10519-013-9625-7" TargetMode="External" /><Relationship Type="http://schemas.openxmlformats.org/officeDocument/2006/relationships/hyperlink" Id="rId61" Target="https://doi.org/10.1016/j.jrp.2014.10.009" TargetMode="External" /><Relationship Type="http://schemas.openxmlformats.org/officeDocument/2006/relationships/hyperlink" Id="rId57" Target="https://doi.org/10.1037/0022-3514.93.5.880" TargetMode="External" /><Relationship Type="http://schemas.openxmlformats.org/officeDocument/2006/relationships/hyperlink" Id="rId48" Target="https://doi.org/10.1037/0033-295X.110.2.203" TargetMode="External" /><Relationship Type="http://schemas.openxmlformats.org/officeDocument/2006/relationships/hyperlink" Id="rId50" Target="https://doi.org/10.1037/0033-295X.111.4.1061" TargetMode="External" /><Relationship Type="http://schemas.openxmlformats.org/officeDocument/2006/relationships/hyperlink" Id="rId88" Target="https://doi.org/10.1037/0033-295X.113.4.842" TargetMode="External" /><Relationship Type="http://schemas.openxmlformats.org/officeDocument/2006/relationships/hyperlink" Id="rId46" Target="https://doi.org/10.1037/a0024448" TargetMode="External" /><Relationship Type="http://schemas.openxmlformats.org/officeDocument/2006/relationships/hyperlink" Id="rId94" Target="https://doi.org/10.1037/a0038423" TargetMode="External" /><Relationship Type="http://schemas.openxmlformats.org/officeDocument/2006/relationships/hyperlink" Id="rId80" Target="https://doi.org/10.1037/met0000220" TargetMode="External" /><Relationship Type="http://schemas.openxmlformats.org/officeDocument/2006/relationships/hyperlink" Id="rId84" Target="https://doi.org/10.1037/pspp0000096" TargetMode="External" /><Relationship Type="http://schemas.openxmlformats.org/officeDocument/2006/relationships/hyperlink" Id="rId75" Target="https://doi.org/10.1037/pspp0000202" TargetMode="External" /><Relationship Type="http://schemas.openxmlformats.org/officeDocument/2006/relationships/hyperlink" Id="rId44" Target="https://doi.org/10.1037/pspp0000395" TargetMode="External" /><Relationship Type="http://schemas.openxmlformats.org/officeDocument/2006/relationships/hyperlink" Id="rId65" Target="https://doi.org/10.1037/rev0000637" TargetMode="External" /><Relationship Type="http://schemas.openxmlformats.org/officeDocument/2006/relationships/hyperlink" Id="rId77" Target="https://doi.org/10.1038/mp.2014.105" TargetMode="External" /><Relationship Type="http://schemas.openxmlformats.org/officeDocument/2006/relationships/hyperlink" Id="rId82" Target="https://doi.org/10.1038/s41588-018-0152-6" TargetMode="External" /><Relationship Type="http://schemas.openxmlformats.org/officeDocument/2006/relationships/hyperlink" Id="rId67" Target="https://doi.org/10.1038/s44159-024-00295-z" TargetMode="External" /><Relationship Type="http://schemas.openxmlformats.org/officeDocument/2006/relationships/hyperlink" Id="rId59" Target="https://doi.org/10.1080/09515089.2023.2300693" TargetMode="External" /><Relationship Type="http://schemas.openxmlformats.org/officeDocument/2006/relationships/hyperlink" Id="rId98" Target="https://doi.org/10.1080/1047840X.2020.1853478" TargetMode="External" /><Relationship Type="http://schemas.openxmlformats.org/officeDocument/2006/relationships/hyperlink" Id="rId90" Target="https://doi.org/10.1097/EDE.0000000000001434" TargetMode="External" /><Relationship Type="http://schemas.openxmlformats.org/officeDocument/2006/relationships/hyperlink" Id="rId71" Target="https://doi.org/10.1111/j.1467-6494.1992.tb00970.x" TargetMode="External" /><Relationship Type="http://schemas.openxmlformats.org/officeDocument/2006/relationships/hyperlink" Id="rId73" Target="https://doi.org/10.1177/1745691616635612" TargetMode="External" /><Relationship Type="http://schemas.openxmlformats.org/officeDocument/2006/relationships/hyperlink" Id="rId96" Target="https://doi.org/10.1177/25152459221095823" TargetMode="External" /><Relationship Type="http://schemas.openxmlformats.org/officeDocument/2006/relationships/hyperlink" Id="rId92" Target="https://doi.org/10.1371/journal.pone.0152719" TargetMode="External" /><Relationship Type="http://schemas.openxmlformats.org/officeDocument/2006/relationships/hyperlink" Id="rId69" Target="https://doi.org/10.1525/collabra.133683" TargetMode="External" /><Relationship Type="http://schemas.openxmlformats.org/officeDocument/2006/relationships/hyperlink" Id="rId86" Target="https://doi.org/10.2307/1412107" TargetMode="External" /><Relationship Type="http://schemas.openxmlformats.org/officeDocument/2006/relationships/hyperlink" Id="rId25" Target="https://orcid.org/0000-0002-8920-5330" TargetMode="External" /><Relationship Type="http://schemas.openxmlformats.org/officeDocument/2006/relationships/hyperlink" Id="rId29" Target="https://orcid.org/0009-0001-4661-8063" TargetMode="External" /><Relationship Type="http://schemas.openxmlformats.org/officeDocument/2006/relationships/hyperlink" Id="rId30" Target="mailto:tommaso.feraco@unipd.it" TargetMode="External" /></Relationships>
</file>

<file path=word/_rels/footnotes.xml.rels><?xml version="1.0" encoding="UTF-8"?><Relationships xmlns="http://schemas.openxmlformats.org/package/2006/relationships"><Relationship Type="http://schemas.openxmlformats.org/officeDocument/2006/relationships/hyperlink" Id="rId55" Target="https://doi.org/10.1002/per.1879" TargetMode="External" /><Relationship Type="http://schemas.openxmlformats.org/officeDocument/2006/relationships/hyperlink" Id="rId52" Target="https://doi.org/10.1007/s10519-012-9548-8" TargetMode="External" /><Relationship Type="http://schemas.openxmlformats.org/officeDocument/2006/relationships/hyperlink" Id="rId63" Target="https://doi.org/10.1007/s10519-013-9625-7" TargetMode="External" /><Relationship Type="http://schemas.openxmlformats.org/officeDocument/2006/relationships/hyperlink" Id="rId61" Target="https://doi.org/10.1016/j.jrp.2014.10.009" TargetMode="External" /><Relationship Type="http://schemas.openxmlformats.org/officeDocument/2006/relationships/hyperlink" Id="rId57" Target="https://doi.org/10.1037/0022-3514.93.5.880" TargetMode="External" /><Relationship Type="http://schemas.openxmlformats.org/officeDocument/2006/relationships/hyperlink" Id="rId48" Target="https://doi.org/10.1037/0033-295X.110.2.203" TargetMode="External" /><Relationship Type="http://schemas.openxmlformats.org/officeDocument/2006/relationships/hyperlink" Id="rId50" Target="https://doi.org/10.1037/0033-295X.111.4.1061" TargetMode="External" /><Relationship Type="http://schemas.openxmlformats.org/officeDocument/2006/relationships/hyperlink" Id="rId88" Target="https://doi.org/10.1037/0033-295X.113.4.842" TargetMode="External" /><Relationship Type="http://schemas.openxmlformats.org/officeDocument/2006/relationships/hyperlink" Id="rId46" Target="https://doi.org/10.1037/a0024448" TargetMode="External" /><Relationship Type="http://schemas.openxmlformats.org/officeDocument/2006/relationships/hyperlink" Id="rId94" Target="https://doi.org/10.1037/a0038423" TargetMode="External" /><Relationship Type="http://schemas.openxmlformats.org/officeDocument/2006/relationships/hyperlink" Id="rId80" Target="https://doi.org/10.1037/met0000220" TargetMode="External" /><Relationship Type="http://schemas.openxmlformats.org/officeDocument/2006/relationships/hyperlink" Id="rId84" Target="https://doi.org/10.1037/pspp0000096" TargetMode="External" /><Relationship Type="http://schemas.openxmlformats.org/officeDocument/2006/relationships/hyperlink" Id="rId75" Target="https://doi.org/10.1037/pspp0000202" TargetMode="External" /><Relationship Type="http://schemas.openxmlformats.org/officeDocument/2006/relationships/hyperlink" Id="rId44" Target="https://doi.org/10.1037/pspp0000395" TargetMode="External" /><Relationship Type="http://schemas.openxmlformats.org/officeDocument/2006/relationships/hyperlink" Id="rId65" Target="https://doi.org/10.1037/rev0000637" TargetMode="External" /><Relationship Type="http://schemas.openxmlformats.org/officeDocument/2006/relationships/hyperlink" Id="rId77" Target="https://doi.org/10.1038/mp.2014.105" TargetMode="External" /><Relationship Type="http://schemas.openxmlformats.org/officeDocument/2006/relationships/hyperlink" Id="rId82" Target="https://doi.org/10.1038/s41588-018-0152-6" TargetMode="External" /><Relationship Type="http://schemas.openxmlformats.org/officeDocument/2006/relationships/hyperlink" Id="rId67" Target="https://doi.org/10.1038/s44159-024-00295-z" TargetMode="External" /><Relationship Type="http://schemas.openxmlformats.org/officeDocument/2006/relationships/hyperlink" Id="rId59" Target="https://doi.org/10.1080/09515089.2023.2300693" TargetMode="External" /><Relationship Type="http://schemas.openxmlformats.org/officeDocument/2006/relationships/hyperlink" Id="rId98" Target="https://doi.org/10.1080/1047840X.2020.1853478" TargetMode="External" /><Relationship Type="http://schemas.openxmlformats.org/officeDocument/2006/relationships/hyperlink" Id="rId90" Target="https://doi.org/10.1097/EDE.0000000000001434" TargetMode="External" /><Relationship Type="http://schemas.openxmlformats.org/officeDocument/2006/relationships/hyperlink" Id="rId71" Target="https://doi.org/10.1111/j.1467-6494.1992.tb00970.x" TargetMode="External" /><Relationship Type="http://schemas.openxmlformats.org/officeDocument/2006/relationships/hyperlink" Id="rId73" Target="https://doi.org/10.1177/1745691616635612" TargetMode="External" /><Relationship Type="http://schemas.openxmlformats.org/officeDocument/2006/relationships/hyperlink" Id="rId96" Target="https://doi.org/10.1177/25152459221095823" TargetMode="External" /><Relationship Type="http://schemas.openxmlformats.org/officeDocument/2006/relationships/hyperlink" Id="rId92" Target="https://doi.org/10.1371/journal.pone.0152719" TargetMode="External" /><Relationship Type="http://schemas.openxmlformats.org/officeDocument/2006/relationships/hyperlink" Id="rId69" Target="https://doi.org/10.1525/collabra.133683" TargetMode="External" /><Relationship Type="http://schemas.openxmlformats.org/officeDocument/2006/relationships/hyperlink" Id="rId86" Target="https://doi.org/10.2307/1412107" TargetMode="External" /><Relationship Type="http://schemas.openxmlformats.org/officeDocument/2006/relationships/hyperlink" Id="rId25" Target="https://orcid.org/0000-0002-8920-5330" TargetMode="External" /><Relationship Type="http://schemas.openxmlformats.org/officeDocument/2006/relationships/hyperlink" Id="rId29" Target="https://orcid.org/0009-0001-4661-8063" TargetMode="External" /><Relationship Type="http://schemas.openxmlformats.org/officeDocument/2006/relationships/hyperlink" Id="rId30" Target="mailto:tommaso.feraco@unipd.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THE BIG FIVE ARE NOT SIMPLE COMPOSITE SCORES: CAUSAL COMPLEXITY AND MULTILEVEL TRAIT STRUCTURE</dc:description>
  <cp:keywords>latent variables; composite scores; network analysis; Big Five; personality</cp:keywords>
  <dcterms:created xsi:type="dcterms:W3CDTF">2026-08-03T14:22:49Z</dcterms:created>
  <dcterms:modified xsi:type="dcterms:W3CDTF">2026-08-03T14:22:49Z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bstract">
    <vt:lpwstr>Grosz (2026) argues that the Big Five should be understood as composite-formative constructs rather than latent common causes of their indicators. We agree that broad personality domains are unlikely to be single biological, environmental, or psychological entities that directly generate all item responses. Yet this critique of simple reflective models does not establish that the Big Five are merely composites. Statistical unidimensionality does not require mechanistic singularity. Broad dimensions emerge from numerous partly shared biological, environmental, cognitive, motivational, social, and behavioral influences. Indeed, multiplicity of causes is the reason why continuous, approximately Gaussian traits are plausible. Hierarchical latent models can represent this distributed structure while retaining substantive variance at the facet, nuance, item, method, and residual levels. Local dependence and semantic overlap only challenge overly simplistic measurement models. Most importantly, the covariance among personality indicators remains to be explained. Composite scores preserve useful summaries, but they do not explain why the summarized indicators hang together. Treating compositing as a solution risks an operationalist retreat from understanding personality structure. We propose a multilevel causal-measurement framework in which broad domains capture approximate higher-order regularities, narrower tendencies retain their specificity, and the processes generating their covariance become explicit objects of inquiry.</vt:lpwstr>
  </property>
  <property fmtid="{D5CDD505-2E9C-101B-9397-08002B2CF9AE}" pid="5" name="apaauthor">
    <vt:lpwstr/>
  </property>
  <property fmtid="{D5CDD505-2E9C-101B-9397-08002B2CF9AE}" pid="6" name="apasubtitle">
    <vt:lpwstr>A Commentary on Grosz (2026)</vt:lpwstr>
  </property>
  <property fmtid="{D5CDD505-2E9C-101B-9397-08002B2CF9AE}" pid="7" name="apatitle">
    <vt:lpwstr>THE BIG FIVE ARE NOT SIMPLE COMPOSITE SCORES: CAUSAL COMPLEXITY AND MULTILEVEL TRAIT STRUCTURE</vt:lpwstr>
  </property>
  <property fmtid="{D5CDD505-2E9C-101B-9397-08002B2CF9AE}" pid="8" name="apatitledisplay">
    <vt:lpwstr>The Big Five Are Not Simple Composite Scores: Causal Complexity and Multilevel Trait Structure: A Commentary on Grosz (2026)</vt:lpwstr>
  </property>
  <property fmtid="{D5CDD505-2E9C-101B-9397-08002B2CF9AE}" pid="9" name="author-note">
    <vt:lpwstr/>
  </property>
  <property fmtid="{D5CDD505-2E9C-101B-9397-08002B2CF9AE}" pid="10" name="authors">
    <vt:lpwstr/>
  </property>
  <property fmtid="{D5CDD505-2E9C-101B-9397-08002B2CF9AE}" pid="11" name="biblio-config">
    <vt:lpwstr>True</vt:lpwstr>
  </property>
  <property fmtid="{D5CDD505-2E9C-101B-9397-08002B2CF9AE}" pid="12" name="by-affiliation">
    <vt:lpwstr/>
  </property>
  <property fmtid="{D5CDD505-2E9C-101B-9397-08002B2CF9AE}" pid="13" name="by-author">
    <vt:lpwstr/>
  </property>
  <property fmtid="{D5CDD505-2E9C-101B-9397-08002B2CF9AE}" pid="14" name="cap-location">
    <vt:lpwstr>top</vt:lpwstr>
  </property>
  <property fmtid="{D5CDD505-2E9C-101B-9397-08002B2CF9AE}" pid="15" name="crossref">
    <vt:lpwstr/>
  </property>
  <property fmtid="{D5CDD505-2E9C-101B-9397-08002B2CF9AE}" pid="16" name="csl">
    <vt:lpwstr>_extensions/wjschne/apaquarto/apa.csl</vt:lpwstr>
  </property>
  <property fmtid="{D5CDD505-2E9C-101B-9397-08002B2CF9AE}" pid="17" name="documentmode">
    <vt:lpwstr>man</vt:lpwstr>
  </property>
  <property fmtid="{D5CDD505-2E9C-101B-9397-08002B2CF9AE}" pid="18" name="fig-cap-location">
    <vt:lpwstr>top</vt:lpwstr>
  </property>
  <property fmtid="{D5CDD505-2E9C-101B-9397-08002B2CF9AE}" pid="19" name="header-includes">
    <vt:lpwstr/>
  </property>
  <property fmtid="{D5CDD505-2E9C-101B-9397-08002B2CF9AE}" pid="20" name="include-after">
    <vt:lpwstr/>
  </property>
  <property fmtid="{D5CDD505-2E9C-101B-9397-08002B2CF9AE}" pid="21" name="include-before">
    <vt:lpwstr/>
  </property>
  <property fmtid="{D5CDD505-2E9C-101B-9397-08002B2CF9AE}" pid="22" name="knitr">
    <vt:lpwstr/>
  </property>
  <property fmtid="{D5CDD505-2E9C-101B-9397-08002B2CF9AE}" pid="23" name="labels">
    <vt:lpwstr/>
  </property>
  <property fmtid="{D5CDD505-2E9C-101B-9397-08002B2CF9AE}" pid="24" name="language">
    <vt:lpwstr/>
  </property>
  <property fmtid="{D5CDD505-2E9C-101B-9397-08002B2CF9AE}" pid="25" name="link-citations">
    <vt:lpwstr>True</vt:lpwstr>
  </property>
  <property fmtid="{D5CDD505-2E9C-101B-9397-08002B2CF9AE}" pid="26" name="no-ampersand-parenthetical">
    <vt:lpwstr>False</vt:lpwstr>
  </property>
  <property fmtid="{D5CDD505-2E9C-101B-9397-08002B2CF9AE}" pid="27" name="oneaffiliation">
    <vt:lpwstr>True</vt:lpwstr>
  </property>
  <property fmtid="{D5CDD505-2E9C-101B-9397-08002B2CF9AE}" pid="28" name="oneauthor">
    <vt:lpwstr>False</vt:lpwstr>
  </property>
  <property fmtid="{D5CDD505-2E9C-101B-9397-08002B2CF9AE}" pid="29" name="references">
    <vt:lpwstr/>
  </property>
  <property fmtid="{D5CDD505-2E9C-101B-9397-08002B2CF9AE}" pid="30" name="revealjs-plugins">
    <vt:lpwstr/>
  </property>
  <property fmtid="{D5CDD505-2E9C-101B-9397-08002B2CF9AE}" pid="31" name="suppress-abstract">
    <vt:lpwstr>False</vt:lpwstr>
  </property>
  <property fmtid="{D5CDD505-2E9C-101B-9397-08002B2CF9AE}" pid="32" name="suppress-affiliation">
    <vt:lpwstr>False</vt:lpwstr>
  </property>
  <property fmtid="{D5CDD505-2E9C-101B-9397-08002B2CF9AE}" pid="33" name="suppress-author">
    <vt:lpwstr>False</vt:lpwstr>
  </property>
  <property fmtid="{D5CDD505-2E9C-101B-9397-08002B2CF9AE}" pid="34" name="suppress-author-note">
    <vt:lpwstr>False</vt:lpwstr>
  </property>
  <property fmtid="{D5CDD505-2E9C-101B-9397-08002B2CF9AE}" pid="35" name="suppress-corresponding-address">
    <vt:lpwstr>False</vt:lpwstr>
  </property>
  <property fmtid="{D5CDD505-2E9C-101B-9397-08002B2CF9AE}" pid="36" name="suppress-corresponding-affiliation-name">
    <vt:lpwstr>False</vt:lpwstr>
  </property>
  <property fmtid="{D5CDD505-2E9C-101B-9397-08002B2CF9AE}" pid="37" name="suppress-corresponding-city">
    <vt:lpwstr>False</vt:lpwstr>
  </property>
  <property fmtid="{D5CDD505-2E9C-101B-9397-08002B2CF9AE}" pid="38" name="suppress-corresponding-department">
    <vt:lpwstr>False</vt:lpwstr>
  </property>
  <property fmtid="{D5CDD505-2E9C-101B-9397-08002B2CF9AE}" pid="39" name="suppress-corresponding-email">
    <vt:lpwstr>False</vt:lpwstr>
  </property>
  <property fmtid="{D5CDD505-2E9C-101B-9397-08002B2CF9AE}" pid="40" name="suppress-corresponding-group">
    <vt:lpwstr>False</vt:lpwstr>
  </property>
  <property fmtid="{D5CDD505-2E9C-101B-9397-08002B2CF9AE}" pid="41" name="suppress-corresponding-paragraph">
    <vt:lpwstr>False</vt:lpwstr>
  </property>
  <property fmtid="{D5CDD505-2E9C-101B-9397-08002B2CF9AE}" pid="42" name="suppress-corresponding-postal-code">
    <vt:lpwstr>False</vt:lpwstr>
  </property>
  <property fmtid="{D5CDD505-2E9C-101B-9397-08002B2CF9AE}" pid="43" name="suppress-corresponding-region">
    <vt:lpwstr>False</vt:lpwstr>
  </property>
  <property fmtid="{D5CDD505-2E9C-101B-9397-08002B2CF9AE}" pid="44" name="suppress-credit-statement">
    <vt:lpwstr>False</vt:lpwstr>
  </property>
  <property fmtid="{D5CDD505-2E9C-101B-9397-08002B2CF9AE}" pid="45" name="suppress-disclosures-paragraph">
    <vt:lpwstr>False</vt:lpwstr>
  </property>
  <property fmtid="{D5CDD505-2E9C-101B-9397-08002B2CF9AE}" pid="46" name="suppress-impact-statement">
    <vt:lpwstr>False</vt:lpwstr>
  </property>
  <property fmtid="{D5CDD505-2E9C-101B-9397-08002B2CF9AE}" pid="47" name="suppress-keywords">
    <vt:lpwstr>False</vt:lpwstr>
  </property>
  <property fmtid="{D5CDD505-2E9C-101B-9397-08002B2CF9AE}" pid="48" name="suppress-orcid">
    <vt:lpwstr>False</vt:lpwstr>
  </property>
  <property fmtid="{D5CDD505-2E9C-101B-9397-08002B2CF9AE}" pid="49" name="suppress-short-title">
    <vt:lpwstr>False</vt:lpwstr>
  </property>
  <property fmtid="{D5CDD505-2E9C-101B-9397-08002B2CF9AE}" pid="50" name="suppress-status-change-paragraph">
    <vt:lpwstr>False</vt:lpwstr>
  </property>
  <property fmtid="{D5CDD505-2E9C-101B-9397-08002B2CF9AE}" pid="51" name="suppress-title">
    <vt:lpwstr>False</vt:lpwstr>
  </property>
  <property fmtid="{D5CDD505-2E9C-101B-9397-08002B2CF9AE}" pid="52" name="suppress-title-introduction">
    <vt:lpwstr>False</vt:lpwstr>
  </property>
  <property fmtid="{D5CDD505-2E9C-101B-9397-08002B2CF9AE}" pid="53" name="suppress-title-page">
    <vt:lpwstr>False</vt:lpwstr>
  </property>
  <property fmtid="{D5CDD505-2E9C-101B-9397-08002B2CF9AE}" pid="54" name="suppress-title-page-number">
    <vt:lpwstr>False</vt:lpwstr>
  </property>
  <property fmtid="{D5CDD505-2E9C-101B-9397-08002B2CF9AE}" pid="55" name="tbl-cap-location">
    <vt:lpwstr>top</vt:lpwstr>
  </property>
  <property fmtid="{D5CDD505-2E9C-101B-9397-08002B2CF9AE}" pid="56" name="toc-title">
    <vt:lpwstr>Table of contents</vt:lpwstr>
  </property>
  <property fmtid="{D5CDD505-2E9C-101B-9397-08002B2CF9AE}" pid="57" name="wordn">
    <vt:lpwstr>5479</vt:lpwstr>
  </property>
  <property fmtid="{D5CDD505-2E9C-101B-9397-08002B2CF9AE}" pid="58" name="zerocitations">
    <vt:lpwstr>False</vt:lpwstr>
  </property>
</Properties>
</file>