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B4936" w:sz="8" w:space="8"/>
        </w:pBdr>
        <w:spacing w:after="80" w:before="0"/>
      </w:pPr>
      <w:r>
        <w:rPr>
          <w:b/>
          <w:bCs/>
          <w:color w:val="2E302C"/>
          <w:sz w:val="46"/>
          <w:szCs w:val="46"/>
        </w:rPr>
        <w:t xml:space="preserve">LASTRO — Plataforma Comunitária de Demandas do Condomínio Alto Icaraí</w:t>
      </w:r>
    </w:p>
    <w:p>
      <w:pPr>
        <w:pStyle w:val="Heading1"/>
      </w:pPr>
      <w:r>
        <w:t xml:space="preserve">Política de Notificações e Comunicação</w:t>
      </w:r>
    </w:p>
    <w:p>
      <w:pPr>
        <w:spacing w:after="120" w:line="264"/>
      </w:pPr>
      <w:r>
        <w:t xml:space="preserve">Versão 1.0 • 09 de agosto de 2026 • Documento de governança e uso da plataforma</w:t>
      </w:r>
    </w:p>
    <w:p>
      <w:pPr>
        <w:pStyle w:val="Heading2"/>
      </w:pPr>
      <w:r>
        <w:t xml:space="preserve">Finalidade do conjunto documental</w:t>
      </w:r>
    </w:p>
    <w:p>
      <w:pPr>
        <w:spacing w:after="120" w:line="264"/>
      </w:pPr>
      <w:r>
        <w:t xml:space="preserve">Este documento integra o conjunto obrigatório de políticas da plataforma. A versão vigente deverá permanecer acessível online e o aceite eletrônico versionado será condição para ativação e continuidade do acesso às áreas privadas.</w:t>
      </w:r>
    </w:p>
    <w:p>
      <w:pPr>
        <w:pStyle w:val="Heading2"/>
      </w:pPr>
      <w:r>
        <w:t xml:space="preserve">1. Objetivo</w:t>
      </w:r>
    </w:p>
    <w:p>
      <w:pPr>
        <w:spacing w:after="120" w:line="264"/>
      </w:pPr>
      <w:r>
        <w:t xml:space="preserve">Esta Política define como a Plataforma Comunitária de Demandas do Condomínio Alto Icaraí comunica eventos aos usuários, registra retornos recebidos fora da aplicação e diferencia manifestações oficiais de informações inseridas pelos próprios moradores. O objetivo é garantir clareza, rastreabilidade e comunicação proporcional, evitando que a plataforma se torne fonte de spam ou substitua indevidamente canais oficiais e de emergência.</w:t>
      </w:r>
    </w:p>
    <w:p>
      <w:pPr>
        <w:pStyle w:val="Heading2"/>
      </w:pPr>
      <w:r>
        <w:t xml:space="preserve">2. Abrangência</w:t>
      </w:r>
    </w:p>
    <w:p>
      <w:pPr>
        <w:spacing w:after="120" w:line="264"/>
      </w:pPr>
      <w:r>
        <w:t xml:space="preserve">Aplica-se a moradores, proprietários não residentes, representantes autorizados, administradores da plataforma, moderadores e eventuais representantes verificados do síndico, conselho, administradora ou prestadores que utilizem a aplicação.</w:t>
      </w:r>
    </w:p>
    <w:p>
      <w:pPr>
        <w:pStyle w:val="Heading2"/>
      </w:pPr>
      <w:r>
        <w:t xml:space="preserve">3. Canais de comunicação da plataforma</w:t>
      </w:r>
    </w:p>
    <w:p>
      <w:pPr>
        <w:pStyle w:val="ListParagraph"/>
        <w:numPr>
          <w:ilvl w:val="0"/>
          <w:numId w:val="2"/>
        </w:numPr>
      </w:pPr>
      <w:r>
        <w:t xml:space="preserve">Notificações internas na aplicação, incluindo central de notificações e alertas contextuais.</w:t>
      </w:r>
    </w:p>
    <w:p>
      <w:pPr>
        <w:pStyle w:val="ListParagraph"/>
        <w:numPr>
          <w:ilvl w:val="0"/>
          <w:numId w:val="2"/>
        </w:numPr>
      </w:pPr>
      <w:r>
        <w:t xml:space="preserve">E-mail transacional para eventos relevantes da conta, da demanda, da segurança, do aceite jurídico e da moderação.</w:t>
      </w:r>
    </w:p>
    <w:p>
      <w:pPr>
        <w:pStyle w:val="ListParagraph"/>
        <w:numPr>
          <w:ilvl w:val="0"/>
          <w:numId w:val="2"/>
        </w:numPr>
      </w:pPr>
      <w:r>
        <w:t xml:space="preserve">E-mail opcional de acompanhamento, resumos e avisos sobre bloco, categoria ou problema seguido pelo usuário.</w:t>
      </w:r>
    </w:p>
    <w:p>
      <w:pPr>
        <w:pStyle w:val="ListParagraph"/>
        <w:numPr>
          <w:ilvl w:val="0"/>
          <w:numId w:val="2"/>
        </w:numPr>
      </w:pPr>
      <w:r>
        <w:t xml:space="preserve">Integrações futuras, como WhatsApp, somente mediante implementação formal e regras próprias de consentimento e preferência.</w:t>
      </w:r>
    </w:p>
    <w:p>
      <w:pPr>
        <w:pStyle w:val="Heading2"/>
      </w:pPr>
      <w:r>
        <w:t xml:space="preserve">4. Notificações obrigatórias e opcionais</w:t>
      </w:r>
    </w:p>
    <w:p>
      <w:pPr>
        <w:pStyle w:val="Heading3"/>
      </w:pPr>
      <w:r>
        <w:t xml:space="preserve">4.1 Notificações essenciais</w:t>
      </w:r>
    </w:p>
    <w:p>
      <w:pPr>
        <w:spacing w:after="120" w:line="264"/>
      </w:pPr>
      <w:r>
        <w:t xml:space="preserve">Podem ser enviadas independentemente das preferências de comunicação, na medida em que sejam necessárias para segurança, integridade da conta ou funcionamento essencial da plataforma:</w:t>
      </w:r>
    </w:p>
    <w:p>
      <w:pPr>
        <w:pStyle w:val="ListParagraph"/>
        <w:numPr>
          <w:ilvl w:val="0"/>
          <w:numId w:val="2"/>
        </w:numPr>
      </w:pPr>
      <w:r>
        <w:t xml:space="preserve">confirmação de autenticação, alteração de segurança ou evento relevante de conta;</w:t>
      </w:r>
    </w:p>
    <w:p>
      <w:pPr>
        <w:pStyle w:val="ListParagraph"/>
        <w:numPr>
          <w:ilvl w:val="0"/>
          <w:numId w:val="2"/>
        </w:numPr>
      </w:pPr>
      <w:r>
        <w:t xml:space="preserve">aprovação, solicitação de complemento, rejeição ou revisão do vínculo de morador;</w:t>
      </w:r>
    </w:p>
    <w:p>
      <w:pPr>
        <w:pStyle w:val="ListParagraph"/>
        <w:numPr>
          <w:ilvl w:val="0"/>
          <w:numId w:val="2"/>
        </w:numPr>
      </w:pPr>
      <w:r>
        <w:t xml:space="preserve">aplicação de medida de moderação sobre conteúdo do próprio usuário;</w:t>
      </w:r>
    </w:p>
    <w:p>
      <w:pPr>
        <w:pStyle w:val="ListParagraph"/>
        <w:numPr>
          <w:ilvl w:val="0"/>
          <w:numId w:val="2"/>
        </w:numPr>
      </w:pPr>
      <w:r>
        <w:t xml:space="preserve">alteração material das políticas obrigatórias e necessidade de novo aceite;</w:t>
      </w:r>
    </w:p>
    <w:p>
      <w:pPr>
        <w:pStyle w:val="ListParagraph"/>
        <w:numPr>
          <w:ilvl w:val="0"/>
          <w:numId w:val="2"/>
        </w:numPr>
      </w:pPr>
      <w:r>
        <w:t xml:space="preserve">incidentes de segurança ou privacidade que exijam comunicação ao titular;</w:t>
      </w:r>
    </w:p>
    <w:p>
      <w:pPr>
        <w:pStyle w:val="ListParagraph"/>
        <w:numPr>
          <w:ilvl w:val="0"/>
          <w:numId w:val="2"/>
        </w:numPr>
      </w:pPr>
      <w:r>
        <w:t xml:space="preserve">comunicações indispensáveis ao exercício de direitos do usuário na plataforma.</w:t>
      </w:r>
    </w:p>
    <w:p>
      <w:pPr>
        <w:pStyle w:val="Heading3"/>
      </w:pPr>
      <w:r>
        <w:t xml:space="preserve">4.2 Notificações configuráveis</w:t>
      </w:r>
    </w:p>
    <w:p>
      <w:pPr>
        <w:pStyle w:val="ListParagraph"/>
        <w:numPr>
          <w:ilvl w:val="0"/>
          <w:numId w:val="2"/>
        </w:numPr>
      </w:pPr>
      <w:r>
        <w:t xml:space="preserve">atualizações das próprias demandas;</w:t>
      </w:r>
    </w:p>
    <w:p>
      <w:pPr>
        <w:pStyle w:val="ListParagraph"/>
        <w:numPr>
          <w:ilvl w:val="0"/>
          <w:numId w:val="2"/>
        </w:numPr>
      </w:pPr>
      <w:r>
        <w:t xml:space="preserve">novas respostas, complementos ou evidências em problemas acompanhados;</w:t>
      </w:r>
    </w:p>
    <w:p>
      <w:pPr>
        <w:pStyle w:val="ListParagraph"/>
        <w:numPr>
          <w:ilvl w:val="0"/>
          <w:numId w:val="2"/>
        </w:numPr>
      </w:pPr>
      <w:r>
        <w:t xml:space="preserve">prazos e compromissos próximos do vencimento ou vencidos;</w:t>
      </w:r>
    </w:p>
    <w:p>
      <w:pPr>
        <w:pStyle w:val="ListParagraph"/>
        <w:numPr>
          <w:ilvl w:val="0"/>
          <w:numId w:val="2"/>
        </w:numPr>
      </w:pPr>
      <w:r>
        <w:t xml:space="preserve">problemas relacionados ao bloco ou às áreas selecionadas;</w:t>
      </w:r>
    </w:p>
    <w:p>
      <w:pPr>
        <w:pStyle w:val="ListParagraph"/>
        <w:numPr>
          <w:ilvl w:val="0"/>
          <w:numId w:val="2"/>
        </w:numPr>
      </w:pPr>
      <w:r>
        <w:t xml:space="preserve">resumos periódicos, quando ativados pelo usuário.</w:t>
      </w:r>
    </w:p>
    <w:p>
      <w:pPr>
        <w:pStyle w:val="Heading2"/>
      </w:pPr>
      <w:r>
        <w:t xml:space="preserve">5. Frequência, priorização e anti-spam</w:t>
      </w:r>
    </w:p>
    <w:p>
      <w:pPr>
        <w:spacing w:after="120" w:line="264"/>
      </w:pPr>
      <w:r>
        <w:t xml:space="preserve">A plataforma deve adotar comunicação proporcional ao evento. Notificações de baixa urgência podem ser agrupadas em resumos; alertas críticos podem ser enviados individualmente. O usuário deve poder silenciar categorias opcionais sem perder alertas essenciais. A plataforma não utilizará notificações para campanhas político-eleitorais internas, propaganda comercial não solicitada ou exposição de conflitos pessoais.</w:t>
      </w:r>
    </w:p>
    <w:p>
      <w:pPr>
        <w:pStyle w:val="Heading2"/>
      </w:pPr>
      <w:r>
        <w:t xml:space="preserve">6. Registro de retorno externo pelo morador</w:t>
      </w:r>
    </w:p>
    <w:p>
      <w:pPr>
        <w:spacing w:after="120" w:line="264"/>
      </w:pPr>
      <w:r>
        <w:t xml:space="preserve">Quando uma resposta for recebida fora da aplicação, o morador poderá registrá-la na timeline da demanda. O formulário deverá solicitar, conforme aplicável:</w:t>
      </w:r>
    </w:p>
    <w:p>
      <w:pPr>
        <w:pStyle w:val="ListParagraph"/>
        <w:numPr>
          <w:ilvl w:val="0"/>
          <w:numId w:val="2"/>
        </w:numPr>
      </w:pPr>
      <w:r>
        <w:t xml:space="preserve">quem respondeu ou a organização a que o retorno é atribuído;</w:t>
      </w:r>
    </w:p>
    <w:p>
      <w:pPr>
        <w:pStyle w:val="ListParagraph"/>
        <w:numPr>
          <w:ilvl w:val="0"/>
          <w:numId w:val="2"/>
        </w:numPr>
      </w:pPr>
      <w:r>
        <w:t xml:space="preserve">canal utilizado: e-mail, WhatsApp, ligação, presencial, assembleia, comunicado ou outro;</w:t>
      </w:r>
    </w:p>
    <w:p>
      <w:pPr>
        <w:pStyle w:val="ListParagraph"/>
        <w:numPr>
          <w:ilvl w:val="0"/>
          <w:numId w:val="2"/>
        </w:numPr>
      </w:pPr>
      <w:r>
        <w:t xml:space="preserve">data em que a comunicação ocorreu;</w:t>
      </w:r>
    </w:p>
    <w:p>
      <w:pPr>
        <w:pStyle w:val="ListParagraph"/>
        <w:numPr>
          <w:ilvl w:val="0"/>
          <w:numId w:val="2"/>
        </w:numPr>
      </w:pPr>
      <w:r>
        <w:t xml:space="preserve">texto original, transcrição ou resumo fiel;</w:t>
      </w:r>
    </w:p>
    <w:p>
      <w:pPr>
        <w:pStyle w:val="ListParagraph"/>
        <w:numPr>
          <w:ilvl w:val="0"/>
          <w:numId w:val="2"/>
        </w:numPr>
      </w:pPr>
      <w:r>
        <w:t xml:space="preserve">eventual compromisso ou prazo informado;</w:t>
      </w:r>
    </w:p>
    <w:p>
      <w:pPr>
        <w:pStyle w:val="ListParagraph"/>
        <w:numPr>
          <w:ilvl w:val="0"/>
          <w:numId w:val="2"/>
        </w:numPr>
      </w:pPr>
      <w:r>
        <w:t xml:space="preserve">evidência opcional ou recomendada, como print, PDF, foto ou arquivo recebido.</w:t>
      </w:r>
    </w:p>
    <w:p>
      <w:pPr>
        <w:spacing w:after="120" w:line="264"/>
      </w:pPr>
      <w:r>
        <w:t xml:space="preserve">O funcionamento da plataforma não depende de o síndico ou a administradora criarem conta. Uma resposta externa registrada por morador nunca será exibida como se tivesse sido publicada diretamente pelo síndico ou pela administradora. A interface deverá mostrar expressamente “Retorno externo registrado pelo morador”.</w:t>
      </w:r>
    </w:p>
    <w:p>
      <w:pPr>
        <w:pStyle w:val="Heading2"/>
      </w:pPr>
      <w:r>
        <w:t xml:space="preserve">7. Resposta oficial opcional</w:t>
      </w:r>
    </w:p>
    <w:p>
      <w:pPr>
        <w:spacing w:after="120" w:line="264"/>
      </w:pPr>
      <w:r>
        <w:t xml:space="preserve">Síndico, administradora, conselho ou prestadores poderão solicitar reconhecimento de conta oficial. Após verificação pelo Administrador Master ou por pessoa com permissão específica, suas manifestações poderão aparecer como “Resposta oficial publicada na plataforma”. A verificação não concede poderes administrativos nem de moderação.</w:t>
      </w:r>
    </w:p>
    <w:p>
      <w:pPr>
        <w:pStyle w:val="Heading2"/>
      </w:pPr>
      <w:r>
        <w:t xml:space="preserve">8. Compromissos e prazos</w:t>
      </w:r>
    </w:p>
    <w:p>
      <w:pPr>
        <w:spacing w:after="120" w:line="264"/>
      </w:pPr>
      <w:r>
        <w:t xml:space="preserve">Quando um retorno contiver compromisso verificável ou prazo, o usuário poderá registrá-lo como objeto de acompanhamento. Alterações posteriores de prazo não apagam o prazo anterior. A timeline deverá registrar criação, reprogramação, vencimento, cumprimento e eventual divergência de avaliação do morador.</w:t>
      </w:r>
    </w:p>
    <w:p>
      <w:pPr>
        <w:pStyle w:val="Heading2"/>
      </w:pPr>
      <w:r>
        <w:t xml:space="preserve">9. Comunicação de risco e emergência</w:t>
      </w:r>
    </w:p>
    <w:p>
      <w:pPr>
        <w:spacing w:after="120" w:line="264"/>
      </w:pPr>
      <w:r>
        <w:t xml:space="preserve">A plataforma não é serviço de emergência. Relatos classificados como possível risco imediato devem exibir aviso para utilização dos canais de emergência e dos meios oficiais adequados. O registro na plataforma serve à documentação e ao acompanhamento, não substitui providência emergencial.</w:t>
      </w:r>
    </w:p>
    <w:p>
      <w:pPr>
        <w:pStyle w:val="Heading2"/>
      </w:pPr>
      <w:r>
        <w:t xml:space="preserve">10. Preferências e cancelamento</w:t>
      </w:r>
    </w:p>
    <w:p>
      <w:pPr>
        <w:spacing w:after="120" w:line="264"/>
      </w:pPr>
      <w:r>
        <w:t xml:space="preserve">O usuário poderá gerenciar comunicações opcionais no próprio perfil. O cancelamento de alertas opcionais não impede o envio de mensagens essenciais relativas à conta, segurança, privacidade, moderação ou alterações jurídicas obrigatórias.</w:t>
      </w:r>
    </w:p>
    <w:p>
      <w:pPr>
        <w:pStyle w:val="Heading2"/>
      </w:pPr>
      <w:r>
        <w:t xml:space="preserve">11. Dados utilizados para comunicação</w:t>
      </w:r>
    </w:p>
    <w:p>
      <w:pPr>
        <w:spacing w:after="120" w:line="264"/>
      </w:pPr>
      <w:r>
        <w:t xml:space="preserve">Serão utilizados apenas os dados necessários à entrega e rastreabilidade das comunicações, observando finalidade, necessidade, transparência e segurança. Preferências de notificação, status de leitura, eventos enviados e falhas técnicas podem ser registrados para operação e auditoria.</w:t>
      </w:r>
    </w:p>
    <w:p>
      <w:pPr>
        <w:pStyle w:val="Heading2"/>
      </w:pPr>
      <w:r>
        <w:t xml:space="preserve">12. Disponibilização online, versionamento e aceite</w:t>
      </w:r>
    </w:p>
    <w:p>
      <w:pPr>
        <w:spacing w:after="120" w:line="264"/>
      </w:pPr>
      <w:r>
        <w:t xml:space="preserve">A versão vigente desta Política deverá estar disponível em rota pública estável da aplicação, sugerida como /legal/notificacoes-comunicacao. O sistema manterá histórico de versões. O aceite desta política integra o portão jurídico do onboarding: após autenticação Google, o usuário deverá abrir ou ter acesso integral ao documento, marcar aceite expresso e confirmar o conjunto das políticas antes da ativação do perfil e do acesso às áreas privadas.</w:t>
      </w:r>
    </w:p>
    <w:p>
      <w:pPr>
        <w:spacing w:after="120" w:line="264"/>
      </w:pPr>
      <w:r>
        <w:t xml:space="preserve">Cada aceite deverá registrar, no mínimo: identificador do usuário autenticado, chave do documento, versão, data/hora, hash da versão aceita e evento de auditoria. Não é necessário armazenar endereço IP apenas para produzir prova do aceite, salvo decisão futura fundamentada de governança e privacidade.</w:t>
      </w:r>
    </w:p>
    <w:p>
      <w:pPr>
        <w:pStyle w:val="Heading2"/>
      </w:pPr>
      <w:r>
        <w:t xml:space="preserve">13. Alterações desta Política</w:t>
      </w:r>
    </w:p>
    <w:p>
      <w:pPr>
        <w:spacing w:after="120" w:line="264"/>
      </w:pPr>
      <w:r>
        <w:t xml:space="preserve">Mudanças meramente editoriais podem preservar o aceite anterior, desde que a versão registre que não houve alteração material. Mudanças que ampliem finalidades, canais, tratamento de dados, deveres ou direitos deverão ser marcadas como reaceite obrigatório e bloquear temporariamente o acesso às áreas privadas até nova manifestação do usuário.</w:t>
      </w:r>
    </w:p>
    <w:p>
      <w:pPr>
        <w:pStyle w:val="Heading2"/>
      </w:pPr>
      <w:r>
        <w:t xml:space="preserve">14. Contato</w:t>
      </w:r>
    </w:p>
    <w:p>
      <w:pPr>
        <w:spacing w:after="120" w:line="264"/>
      </w:pPr>
      <w:r>
        <w:t xml:space="preserve">Dúvidas sobre esta Política, notificações ou registros de comunicação poderão ser encaminhadas ao Administrador Master pelo e-mail feraimentor@gmail.com, sem prejuízo de outros canais que venham a ser disponibilizados na própria aplicação.</w:t>
      </w:r>
    </w:p>
    <w:p>
      <w:pPr>
        <w:pStyle w:val="Heading2"/>
      </w:pPr>
      <w:r>
        <w:t xml:space="preserve">Referências normativas e orientativas</w:t>
      </w:r>
    </w:p>
    <w:p>
      <w:pPr>
        <w:pStyle w:val="ListParagraph"/>
        <w:numPr>
          <w:ilvl w:val="0"/>
          <w:numId w:val="2"/>
        </w:numPr>
      </w:pPr>
      <w:r>
        <w:t xml:space="preserve">Lei Geral de Proteção de Dados Pessoais – Lei nº 13.709/2018: https://www.planalto.gov.br/ccivil_03/_ato2015-2018/2018/lei/l13709.htm</w:t>
      </w:r>
    </w:p>
    <w:p>
      <w:pPr>
        <w:pStyle w:val="ListParagraph"/>
        <w:numPr>
          <w:ilvl w:val="0"/>
          <w:numId w:val="2"/>
        </w:numPr>
      </w:pPr>
      <w:r>
        <w:t xml:space="preserve">Marco Civil da Internet – Lei nº 12.965/2014: https://www.planalto.gov.br/ccivil_03/_ato2011-2014/2014/lei/l12965.htm</w:t>
      </w:r>
    </w:p>
    <w:p>
      <w:pPr>
        <w:pStyle w:val="ListParagraph"/>
        <w:numPr>
          <w:ilvl w:val="0"/>
          <w:numId w:val="2"/>
        </w:numPr>
      </w:pPr>
      <w:r>
        <w:t xml:space="preserve">ANPD – Materiais educativos e publicações: https://www.gov.br/anpd/pt-br/centrais-de-conteudo/materiais-educativos-e-publicacoes</w:t>
      </w:r>
    </w:p>
    <w:p>
      <w:pPr>
        <w:pStyle w:val="ListParagraph"/>
        <w:numPr>
          <w:ilvl w:val="0"/>
          <w:numId w:val="2"/>
        </w:numPr>
      </w:pPr>
      <w:r>
        <w:t xml:space="preserve">ANPD – Regulamento de Comunicação de Incidente de Segurança: https://www.gov.br/anpd/pt-br/assuntos/noticias/anpd-aprova-o-regulamento-de-comunicacao-de-incidente-de-seguranca</w:t>
      </w:r>
    </w:p>
    <w:p>
      <w:pPr>
        <w:spacing w:after="120" w:line="264"/>
      </w:pPr>
      <w:r>
        <w:t xml:space="preserve">— Fim da Política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</w:rPr>
      <w:t xml:space="preserve">Página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b/>
        <w:bCs/>
        <w:color w:val="6B4936"/>
      </w:rPr>
      <w:t xml:space="preserve">LASTRO</w:t>
    </w:r>
    <w:r>
      <w:rPr>
        <w:color w:val="666666"/>
      </w:rPr>
      <w:t xml:space="preserve">  |  Documento jurídico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6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02C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b/>
      <w:bCs/>
      <w:color w:val="3E665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b/>
      <w:bCs/>
      <w:color w:val="3E665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</w:pPr>
    <w:rPr>
      <w:b/>
      <w:bCs/>
      <w:color w:val="6B49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Notificações e Comunicação</dc:title>
  <dc:creator>LASTRO</dc:creator>
  <dc:description>Documento jurídico canônico do LASTRO</dc:description>
  <cp:lastModifiedBy>Un-named</cp:lastModifiedBy>
  <cp:revision>1</cp:revision>
  <dcterms:created xsi:type="dcterms:W3CDTF">2026-08-09T16:53:45.361Z</dcterms:created>
  <dcterms:modified xsi:type="dcterms:W3CDTF">2026-08-09T16:53:45.364Z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