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B4936" w:sz="8" w:space="8"/>
        </w:pBdr>
        <w:spacing w:after="80" w:before="0"/>
      </w:pPr>
      <w:r>
        <w:rPr>
          <w:b/>
          <w:bCs/>
          <w:color w:val="2E302C"/>
          <w:sz w:val="46"/>
          <w:szCs w:val="46"/>
        </w:rPr>
        <w:t xml:space="preserve">LASTRO — Plataforma Comunitária de Demandas do Condomínio Alto Icaraí</w:t>
      </w:r>
    </w:p>
    <w:p>
      <w:pPr>
        <w:pStyle w:val="Heading1"/>
      </w:pPr>
      <w:r>
        <w:t xml:space="preserve">Política de Privacidade, LGPD e Termos de Uso</w:t>
      </w:r>
    </w:p>
    <w:p>
      <w:pPr>
        <w:spacing w:after="120" w:line="264"/>
      </w:pPr>
      <w:r>
        <w:t xml:space="preserve">Versão 1.0 • 09 de agosto de 2026 • Documento de governança e uso da plataforma</w:t>
      </w:r>
    </w:p>
    <w:p>
      <w:pPr>
        <w:pStyle w:val="Heading2"/>
      </w:pPr>
      <w:r>
        <w:t xml:space="preserve">Finalidade do conjunto documental</w:t>
      </w:r>
    </w:p>
    <w:p>
      <w:pPr>
        <w:spacing w:after="120" w:line="264"/>
      </w:pPr>
      <w:r>
        <w:t xml:space="preserve">Este documento integra o conjunto obrigatório de políticas da plataforma. A versão vigente deverá permanecer acessível online e o aceite eletrônico versionado será condição para ativação e continuidade do acesso às áreas privadas.</w:t>
      </w:r>
    </w:p>
    <w:p>
      <w:pPr>
        <w:pStyle w:val="Heading2"/>
      </w:pPr>
      <w:r>
        <w:t xml:space="preserve">1. Sobre este documento</w:t>
      </w:r>
    </w:p>
    <w:p>
      <w:pPr>
        <w:spacing w:after="120" w:line="264"/>
      </w:pPr>
      <w:r>
        <w:t xml:space="preserve">Este documento reúne a Política de Privacidade e os Termos de Uso da Plataforma Comunitária de Demandas do Condomínio Alto Icaraí. Ele explica quais dados são tratados, para quais finalidades, como são protegidos, quais direitos possuem os titulares e quais condições regem o acesso à plataforma. O aceite dos Termos não equivale a consentimento genérico para todos os tratamentos de dados: cada operação deverá possuir base legal adequada e finalidade definida.</w:t>
      </w:r>
    </w:p>
    <w:p>
      <w:pPr>
        <w:pStyle w:val="Heading2"/>
      </w:pPr>
      <w:r>
        <w:t xml:space="preserve">2. Responsável inicial pela plataforma</w:t>
      </w:r>
    </w:p>
    <w:p>
      <w:pPr>
        <w:spacing w:after="120" w:line="264"/>
      </w:pPr>
      <w:r>
        <w:t xml:space="preserve">No lançamento, a administração técnica e de governança será centralizada no Administrador Master, autenticado pela conta Google feraimentor@gmail.com. O condomínio, o síndico e a empresa administradora não se tornam automaticamente administradores da plataforma nem controladores conjuntos apenas por serem mencionados ou por eventualmente exercerem direito de resposta. Papéis jurídicos de tratamento deverão refletir a realidade de cada operação e poderão ser revistos à medida que a governança evoluir.</w:t>
      </w:r>
    </w:p>
    <w:p>
      <w:pPr>
        <w:pStyle w:val="Heading2"/>
      </w:pPr>
      <w:r>
        <w:t xml:space="preserve">3. Quem pode usar</w:t>
      </w:r>
    </w:p>
    <w:p>
      <w:pPr>
        <w:spacing w:after="120" w:line="264"/>
      </w:pPr>
      <w:r>
        <w:t xml:space="preserve">A plataforma é privada. O acesso comunitário completo será destinado a pessoas autenticadas pelo Google e com vínculo condominial verificado conforme as regras da aplicação. Proprietários não residentes, inquilinos, familiares/residentes autorizados e representantes poderão possuir tipos de vínculo distintos.</w:t>
      </w:r>
    </w:p>
    <w:p>
      <w:pPr>
        <w:pStyle w:val="Heading2"/>
      </w:pPr>
      <w:r>
        <w:t xml:space="preserve">4. Portão jurídico e formação da conta</w:t>
      </w:r>
    </w:p>
    <w:p>
      <w:pPr>
        <w:spacing w:after="120" w:line="264"/>
      </w:pPr>
      <w:r>
        <w:t xml:space="preserve">O fluxo será: autenticação Google → apresentação integral das três políticas obrigatórias → aceite expresso e versionado → criação/ativação do perfil da plataforma → solicitação/verificação de vínculo → acesso conforme permissões. Tecnicamente, o provedor de autenticação pode criar uma identidade básica antes do aceite; essa identidade não receberá acesso comunitário nem perfil ativo até a conclusão do portão jurídico.</w:t>
      </w:r>
    </w:p>
    <w:p>
      <w:pPr>
        <w:spacing w:after="120" w:line="264"/>
      </w:pPr>
      <w:r>
        <w:t xml:space="preserve">O sistema deverá exigir aceite separado e identificável da Política de Notificações e Comunicação, da Política de Uso Responsável e Moderação e desta Política de Privacidade/Termos. Os três aceites são necessários para prosseguir. Se o usuário não concordar, poderá encerrar o fluxo e sair.</w:t>
      </w:r>
    </w:p>
    <w:p>
      <w:pPr>
        <w:pStyle w:val="Heading2"/>
      </w:pPr>
      <w:r>
        <w:t xml:space="preserve">5. Dados pessoais tratados</w:t>
      </w:r>
    </w:p>
    <w:p>
      <w:pPr>
        <w:pStyle w:val="ListParagraph"/>
        <w:numPr>
          <w:ilvl w:val="0"/>
          <w:numId w:val="2"/>
        </w:numPr>
      </w:pPr>
      <w:r>
        <w:t xml:space="preserve">Dados de autenticação Google: identificador, e-mail, nome e foto de perfil quando disponibilizados pelo provedor.</w:t>
      </w:r>
    </w:p>
    <w:p>
      <w:pPr>
        <w:pStyle w:val="ListParagraph"/>
        <w:numPr>
          <w:ilvl w:val="0"/>
          <w:numId w:val="2"/>
        </w:numPr>
      </w:pPr>
      <w:r>
        <w:t xml:space="preserve">Dados cadastrais: nome, sobrenome, preferências e eventual telefone/WhatsApp, quando fornecido.</w:t>
      </w:r>
    </w:p>
    <w:p>
      <w:pPr>
        <w:pStyle w:val="ListParagraph"/>
        <w:numPr>
          <w:ilvl w:val="0"/>
          <w:numId w:val="2"/>
        </w:numPr>
      </w:pPr>
      <w:r>
        <w:t xml:space="preserve">Dados de vínculo: bloco, apartamento/unidade, tipo de relação com o imóvel, residência atual, datas e estado de verificação.</w:t>
      </w:r>
    </w:p>
    <w:p>
      <w:pPr>
        <w:pStyle w:val="ListParagraph"/>
        <w:numPr>
          <w:ilvl w:val="0"/>
          <w:numId w:val="2"/>
        </w:numPr>
      </w:pPr>
      <w:r>
        <w:t xml:space="preserve">Conteúdo do usuário: reclamações, demandas, denúncias de possível irregularidade, pedidos de informação, sugestões, comentários, avaliações de desfecho e complementos.</w:t>
      </w:r>
    </w:p>
    <w:p>
      <w:pPr>
        <w:pStyle w:val="ListParagraph"/>
        <w:numPr>
          <w:ilvl w:val="0"/>
          <w:numId w:val="2"/>
        </w:numPr>
      </w:pPr>
      <w:r>
        <w:t xml:space="preserve">Evidências e mídias: fotos, vídeos, áudios, PDFs, prints e outros arquivos enviados pelo usuário.</w:t>
      </w:r>
    </w:p>
    <w:p>
      <w:pPr>
        <w:pStyle w:val="ListParagraph"/>
        <w:numPr>
          <w:ilvl w:val="0"/>
          <w:numId w:val="2"/>
        </w:numPr>
      </w:pPr>
      <w:r>
        <w:t xml:space="preserve">Registros de acompanhamento: respostas externas, respostas oficiais, compromissos, prazos, recorrências, seguidores e declaração também sou afetado.</w:t>
      </w:r>
    </w:p>
    <w:p>
      <w:pPr>
        <w:pStyle w:val="ListParagraph"/>
        <w:numPr>
          <w:ilvl w:val="0"/>
          <w:numId w:val="2"/>
        </w:numPr>
      </w:pPr>
      <w:r>
        <w:t xml:space="preserve">Registros de segurança e governança: aceites jurídicos, logs de auditoria, moderação, permissões, notificações, falhas técnicas e eventos necessários à segurança.</w:t>
      </w:r>
    </w:p>
    <w:p>
      <w:pPr>
        <w:pStyle w:val="Heading2"/>
      </w:pPr>
      <w:r>
        <w:t xml:space="preserve">6. Dados sensíveis e de terceiros</w:t>
      </w:r>
    </w:p>
    <w:p>
      <w:pPr>
        <w:spacing w:after="120" w:line="264"/>
      </w:pPr>
      <w:r>
        <w:t xml:space="preserve">A finalidade ordinária da plataforma não exige coleta sistemática de dados pessoais sensíveis. Contudo, usuários podem inserir conteúdo que revele saúde, opinião política, religião, biometria ou outras informações sensíveis, bem como dados de terceiros. A aplicação deverá desencorajar o envio de dados desnecessários, oferecer alertas contextuais e aplicar visibilidade restrita ou moderação quando adequado.</w:t>
      </w:r>
    </w:p>
    <w:p>
      <w:pPr>
        <w:pStyle w:val="Heading2"/>
      </w:pPr>
      <w:r>
        <w:t xml:space="preserve">7. Finalidades do tratamento</w:t>
      </w:r>
    </w:p>
    <w:p>
      <w:pPr>
        <w:pStyle w:val="ListParagraph"/>
        <w:numPr>
          <w:ilvl w:val="0"/>
          <w:numId w:val="2"/>
        </w:numPr>
      </w:pPr>
      <w:r>
        <w:t xml:space="preserve">autenticar usuários e impedir acesso comunitário não autorizado;</w:t>
      </w:r>
    </w:p>
    <w:p>
      <w:pPr>
        <w:pStyle w:val="ListParagraph"/>
        <w:numPr>
          <w:ilvl w:val="0"/>
          <w:numId w:val="2"/>
        </w:numPr>
      </w:pPr>
      <w:r>
        <w:t xml:space="preserve">verificar vínculo com o condomínio;</w:t>
      </w:r>
    </w:p>
    <w:p>
      <w:pPr>
        <w:pStyle w:val="ListParagraph"/>
        <w:numPr>
          <w:ilvl w:val="0"/>
          <w:numId w:val="2"/>
        </w:numPr>
      </w:pPr>
      <w:r>
        <w:t xml:space="preserve">receber, organizar, documentar e acompanhar problemas e demandas;</w:t>
      </w:r>
    </w:p>
    <w:p>
      <w:pPr>
        <w:pStyle w:val="ListParagraph"/>
        <w:numPr>
          <w:ilvl w:val="0"/>
          <w:numId w:val="2"/>
        </w:numPr>
      </w:pPr>
      <w:r>
        <w:t xml:space="preserve">preservar cronologia, evidências, respostas, compromissos e histórico de recorrência;</w:t>
      </w:r>
    </w:p>
    <w:p>
      <w:pPr>
        <w:pStyle w:val="ListParagraph"/>
        <w:numPr>
          <w:ilvl w:val="0"/>
          <w:numId w:val="2"/>
        </w:numPr>
      </w:pPr>
      <w:r>
        <w:t xml:space="preserve">gerar indicadores agregados de transparência, acompanhamento e memória institucional;</w:t>
      </w:r>
    </w:p>
    <w:p>
      <w:pPr>
        <w:pStyle w:val="ListParagraph"/>
        <w:numPr>
          <w:ilvl w:val="0"/>
          <w:numId w:val="2"/>
        </w:numPr>
      </w:pPr>
      <w:r>
        <w:t xml:space="preserve">viabilizar moderação, prevenção de abuso, segurança e auditoria;</w:t>
      </w:r>
    </w:p>
    <w:p>
      <w:pPr>
        <w:pStyle w:val="ListParagraph"/>
        <w:numPr>
          <w:ilvl w:val="0"/>
          <w:numId w:val="2"/>
        </w:numPr>
      </w:pPr>
      <w:r>
        <w:t xml:space="preserve">enviar comunicações essenciais e opcionais conforme preferências;</w:t>
      </w:r>
    </w:p>
    <w:p>
      <w:pPr>
        <w:pStyle w:val="ListParagraph"/>
        <w:numPr>
          <w:ilvl w:val="0"/>
          <w:numId w:val="2"/>
        </w:numPr>
      </w:pPr>
      <w:r>
        <w:t xml:space="preserve">cumprir obrigações legais, regulatórias e ordens válidas de autoridades;</w:t>
      </w:r>
    </w:p>
    <w:p>
      <w:pPr>
        <w:pStyle w:val="ListParagraph"/>
        <w:numPr>
          <w:ilvl w:val="0"/>
          <w:numId w:val="2"/>
        </w:numPr>
      </w:pPr>
      <w:r>
        <w:t xml:space="preserve">permitir exercício regular de direitos e defesa em procedimentos administrativos ou judiciais, quando aplicável.</w:t>
      </w:r>
    </w:p>
    <w:p>
      <w:pPr>
        <w:pStyle w:val="Heading2"/>
      </w:pPr>
      <w:r>
        <w:t xml:space="preserve">8. Bases legais</w:t>
      </w:r>
    </w:p>
    <w:p>
      <w:pPr>
        <w:spacing w:after="120" w:line="264"/>
      </w:pPr>
      <w:r>
        <w:t xml:space="preserve">As bases legais serão definidas conforme a operação concreta e registradas na governança de dados. Podem incluir consentimento para funcionalidades opcionais; execução dos Termos e procedimentos relacionados ao uso solicitado pelo titular; legítimo interesse, mediante avaliação e salvaguardas, para segurança, prevenção de fraude e funcionamento comunitário; cumprimento de obrigação legal ou regulatória; exercício regular de direitos; e outras hipóteses previstas na LGPD. O sistema não tratará o aceite desta Política como autorização ilimitada.</w:t>
      </w:r>
    </w:p>
    <w:p>
      <w:pPr>
        <w:pStyle w:val="Heading2"/>
      </w:pPr>
      <w:r>
        <w:t xml:space="preserve">9. Minimização e separação de dados</w:t>
      </w:r>
    </w:p>
    <w:p>
      <w:pPr>
        <w:spacing w:after="120" w:line="264"/>
      </w:pPr>
      <w:r>
        <w:t xml:space="preserve">A arquitetura deverá separar dados públicos internos de dados privados. E-mail, WhatsApp, dados de verificação e outras informações privadas não serão disponibilizados a moradores comuns. Apartamento e bloco poderão ser ocultados em publicações protegidas. O telefone deverá ser opcional no MVP, salvo necessidade operacional futura claramente justificada.</w:t>
      </w:r>
    </w:p>
    <w:p>
      <w:pPr>
        <w:pStyle w:val="Heading2"/>
      </w:pPr>
      <w:r>
        <w:t xml:space="preserve">10. Compartilhamento e operadores tecnológicos</w:t>
      </w:r>
    </w:p>
    <w:p>
      <w:pPr>
        <w:spacing w:after="120" w:line="264"/>
      </w:pPr>
      <w:r>
        <w:t xml:space="preserve">Para funcionamento técnico, dados podem ser tratados por provedores de infraestrutura e autenticação, como Google, Supabase e Vercel, além de eventual provedor de e-mail transacional. O uso desses fornecedores deverá observar contratos, configurações de segurança, minimização e avaliação de transferências internacionais quando aplicável.</w:t>
      </w:r>
    </w:p>
    <w:p>
      <w:pPr>
        <w:pStyle w:val="Heading2"/>
      </w:pPr>
      <w:r>
        <w:t xml:space="preserve">11. Transferência internacional</w:t>
      </w:r>
    </w:p>
    <w:p>
      <w:pPr>
        <w:spacing w:after="120" w:line="264"/>
      </w:pPr>
      <w:r>
        <w:t xml:space="preserve">Alguns provedores tecnológicos podem processar dados fora do Brasil. A plataforma deverá mapear os fluxos e adotar mecanismos compatíveis com a LGPD e com a regulamentação da ANPD sobre transferência internacional de dados, incluindo salvaguardas contratuais ou outros mecanismos válidos quando exigidos.</w:t>
      </w:r>
    </w:p>
    <w:p>
      <w:pPr>
        <w:pStyle w:val="Heading2"/>
      </w:pPr>
      <w:r>
        <w:t xml:space="preserve">12. Armazenamento de evidências</w:t>
      </w:r>
    </w:p>
    <w:p>
      <w:pPr>
        <w:spacing w:after="120" w:line="264"/>
      </w:pPr>
      <w:r>
        <w:t xml:space="preserve">Mídias comprobatórias serão armazenadas em repositório privado, sem URL pública permanente. O acesso deverá obedecer às mesmas permissões do conteúdo relacionado. O sistema registrará metadados necessários, incluindo nome original, tipo, tamanho, autor, data e hash de integridade quando implementado. Substituição silenciosa de evidência não será permitida.</w:t>
      </w:r>
    </w:p>
    <w:p>
      <w:pPr>
        <w:pStyle w:val="Heading2"/>
      </w:pPr>
      <w:r>
        <w:t xml:space="preserve">13. Retenção e histórico institucional</w:t>
      </w:r>
    </w:p>
    <w:p>
      <w:pPr>
        <w:spacing w:after="120" w:line="264"/>
      </w:pPr>
      <w:r>
        <w:t xml:space="preserve">Registros publicados integram a memória institucional e não serão apagados apenas porque o autor saiu do condomínio. A retenção deverá ser proporcional à finalidade, aos direitos dos titulares e à necessidade de preservar histórico, auditoria, defesa e integridade dos indicadores. Conteúdo retirado da visualização poderá continuar preservado de forma restrita quando houver justificativa legítima. Políticas específicas de retenção serão configuráveis pelo Master e revisadas periodicamente.</w:t>
      </w:r>
    </w:p>
    <w:p>
      <w:pPr>
        <w:pStyle w:val="Heading2"/>
      </w:pPr>
      <w:r>
        <w:t xml:space="preserve">14. Direitos do titular</w:t>
      </w:r>
    </w:p>
    <w:p>
      <w:pPr>
        <w:spacing w:after="120" w:line="264"/>
      </w:pPr>
      <w:r>
        <w:t xml:space="preserve">Nos termos da LGPD e conforme aplicável, o titular poderá solicitar confirmação de tratamento, acesso, correção, anonimização, bloqueio ou eliminação de dados inadequados ou excessivos, informação sobre compartilhamento, portabilidade quando regulamentada e cabível, oposição e revogação de consentimento quando o tratamento se basear nessa hipótese. Solicitações serão analisadas considerando também deveres de retenção e direitos de terceiros.</w:t>
      </w:r>
    </w:p>
    <w:p>
      <w:pPr>
        <w:pStyle w:val="Heading2"/>
      </w:pPr>
      <w:r>
        <w:t xml:space="preserve">15. Segurança da informação</w:t>
      </w:r>
    </w:p>
    <w:p>
      <w:pPr>
        <w:pStyle w:val="ListParagraph"/>
        <w:numPr>
          <w:ilvl w:val="0"/>
          <w:numId w:val="2"/>
        </w:numPr>
      </w:pPr>
      <w:r>
        <w:t xml:space="preserve">autenticação Google e verificação independente do vínculo condominial;</w:t>
      </w:r>
    </w:p>
    <w:p>
      <w:pPr>
        <w:pStyle w:val="ListParagraph"/>
        <w:numPr>
          <w:ilvl w:val="0"/>
          <w:numId w:val="2"/>
        </w:numPr>
      </w:pPr>
      <w:r>
        <w:t xml:space="preserve">Row Level Security no banco de dados, com autorização efetiva no servidor e no PostgreSQL;</w:t>
      </w:r>
    </w:p>
    <w:p>
      <w:pPr>
        <w:pStyle w:val="ListParagraph"/>
        <w:numPr>
          <w:ilvl w:val="0"/>
          <w:numId w:val="2"/>
        </w:numPr>
      </w:pPr>
      <w:r>
        <w:t xml:space="preserve">Storage privado para evidências e acesso temporário/autorizado;</w:t>
      </w:r>
    </w:p>
    <w:p>
      <w:pPr>
        <w:pStyle w:val="ListParagraph"/>
        <w:numPr>
          <w:ilvl w:val="0"/>
          <w:numId w:val="2"/>
        </w:numPr>
      </w:pPr>
      <w:r>
        <w:t xml:space="preserve">permissões granulares para administradores;</w:t>
      </w:r>
    </w:p>
    <w:p>
      <w:pPr>
        <w:pStyle w:val="ListParagraph"/>
        <w:numPr>
          <w:ilvl w:val="0"/>
          <w:numId w:val="2"/>
        </w:numPr>
      </w:pPr>
      <w:r>
        <w:t xml:space="preserve">logs de auditoria append-only pela interface;</w:t>
      </w:r>
    </w:p>
    <w:p>
      <w:pPr>
        <w:pStyle w:val="ListParagraph"/>
        <w:numPr>
          <w:ilvl w:val="0"/>
          <w:numId w:val="2"/>
        </w:numPr>
      </w:pPr>
      <w:r>
        <w:t xml:space="preserve">segregação entre dados comunitários e dados privados;</w:t>
      </w:r>
    </w:p>
    <w:p>
      <w:pPr>
        <w:pStyle w:val="ListParagraph"/>
        <w:numPr>
          <w:ilvl w:val="0"/>
          <w:numId w:val="2"/>
        </w:numPr>
      </w:pPr>
      <w:r>
        <w:t xml:space="preserve">gestão de segredos exclusivamente no servidor;</w:t>
      </w:r>
    </w:p>
    <w:p>
      <w:pPr>
        <w:pStyle w:val="ListParagraph"/>
        <w:numPr>
          <w:ilvl w:val="0"/>
          <w:numId w:val="2"/>
        </w:numPr>
      </w:pPr>
      <w:r>
        <w:t xml:space="preserve">backups, monitoramento, recuperação e testes periódicos de permissões.</w:t>
      </w:r>
    </w:p>
    <w:p>
      <w:pPr>
        <w:pStyle w:val="Heading2"/>
      </w:pPr>
      <w:r>
        <w:t xml:space="preserve">16. Incidentes de segurança</w:t>
      </w:r>
    </w:p>
    <w:p>
      <w:pPr>
        <w:spacing w:after="120" w:line="264"/>
      </w:pPr>
      <w:r>
        <w:t xml:space="preserve">A plataforma deverá manter procedimento de identificação, contenção, análise, documentação e resposta a incidentes. Quando houver incidente com risco ou dano relevante nos termos da regulamentação aplicável, serão avaliadas as comunicações cabíveis aos titulares e à ANPD. O registro interno de incidentes deverá ser preservado conforme requisitos legais e de governança.</w:t>
      </w:r>
    </w:p>
    <w:p>
      <w:pPr>
        <w:pStyle w:val="Heading2"/>
      </w:pPr>
      <w:r>
        <w:t xml:space="preserve">17. Termos de uso – natureza do serviço</w:t>
      </w:r>
    </w:p>
    <w:p>
      <w:pPr>
        <w:spacing w:after="120" w:line="264"/>
      </w:pPr>
      <w:r>
        <w:t xml:space="preserve">A plataforma é uma ferramenta comunitária privada de documentação e acompanhamento. Não é canal oficial do condomínio, não substitui assembleias, notificações formais, administradora, autoridades, serviços públicos ou canais de emergência, salvo se futuramente houver reconhecimento formal e específico de determinada funcionalidade por parte competente.</w:t>
      </w:r>
    </w:p>
    <w:p>
      <w:pPr>
        <w:pStyle w:val="Heading2"/>
      </w:pPr>
      <w:r>
        <w:t xml:space="preserve">18. Termos de uso – responsabilidades do usuário</w:t>
      </w:r>
    </w:p>
    <w:p>
      <w:pPr>
        <w:pStyle w:val="ListParagraph"/>
        <w:numPr>
          <w:ilvl w:val="0"/>
          <w:numId w:val="2"/>
        </w:numPr>
      </w:pPr>
      <w:r>
        <w:t xml:space="preserve">fornecer dados cadastrais verdadeiros e manter o vínculo atualizado;</w:t>
      </w:r>
    </w:p>
    <w:p>
      <w:pPr>
        <w:pStyle w:val="ListParagraph"/>
        <w:numPr>
          <w:ilvl w:val="0"/>
          <w:numId w:val="2"/>
        </w:numPr>
      </w:pPr>
      <w:r>
        <w:t xml:space="preserve">proteger sua conta Google e não compartilhar sessão;</w:t>
      </w:r>
    </w:p>
    <w:p>
      <w:pPr>
        <w:pStyle w:val="ListParagraph"/>
        <w:numPr>
          <w:ilvl w:val="0"/>
          <w:numId w:val="2"/>
        </w:numPr>
      </w:pPr>
      <w:r>
        <w:t xml:space="preserve">registrar conteúdo de boa-fé e respeitar direitos de terceiros;</w:t>
      </w:r>
    </w:p>
    <w:p>
      <w:pPr>
        <w:pStyle w:val="ListParagraph"/>
        <w:numPr>
          <w:ilvl w:val="0"/>
          <w:numId w:val="2"/>
        </w:numPr>
      </w:pPr>
      <w:r>
        <w:t xml:space="preserve">não tentar contornar permissões, extrair dados de outros usuários ou explorar vulnerabilidades;</w:t>
      </w:r>
    </w:p>
    <w:p>
      <w:pPr>
        <w:pStyle w:val="ListParagraph"/>
        <w:numPr>
          <w:ilvl w:val="0"/>
          <w:numId w:val="2"/>
        </w:numPr>
      </w:pPr>
      <w:r>
        <w:t xml:space="preserve">não usar a plataforma para spam, perseguição, fraude, manipulação ou exposição desnecessária;</w:t>
      </w:r>
    </w:p>
    <w:p>
      <w:pPr>
        <w:pStyle w:val="ListParagraph"/>
        <w:numPr>
          <w:ilvl w:val="0"/>
          <w:numId w:val="2"/>
        </w:numPr>
      </w:pPr>
      <w:r>
        <w:t xml:space="preserve">cumprir a Política de Uso Responsável e as decisões de moderação aplicáveis, sem prejuízo do pedido de revisão.</w:t>
      </w:r>
    </w:p>
    <w:p>
      <w:pPr>
        <w:pStyle w:val="Heading2"/>
      </w:pPr>
      <w:r>
        <w:t xml:space="preserve">19. Disponibilidade e continuidade</w:t>
      </w:r>
    </w:p>
    <w:p>
      <w:pPr>
        <w:spacing w:after="120" w:line="264"/>
      </w:pPr>
      <w:r>
        <w:t xml:space="preserve">A plataforma buscará disponibilidade e integridade compatíveis com seu caráter comunitário, mas pode passar por manutenção, indisponibilidade técnica ou falha de terceiros. O sistema deverá possuir backups, monitoramento e plano de recuperação, sem promessa de disponibilidade ininterrupta.</w:t>
      </w:r>
    </w:p>
    <w:p>
      <w:pPr>
        <w:pStyle w:val="Heading2"/>
      </w:pPr>
      <w:r>
        <w:t xml:space="preserve">20. Suspensão e encerramento de acesso</w:t>
      </w:r>
    </w:p>
    <w:p>
      <w:pPr>
        <w:spacing w:after="120" w:line="264"/>
      </w:pPr>
      <w:r>
        <w:t xml:space="preserve">O acesso poderá ser limitado quando o vínculo condominial terminar, houver risco de segurança, abuso grave ou violação relevante das políticas. A suspensão não apaga automaticamente registros históricos já integrados à memória da plataforma. O usuário poderá solicitar revisão conforme as regras de moderação.</w:t>
      </w:r>
    </w:p>
    <w:p>
      <w:pPr>
        <w:pStyle w:val="Heading2"/>
      </w:pPr>
      <w:r>
        <w:t xml:space="preserve">21. Alteração das políticas</w:t>
      </w:r>
    </w:p>
    <w:p>
      <w:pPr>
        <w:spacing w:after="120" w:line="264"/>
      </w:pPr>
      <w:r>
        <w:t xml:space="preserve">Toda versão terá número, data e registro histórico. Mudanças materiais que afetem direitos, deveres, finalidades ou formas de tratamento serão identificadas como reaceite obrigatório. O sistema bloqueará o acesso privado até que o usuário aceite a versão vigente ou encerre a sessão.</w:t>
      </w:r>
    </w:p>
    <w:p>
      <w:pPr>
        <w:pStyle w:val="Heading2"/>
      </w:pPr>
      <w:r>
        <w:t xml:space="preserve">22. Disponibilização online e prova de aceite</w:t>
      </w:r>
    </w:p>
    <w:p>
      <w:pPr>
        <w:spacing w:after="120" w:line="264"/>
      </w:pPr>
      <w:r>
        <w:t xml:space="preserve">A versão vigente deverá estar acessível publicamente em rota estável, sugerida como /legal/privacidade-termos, com opção de download. O banco manterá tabelas específicas para versões de documentos e aceites. Cada aceite conterá usuário, documento, versão, data/hora, hash do conteúdo e registro de auditoria. O histórico de aceites será consultável pelo próprio usuário e pelo Master conforme permissões.</w:t>
      </w:r>
    </w:p>
    <w:p>
      <w:pPr>
        <w:pStyle w:val="Heading2"/>
      </w:pPr>
      <w:r>
        <w:t xml:space="preserve">23. Canal para privacidade e direitos</w:t>
      </w:r>
    </w:p>
    <w:p>
      <w:pPr>
        <w:spacing w:after="120" w:line="264"/>
      </w:pPr>
      <w:r>
        <w:t xml:space="preserve">Enquanto não houver outro canal dedicado, solicitações relativas a dados pessoais e privacidade poderão ser encaminhadas a feraimentor@gmail.com. A governança poderá futuramente designar encarregado ou canal específico, conforme necessidade e enquadramento jurídico.</w:t>
      </w:r>
    </w:p>
    <w:p>
      <w:pPr>
        <w:pStyle w:val="Heading2"/>
      </w:pPr>
      <w:r>
        <w:t xml:space="preserve">24. Legislação aplicável</w:t>
      </w:r>
    </w:p>
    <w:p>
      <w:pPr>
        <w:spacing w:after="120" w:line="264"/>
      </w:pPr>
      <w:r>
        <w:t xml:space="preserve">Este documento é interpretado à luz da legislação brasileira, especialmente da Lei Geral de Proteção de Dados Pessoais, do Marco Civil da Internet e das normas da ANPD aplicáveis. Questões não resolvidas por estes Termos deverão ser tratadas pelos canais de governança e, quando necessário, pelos meios legais competentes.</w:t>
      </w:r>
    </w:p>
    <w:p>
      <w:pPr>
        <w:pStyle w:val="Heading2"/>
      </w:pPr>
      <w:r>
        <w:t xml:space="preserve">Referências normativas e orientativas</w:t>
      </w:r>
    </w:p>
    <w:p>
      <w:pPr>
        <w:pStyle w:val="ListParagraph"/>
        <w:numPr>
          <w:ilvl w:val="0"/>
          <w:numId w:val="2"/>
        </w:numPr>
      </w:pPr>
      <w:r>
        <w:t xml:space="preserve">Lei Geral de Proteção de Dados Pessoais – Lei nº 13.709/2018: https://www.planalto.gov.br/ccivil_03/_ato2015-2018/2018/lei/l13709.htm</w:t>
      </w:r>
    </w:p>
    <w:p>
      <w:pPr>
        <w:pStyle w:val="ListParagraph"/>
        <w:numPr>
          <w:ilvl w:val="0"/>
          <w:numId w:val="2"/>
        </w:numPr>
      </w:pPr>
      <w:r>
        <w:t xml:space="preserve">Marco Civil da Internet – Lei nº 12.965/2014: https://www.planalto.gov.br/ccivil_03/_ato2011-2014/2014/lei/l12965.htm</w:t>
      </w:r>
    </w:p>
    <w:p>
      <w:pPr>
        <w:pStyle w:val="ListParagraph"/>
        <w:numPr>
          <w:ilvl w:val="0"/>
          <w:numId w:val="2"/>
        </w:numPr>
      </w:pPr>
      <w:r>
        <w:t xml:space="preserve">ANPD – Regulamento para agentes de tratamento de pequeno porte – Resolução CD/ANPD nº 2/2022: https://www.gov.br/anpd/pt-br/acesso-a-informacao/institucional/atos-normativos/regulamentacoes_anpd/resolucao-cd-anpd-no-2-de-27-de-janeiro-de-2022</w:t>
      </w:r>
    </w:p>
    <w:p>
      <w:pPr>
        <w:pStyle w:val="ListParagraph"/>
        <w:numPr>
          <w:ilvl w:val="0"/>
          <w:numId w:val="2"/>
        </w:numPr>
      </w:pPr>
      <w:r>
        <w:t xml:space="preserve">ANPD – Segurança da informação para agentes de tratamento de pequeno porte: https://www.gov.br/anpd/pt-br/centrais-de-conteudo/materiais-educativos-e-publicacoes/guia-vf.pdf</w:t>
      </w:r>
    </w:p>
    <w:p>
      <w:pPr>
        <w:pStyle w:val="ListParagraph"/>
        <w:numPr>
          <w:ilvl w:val="0"/>
          <w:numId w:val="2"/>
        </w:numPr>
      </w:pPr>
      <w:r>
        <w:t xml:space="preserve">ANPD – Regulamento de Comunicação de Incidente de Segurança – Resolução nº 15/2024: https://www.gov.br/anpd/pt-br/assuntos/noticias/anpd-aprova-o-regulamento-de-comunicacao-de-incidente-de-seguranca</w:t>
      </w:r>
    </w:p>
    <w:p>
      <w:pPr>
        <w:pStyle w:val="ListParagraph"/>
        <w:numPr>
          <w:ilvl w:val="0"/>
          <w:numId w:val="2"/>
        </w:numPr>
      </w:pPr>
      <w:r>
        <w:t xml:space="preserve">ANPD – Transferência Internacional de Dados – Resolução nº 19/2024: https://www.gov.br/anpd/pt-br/assuntos/assuntos-internacionais/transferencia-internacional-de-dados</w:t>
      </w:r>
    </w:p>
    <w:p>
      <w:pPr>
        <w:spacing w:after="120" w:line="264"/>
      </w:pPr>
      <w:r>
        <w:t xml:space="preserve">— Fim da Política e dos Termos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rPr>
      <w:t xml:space="preserve">Página </w:t>
    </w:r>
    <w:r>
      <w:rPr>
        <w:color w:val="66666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rPr>
        <w:b/>
        <w:bCs/>
        <w:color w:val="6B4936"/>
      </w:rPr>
      <w:t xml:space="preserve">LASTRO</w:t>
    </w:r>
    <w:r>
      <w:rPr>
        <w:color w:val="666666"/>
      </w:rPr>
      <w:t xml:space="preserve">  |  Documento jurídico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60" w:line="2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02C"/>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b/>
      <w:bCs/>
      <w:color w:val="3E6652"/>
      <w:sz w:val="32"/>
      <w:szCs w:val="32"/>
    </w:rPr>
  </w:style>
  <w:style w:type="paragraph" w:styleId="Heading2">
    <w:name w:val="Heading 2"/>
    <w:basedOn w:val="Normal"/>
    <w:next w:val="Normal"/>
    <w:qFormat/>
    <w:pPr>
      <w:keepNext/>
      <w:spacing w:after="120" w:before="240"/>
    </w:pPr>
    <w:rPr>
      <w:b/>
      <w:bCs/>
      <w:color w:val="3E6652"/>
      <w:sz w:val="26"/>
      <w:szCs w:val="26"/>
    </w:rPr>
  </w:style>
  <w:style w:type="paragraph" w:styleId="Heading3">
    <w:name w:val="Heading 3"/>
    <w:basedOn w:val="Normal"/>
    <w:next w:val="Normal"/>
    <w:qFormat/>
    <w:pPr>
      <w:keepNext/>
      <w:spacing w:after="80" w:before="160"/>
    </w:pPr>
    <w:rPr>
      <w:b/>
      <w:bCs/>
      <w:color w:val="6B49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Privacidade, LGPD e Termos de Uso</dc:title>
  <dc:creator>LASTRO</dc:creator>
  <dc:description>Documento jurídico canônico do LASTRO</dc:description>
  <cp:lastModifiedBy>Un-named</cp:lastModifiedBy>
  <cp:revision>1</cp:revision>
  <dcterms:created xsi:type="dcterms:W3CDTF">2026-08-09T16:53:45.627Z</dcterms:created>
  <dcterms:modified xsi:type="dcterms:W3CDTF">2026-08-09T16:53:45.627Z</dcterms:modified>
</cp:coreProperties>
</file>

<file path=docProps/custom.xml><?xml version="1.0" encoding="utf-8"?>
<Properties xmlns="http://schemas.openxmlformats.org/officeDocument/2006/custom-properties" xmlns:vt="http://schemas.openxmlformats.org/officeDocument/2006/docPropsVTypes"/>
</file>