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rFonts w:ascii="Arial" w:cs="Arial" w:eastAsia="Arial" w:hAnsi="Arial"/>
          <w:b/>
          <w:bCs/>
          <w:color w:val="0C544E"/>
          <w:sz w:val="64"/>
          <w:szCs w:val="64"/>
        </w:rPr>
        <w:t xml:space="preserve">colt</w:t>
      </w:r>
    </w:p>
    <w:p>
      <w:pPr>
        <w:pBdr>
          <w:bottom w:val="single" w:color="00D7BD" w:sz="18" w:space="6"/>
        </w:pBdr>
        <w:spacing w:after="0" w:before="40"/>
      </w:pPr>
      <w:r>
        <w:rPr>
          <w:b/>
          <w:bCs/>
          <w:color w:val="5B6470"/>
          <w:spacing w:val="30"/>
          <w:sz w:val="16"/>
          <w:szCs w:val="16"/>
        </w:rPr>
        <w:t xml:space="preserve">TECHNOLOGY SERVICES  ·  CYBER ADVISORY</w:t>
      </w:r>
    </w:p>
    <w:p>
      <w:pPr>
        <w:spacing w:after="520"/>
      </w:pPr>
    </w:p>
    <w:p>
      <w:pPr>
        <w:spacing w:after="60"/>
      </w:pPr>
      <w:r>
        <w:rPr>
          <w:b/>
          <w:bCs/>
          <w:color w:val="00D7BD"/>
          <w:spacing w:val="16"/>
          <w:sz w:val="20"/>
          <w:szCs w:val="20"/>
        </w:rPr>
        <w:t xml:space="preserve">BREACH &amp; ATTACK SIMULATION — THE A-TO-Z BIBLE</w:t>
      </w:r>
    </w:p>
    <w:p>
      <w:pPr>
        <w:spacing w:after="60"/>
      </w:pPr>
      <w:r>
        <w:rPr>
          <w:b/>
          <w:bCs/>
          <w:color w:val="121212"/>
          <w:sz w:val="46"/>
          <w:szCs w:val="46"/>
        </w:rPr>
        <w:t xml:space="preserve">Autonomous, Self-Updating BAS for Redevco</w:t>
      </w:r>
    </w:p>
    <w:p>
      <w:pPr>
        <w:spacing w:after="280"/>
      </w:pPr>
      <w:r>
        <w:rPr>
          <w:b/>
          <w:bCs/>
          <w:color w:val="0C544E"/>
          <w:sz w:val="26"/>
          <w:szCs w:val="26"/>
        </w:rPr>
        <w:t xml:space="preserve">Infection Monkey + a QWEN 3.6 / Hermes Digital-Twin Attacker</w:t>
      </w:r>
    </w:p>
    <w:p>
      <w:pPr>
        <w:spacing w:after="120"/>
      </w:pP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050"/>
        <w:gridCol w:w="7310"/>
      </w:tblGrid>
      <w:tr>
        <w:trPr>
          <w:tblHeader/>
        </w:trPr>
        <w:tc>
          <w:tcPr>
            <w:tcW w:type="dxa" w:w="205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Subject</w:t>
            </w:r>
          </w:p>
        </w:tc>
        <w:tc>
          <w:tcPr>
            <w:tcW w:type="dxa" w:w="731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End-to-end design and operating guide for continuous, AI-augmented Breach &amp; Attack Simulation across the Redevco estate</w:t>
            </w:r>
          </w:p>
        </w:tc>
      </w:tr>
      <w:tr>
        <w:trPr>
          <w:tblHeader w:val="false"/>
        </w:trPr>
        <w:tc>
          <w:tcPr>
            <w:tcW w:type="dxa" w:w="205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Engine</w:t>
            </w:r>
          </w:p>
        </w:tc>
        <w:tc>
          <w:tcPr>
            <w:tcW w:type="dxa" w:w="731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Infection Monkey (Akamai/Guardicore) — open-source adversary emulation, MITRE ATT&amp;CK-mapped</w:t>
            </w:r>
          </w:p>
        </w:tc>
      </w:tr>
      <w:tr>
        <w:trPr>
          <w:tblHeader w:val="false"/>
        </w:trPr>
        <w:tc>
          <w:tcPr>
            <w:tcW w:type="dxa" w:w="205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Autonomy layer</w:t>
            </w:r>
          </w:p>
        </w:tc>
        <w:tc>
          <w:tcPr>
            <w:tcW w:type="dxa" w:w="731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QWEN 3.6 + Hermes LLMs — local hardware or Redevco's chosen cloud — as a self-updating internal-hacker digital twin</w:t>
            </w:r>
          </w:p>
        </w:tc>
      </w:tr>
      <w:tr>
        <w:trPr>
          <w:tblHeader w:val="false"/>
        </w:trPr>
        <w:tc>
          <w:tcPr>
            <w:tcW w:type="dxa" w:w="205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Audience</w:t>
            </w:r>
          </w:p>
        </w:tc>
        <w:tc>
          <w:tcPr>
            <w:tcW w:type="dxa" w:w="731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Redevco IT / Infrastructure &amp; Security; Colt + S4Biz engineering</w:t>
            </w:r>
          </w:p>
        </w:tc>
      </w:tr>
      <w:tr>
        <w:trPr>
          <w:tblHeader w:val="false"/>
        </w:trPr>
        <w:tc>
          <w:tcPr>
            <w:tcW w:type="dxa" w:w="205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Version</w:t>
            </w:r>
          </w:p>
        </w:tc>
        <w:tc>
          <w:tcPr>
            <w:tcW w:type="dxa" w:w="731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1.0  ·  June 2026  ·  CONFIDENTIAL</w:t>
            </w:r>
          </w:p>
        </w:tc>
      </w:tr>
      <w:tr>
        <w:trPr>
          <w:tblHeader w:val="false"/>
        </w:trPr>
        <w:tc>
          <w:tcPr>
            <w:tcW w:type="dxa" w:w="205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Author</w:t>
            </w:r>
          </w:p>
        </w:tc>
        <w:tc>
          <w:tcPr>
            <w:tcW w:type="dxa" w:w="731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Colt Technology Services — Cyber Advisory, in partnership with S4Biz (Stars4Business)</w:t>
            </w:r>
          </w:p>
        </w:tc>
      </w:tr>
    </w:tbl>
    <w:p>
      <w:pPr>
        <w:spacing w:after="180"/>
      </w:pPr>
    </w:p>
    <w:p>
      <w:r>
        <w:rPr>
          <w:i/>
          <w:iCs/>
          <w:color w:val="5B6470"/>
          <w:sz w:val="16"/>
          <w:szCs w:val="16"/>
        </w:rPr>
        <w:t xml:space="preserve">This white paper is an advisory and educational resource. All BAS activity is the customer's responsibility and must be properly authorised. Infection Monkey is third-party GPLv3 software; QWEN and Hermes are third-party models under their own licences. See Section 2.</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Scope</w:t>
      </w:r>
    </w:p>
    <w:p>
      <w:pPr>
        <w:spacing w:after="140" w:line="276"/>
      </w:pPr>
      <w:r>
        <w:t xml:space="preserve">This document is a complete operational guide for conducting Breach &amp; Attack Simulation (BAS) against Redevco's environment using </w:t>
      </w:r>
      <w:r>
        <w:rPr>
          <w:b/>
          <w:bCs/>
        </w:rPr>
        <w:t xml:space="preserve">Infection Monkey</w:t>
      </w:r>
      <w:r>
        <w:t xml:space="preserve">, an open-source adversary-emulation platform created by Akamai (formerly Guardicore), and for elevating that capability into a </w:t>
      </w:r>
      <w:r>
        <w:rPr>
          <w:b/>
          <w:bCs/>
        </w:rPr>
        <w:t xml:space="preserve">continuous, self-updating, AI-driven validation programme</w:t>
      </w:r>
      <w:r>
        <w:t xml:space="preserve"> using locally or cloud-hosted large language models (QWEN 3.6 and Hermes) acting as an internal-hacker digital twin.</w:t>
      </w:r>
    </w:p>
    <w:p>
      <w:pPr>
        <w:spacing w:after="140" w:line="276"/>
      </w:pPr>
      <w:r>
        <w:t xml:space="preserve">The objective is to prove — repeatedly and on demand — that Redevco's defences detect and stop real-world attack techniques, and to remediate any gaps before a real adversary exploits them. This matters because Redevco's recent external assessment surfaced live exposures (an internet-facing automation hub, an employee time-tracking portal leaking internal systems and the DATEV payroll path, an end-of-life web server on the acquired Roebuck estate, an exposed VoIP console and a weak mail gateway) — and because the single most important lesson from that assessment is that a </w:t>
      </w:r>
      <w:r>
        <w:rPr>
          <w:b/>
          <w:bCs/>
        </w:rPr>
        <w:t xml:space="preserve">point-in-time test cannot keep up with a continuously changing attack surface.</w:t>
      </w:r>
    </w:p>
    <w:p>
      <w:pPr>
        <w:spacing w:after="140" w:line="276"/>
      </w:pPr>
      <w:r>
        <w:rPr>
          <w:b/>
          <w:bCs/>
        </w:rPr>
        <w:t xml:space="preserve">This is not a theoretical overview. </w:t>
      </w:r>
      <w:r>
        <w:t xml:space="preserve">Every section contains concrete configuration, deployment steps, scenarios and remediation guidance specific to Redevco, plus a full architecture for the autonomous AI layer that keeps the simulation current with the threat landscape 24/7.</w:t>
      </w:r>
    </w:p>
    <w:p>
      <w:pPr>
        <w:pStyle w:val="Heading2"/>
      </w:pPr>
      <w:r>
        <w:t xml:space="preserve">1.1 What Infection Monkey tests</w:t>
      </w:r>
    </w:p>
    <w:p>
      <w:pPr>
        <w:spacing w:after="140" w:line="276"/>
      </w:pPr>
      <w:r>
        <w:t xml:space="preserve">Infection Monkey is fundamentally different from a vulnerability scanner. It does not merely report that a weakness exists — it actively attempts to exploit it, propagate, steal credentials and move laterally, exactly as a real attacker would, but safely and non-destructively. It tests, among others:</w:t>
      </w:r>
    </w:p>
    <w:p>
      <w:pPr>
        <w:pStyle w:val="ListParagraph"/>
        <w:numPr>
          <w:ilvl w:val="0"/>
          <w:numId w:val="2"/>
        </w:numPr>
        <w:spacing w:after="56" w:line="264"/>
      </w:pPr>
      <w:r>
        <w:rPr>
          <w:b/>
          <w:bCs/>
        </w:rPr>
        <w:t xml:space="preserve">Exploitation &amp; propagation </w:t>
      </w:r>
      <w:r>
        <w:t xml:space="preserve">across hosts using real TTPs (SMB, SSH, WMI, web-app, Log4Shell-style).</w:t>
      </w:r>
    </w:p>
    <w:p>
      <w:pPr>
        <w:pStyle w:val="ListParagraph"/>
        <w:numPr>
          <w:ilvl w:val="0"/>
          <w:numId w:val="2"/>
        </w:numPr>
        <w:spacing w:after="56" w:line="264"/>
      </w:pPr>
      <w:r>
        <w:rPr>
          <w:b/>
          <w:bCs/>
        </w:rPr>
        <w:t xml:space="preserve">Credential theft </w:t>
      </w:r>
      <w:r>
        <w:t xml:space="preserve">via Mimikatz-style LSASS memory dumps and reuse.</w:t>
      </w:r>
    </w:p>
    <w:p>
      <w:pPr>
        <w:pStyle w:val="ListParagraph"/>
        <w:numPr>
          <w:ilvl w:val="0"/>
          <w:numId w:val="2"/>
        </w:numPr>
        <w:spacing w:after="56" w:line="264"/>
      </w:pPr>
      <w:r>
        <w:rPr>
          <w:b/>
          <w:bCs/>
        </w:rPr>
        <w:t xml:space="preserve">Lateral movement </w:t>
      </w:r>
      <w:r>
        <w:t xml:space="preserve">across network segments and trust boundaries.</w:t>
      </w:r>
    </w:p>
    <w:p>
      <w:pPr>
        <w:pStyle w:val="ListParagraph"/>
        <w:numPr>
          <w:ilvl w:val="0"/>
          <w:numId w:val="2"/>
        </w:numPr>
        <w:spacing w:after="56" w:line="264"/>
      </w:pPr>
      <w:r>
        <w:rPr>
          <w:b/>
          <w:bCs/>
        </w:rPr>
        <w:t xml:space="preserve">Ransomware simulation </w:t>
      </w:r>
      <w:r>
        <w:t xml:space="preserve">(safe, non-destructive encryption patterns).</w:t>
      </w:r>
    </w:p>
    <w:p>
      <w:pPr>
        <w:pStyle w:val="ListParagraph"/>
        <w:numPr>
          <w:ilvl w:val="0"/>
          <w:numId w:val="2"/>
        </w:numPr>
        <w:spacing w:after="56" w:line="264"/>
      </w:pPr>
      <w:r>
        <w:rPr>
          <w:b/>
          <w:bCs/>
        </w:rPr>
        <w:t xml:space="preserve">Zero Trust &amp; segmentation validation. </w:t>
      </w:r>
    </w:p>
    <w:p>
      <w:pPr>
        <w:spacing w:after="140" w:line="276"/>
      </w:pPr>
      <w:r>
        <w:t xml:space="preserve">All findings are mapped to the </w:t>
      </w:r>
      <w:r>
        <w:rPr>
          <w:b/>
          <w:bCs/>
        </w:rPr>
        <w:t xml:space="preserve">MITRE ATT&amp;CK</w:t>
      </w:r>
      <w:r>
        <w:t xml:space="preserve"> framework for standardised, board-ready reporting.</w:t>
      </w:r>
    </w:p>
    <w:p>
      <w:pPr>
        <w:pStyle w:val="Heading2"/>
      </w:pPr>
      <w:r>
        <w:t xml:space="preserve">1.2 What the autonomous AI layer adds</w:t>
      </w:r>
    </w:p>
    <w:p>
      <w:pPr>
        <w:spacing w:after="140" w:line="276"/>
      </w:pPr>
      <w:r>
        <w:t xml:space="preserve">A stock BAS tool runs the scenarios you give it. The threat landscape, however, changes daily. The autonomy layer in this paper closes that gap: local LLMs continuously ingest fresh threat and exploit intelligence, write new Infection Monkey add-ons, refresh scenarios, and re-run the simulation around the clock — turning a periodic exercise into a living, self-improving internal red team that never sleeps and never leaves Redevco's control.</w:t>
      </w:r>
    </w:p>
    <w:p>
      <w:r>
        <w:br w:type="page"/>
      </w:r>
    </w:p>
    <w:p>
      <w:pPr>
        <w:pStyle w:val="Heading1"/>
      </w:pPr>
      <w:r>
        <w:t xml:space="preserve">2. Disclaimer: Responsibility &amp; Liability</w:t>
      </w:r>
    </w:p>
    <w:p>
      <w:pPr>
        <w:pStyle w:val="Heading2"/>
      </w:pPr>
      <w:r>
        <w:t xml:space="preserve">2.1 Customer responsibility</w:t>
      </w:r>
    </w:p>
    <w:p>
      <w:pPr>
        <w:spacing w:after="140" w:line="276"/>
      </w:pPr>
      <w:r>
        <w:rPr>
          <w:b/>
          <w:bCs/>
        </w:rPr>
        <w:t xml:space="preserve">All breach-and-attack-simulation activities described in this document are the full and sole responsibility of the customer (Redevco). </w:t>
      </w:r>
      <w:r>
        <w:t xml:space="preserve">Colt Technology Services provides this white paper as an advisory and educational resource only.</w:t>
      </w:r>
    </w:p>
    <w:p>
      <w:pPr>
        <w:spacing w:after="140" w:line="276"/>
      </w:pPr>
      <w:r>
        <w:t xml:space="preserve">Redevco accepts full responsibility for: the decision to deploy and execute Infection Monkey or any BAS/AI tooling, in sandbox or production; obtaining all internal authorisations (Head of Infrastructure / IT, CISO, and Board as required by governance); compliance with all applicable laws — including EU GDPR/DSGVO, the German BDSG, NIS2/BSIG, DORA and any local rules in the jurisdictions tested; notifying all relevant parties (internal teams, SOC/MSSP, hosting and SaaS providers); any impact to production systems, performance, availability or data integrity; ensuring adequate backup and recovery before any production test; and any regulatory consequences arising from the activity.</w:t>
      </w:r>
    </w:p>
    <w:p>
      <w:pPr>
        <w:pStyle w:val="Heading2"/>
      </w:pPr>
      <w:r>
        <w:t xml:space="preserve">2.2 Colt's role</w:t>
      </w:r>
    </w:p>
    <w:p>
      <w:pPr>
        <w:spacing w:after="140" w:line="276"/>
      </w:pPr>
      <w:r>
        <w:t xml:space="preserve">Colt's role is limited to: advisory and consulting (this paper and related material); technical assistance with configuration and execution when requested; analysing results and recommending remediation; and offering managed BAS-as-a-Service under a separate agreement. Colt does not warrant that Infection Monkey, QWEN, Hermes or any tool is defect-free or that findings represent a complete assessment of all vulnerabilities.</w:t>
      </w:r>
    </w:p>
    <w:p>
      <w:pPr>
        <w:pStyle w:val="Heading2"/>
      </w:pPr>
      <w:r>
        <w:t xml:space="preserve">2.3 Third-party software &amp; models</w:t>
      </w:r>
    </w:p>
    <w:p>
      <w:pPr>
        <w:spacing w:after="140" w:line="276"/>
      </w:pPr>
      <w:r>
        <w:t xml:space="preserve">Infection Monkey is open-source software licensed under GPLv3 by Akamai. QWEN models are released by Alibaba under their respective licences; Hermes models are released by Nous Research under their respective licences. Redevco must review and comply with each licence before deployment. Colt is not the developer, maintainer or licensor of any of these.</w:t>
      </w:r>
    </w:p>
    <w:tbl>
      <w:tblPr>
        <w:tblW w:type="dxa" w:w="9360"/>
        <w:tblBorders>
          <w:top w:val="none"/>
          <w:left w:val="none"/>
          <w:bottom w:val="none"/>
          <w:right w:val="none"/>
          <w:insideH w:val="none"/>
          <w:insideV w:val="none"/>
        </w:tblBorders>
      </w:tblPr>
      <w:tblGrid>
        <w:gridCol w:w="80"/>
        <w:gridCol w:w="9280"/>
      </w:tblGrid>
      <w:tr>
        <w:tc>
          <w:tcPr>
            <w:tcW w:type="dxa" w:w="80"/>
            <w:shd w:fill="FF7900" w:val="clear"/>
          </w:tcPr>
          <w:p>
            <w:r>
              <w:t xml:space="preserve"/>
            </w:r>
          </w:p>
        </w:tc>
        <w:tc>
          <w:tcPr>
            <w:tcW w:type="dxa" w:w="9280"/>
            <w:shd w:fill="ECECED" w:val="clear"/>
            <w:tcMar>
              <w:top w:type="dxa" w:w="100"/>
              <w:left w:type="dxa" w:w="150"/>
              <w:bottom w:type="dxa" w:w="100"/>
              <w:right w:type="dxa" w:w="130"/>
            </w:tcMar>
          </w:tcPr>
          <w:p>
            <w:pPr>
              <w:spacing w:after="50"/>
            </w:pPr>
            <w:r>
              <w:rPr>
                <w:b/>
                <w:bCs/>
                <w:color w:val="0C544E"/>
                <w:sz w:val="19"/>
                <w:szCs w:val="19"/>
              </w:rPr>
              <w:t xml:space="preserve">Strong recommendation</w:t>
            </w:r>
          </w:p>
          <w:p>
            <w:pPr>
              <w:spacing w:after="0" w:line="268"/>
            </w:pPr>
            <w:r>
              <w:rPr>
                <w:sz w:val="18"/>
                <w:szCs w:val="18"/>
              </w:rPr>
              <w:t xml:space="preserve">Consult Redevco's legal/DPO function before BAS testing, particularly in production; verify cyber-insurance coverage for authorised security testing and for autonomous tooling; conduct all initial testing in a sandbox; and keep documented evidence of all authorisations and notifications as a compliance record. The autonomy layer in Section 11 must run inside explicit, signed-off guardrails (Section 11.7).</w:t>
            </w:r>
          </w:p>
        </w:tc>
      </w:tr>
    </w:tbl>
    <w:p>
      <w:r>
        <w:br w:type="page"/>
      </w:r>
    </w:p>
    <w:p>
      <w:pPr>
        <w:pStyle w:val="Heading1"/>
      </w:pPr>
      <w:r>
        <w:t xml:space="preserve">3. MANDATORY: Production Testing Requirements</w:t>
      </w:r>
    </w:p>
    <w:p>
      <w:pPr>
        <w:spacing w:after="140" w:line="276"/>
      </w:pPr>
      <w:r>
        <w:rPr>
          <w:b/>
          <w:bCs/>
        </w:rPr>
        <w:t xml:space="preserve">Testing against Redevco production MUST meet all of the following before execution. These are non-negotiable. Failure to meet any single requirement means the production test must not proceed.</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500"/>
        <w:gridCol w:w="2200"/>
        <w:gridCol w:w="6660"/>
      </w:tblGrid>
      <w:tr>
        <w:trPr>
          <w:tblHeader/>
        </w:trPr>
        <w:tc>
          <w:tcPr>
            <w:tcW w:type="dxa" w:w="5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w:t>
            </w:r>
          </w:p>
        </w:tc>
        <w:tc>
          <w:tcPr>
            <w:tcW w:type="dxa" w:w="22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Requirement</w:t>
            </w:r>
          </w:p>
        </w:tc>
        <w:tc>
          <w:tcPr>
            <w:tcW w:type="dxa" w:w="666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Detail</w:t>
            </w:r>
          </w:p>
        </w:tc>
      </w:tr>
      <w:tr>
        <w:trPr>
          <w:tblHeader w:val="false"/>
        </w:trPr>
        <w:tc>
          <w:tcPr>
            <w:tcW w:type="dxa" w:w="5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1</w:t>
            </w:r>
          </w:p>
        </w:tc>
        <w:tc>
          <w:tcPr>
            <w:tcW w:type="dxa" w:w="22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Written authorisation</w:t>
            </w:r>
          </w:p>
        </w:tc>
        <w:tc>
          <w:tcPr>
            <w:tcW w:type="dxa" w:w="66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Signed approval from the Head of Infrastructure/IT (economic buyer) specifying date/time window, in-scope segments, approved exploiters/payloads and an emergency contact</w:t>
            </w:r>
          </w:p>
        </w:tc>
      </w:tr>
      <w:tr>
        <w:trPr>
          <w:tblHeader w:val="false"/>
        </w:trPr>
        <w:tc>
          <w:tcPr>
            <w:tcW w:type="dxa" w:w="5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2</w:t>
            </w:r>
          </w:p>
        </w:tc>
        <w:tc>
          <w:tcPr>
            <w:tcW w:type="dxa" w:w="22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Maintenance window</w:t>
            </w:r>
          </w:p>
        </w:tc>
        <w:tc>
          <w:tcPr>
            <w:tcW w:type="dxa" w:w="66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Conduct within an approved change window, with time for execution AND rollback/cleanup</w:t>
            </w:r>
          </w:p>
        </w:tc>
      </w:tr>
      <w:tr>
        <w:trPr>
          <w:tblHeader w:val="false"/>
        </w:trPr>
        <w:tc>
          <w:tcPr>
            <w:tcW w:type="dxa" w:w="5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3</w:t>
            </w:r>
          </w:p>
        </w:tc>
        <w:tc>
          <w:tcPr>
            <w:tcW w:type="dxa" w:w="22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Full notification</w:t>
            </w:r>
          </w:p>
        </w:tc>
        <w:tc>
          <w:tcPr>
            <w:tcW w:type="dxa" w:w="66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Notify infra, security, and the SOC/MSSP ≥5 business days ahead — critically, the SOC must know a BAS exercise is planned, or it will treat Monkey activity as a real attack</w:t>
            </w:r>
          </w:p>
        </w:tc>
      </w:tr>
      <w:tr>
        <w:trPr>
          <w:tblHeader w:val="false"/>
        </w:trPr>
        <w:tc>
          <w:tcPr>
            <w:tcW w:type="dxa" w:w="5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4</w:t>
            </w:r>
          </w:p>
        </w:tc>
        <w:tc>
          <w:tcPr>
            <w:tcW w:type="dxa" w:w="22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Rollback / kill switch</w:t>
            </w:r>
          </w:p>
        </w:tc>
        <w:tc>
          <w:tcPr>
            <w:tcW w:type="dxa" w:w="66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Documented plan to “Kill All Agents”, remove artefacts, verify no agent persists, and restore any disrupted service</w:t>
            </w:r>
          </w:p>
        </w:tc>
      </w:tr>
      <w:tr>
        <w:trPr>
          <w:tblHeader w:val="false"/>
        </w:trPr>
        <w:tc>
          <w:tcPr>
            <w:tcW w:type="dxa" w:w="5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5</w:t>
            </w:r>
          </w:p>
        </w:tc>
        <w:tc>
          <w:tcPr>
            <w:tcW w:type="dxa" w:w="22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Scope limits</w:t>
            </w:r>
          </w:p>
        </w:tc>
        <w:tc>
          <w:tcPr>
            <w:tcW w:type="dxa" w:w="66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Explicitly EXCLUDE third-party-hosted SaaS without provider consent (e.g. M365, Yardi, DATEV), partner networks, and any system processing live payroll/PII unless a DPIA is complete</w:t>
            </w:r>
          </w:p>
        </w:tc>
      </w:tr>
      <w:tr>
        <w:trPr>
          <w:tblHeader w:val="false"/>
        </w:trPr>
        <w:tc>
          <w:tcPr>
            <w:tcW w:type="dxa" w:w="5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6</w:t>
            </w:r>
          </w:p>
        </w:tc>
        <w:tc>
          <w:tcPr>
            <w:tcW w:type="dxa" w:w="22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Insurance &amp; legal</w:t>
            </w:r>
          </w:p>
        </w:tc>
        <w:tc>
          <w:tcPr>
            <w:tcW w:type="dxa" w:w="66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Confirm cyber-insurance covers authorised testing and autonomous tooling; legal/DPO sign-off recorded</w:t>
            </w:r>
          </w:p>
        </w:tc>
      </w:tr>
    </w:tbl>
    <w:p>
      <w:pPr>
        <w:spacing w:after="40"/>
      </w:pPr>
    </w:p>
    <w:p>
      <w:pPr>
        <w:pStyle w:val="Heading2"/>
      </w:pPr>
      <w:r>
        <w:t xml:space="preserve">3.1 Communication plan</w:t>
      </w:r>
    </w:p>
    <w:p>
      <w:pPr>
        <w:pStyle w:val="ListParagraph"/>
        <w:numPr>
          <w:ilvl w:val="0"/>
          <w:numId w:val="2"/>
        </w:numPr>
        <w:spacing w:after="56" w:line="264"/>
      </w:pPr>
      <w:r>
        <w:rPr>
          <w:b/>
          <w:bCs/>
        </w:rPr>
        <w:t xml:space="preserve">T-5 days: </w:t>
      </w:r>
      <w:r>
        <w:t xml:space="preserve">written notice to all parties with scope, expected traffic, Monkey Island IP and emergency contacts.</w:t>
      </w:r>
    </w:p>
    <w:p>
      <w:pPr>
        <w:pStyle w:val="ListParagraph"/>
        <w:numPr>
          <w:ilvl w:val="0"/>
          <w:numId w:val="2"/>
        </w:numPr>
        <w:spacing w:after="56" w:line="264"/>
      </w:pPr>
      <w:r>
        <w:rPr>
          <w:b/>
          <w:bCs/>
        </w:rPr>
        <w:t xml:space="preserve">T-1 day: </w:t>
      </w:r>
      <w:r>
        <w:t xml:space="preserve">confirm acknowledgements; verify window; confirm sandbox-validated config; confirm two people know the emergency-stop.</w:t>
      </w:r>
    </w:p>
    <w:p>
      <w:pPr>
        <w:pStyle w:val="ListParagraph"/>
        <w:numPr>
          <w:ilvl w:val="0"/>
          <w:numId w:val="2"/>
        </w:numPr>
        <w:spacing w:after="56" w:line="264"/>
      </w:pPr>
      <w:r>
        <w:rPr>
          <w:b/>
          <w:bCs/>
        </w:rPr>
        <w:t xml:space="preserve">T-zero: </w:t>
      </w:r>
      <w:r>
        <w:t xml:space="preserve">brief call with infra, Colt engineer and SOC liaison; confirm stable; begin; monitor in real time on an open channel.</w:t>
      </w:r>
    </w:p>
    <w:p>
      <w:pPr>
        <w:pStyle w:val="ListParagraph"/>
        <w:numPr>
          <w:ilvl w:val="0"/>
          <w:numId w:val="2"/>
        </w:numPr>
        <w:spacing w:after="56" w:line="264"/>
      </w:pPr>
      <w:r>
        <w:rPr>
          <w:b/>
          <w:bCs/>
        </w:rPr>
        <w:t xml:space="preserve">T-plus: </w:t>
      </w:r>
      <w:r>
        <w:t xml:space="preserve">“Kill All Agents”; verify stopped; run cleanup; export reports; notify all parties complete.</w:t>
      </w:r>
    </w:p>
    <w:p>
      <w:pPr>
        <w:pStyle w:val="Heading2"/>
      </w:pPr>
      <w:r>
        <w:t xml:space="preserve">3.2 What can go wrong (and the mitigation)</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3200"/>
        <w:gridCol w:w="6160"/>
      </w:tblGrid>
      <w:tr>
        <w:trPr>
          <w:tblHeader/>
        </w:trPr>
        <w:tc>
          <w:tcPr>
            <w:tcW w:type="dxa" w:w="32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Risk</w:t>
            </w:r>
          </w:p>
        </w:tc>
        <w:tc>
          <w:tcPr>
            <w:tcW w:type="dxa" w:w="616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Mitigation</w:t>
            </w:r>
          </w:p>
        </w:tc>
      </w:tr>
      <w:tr>
        <w:trPr>
          <w:tblHeader w:val="false"/>
        </w:trPr>
        <w:tc>
          <w:tcPr>
            <w:tcW w:type="dxa" w:w="32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IDS/IPS alert storm</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Ensure log storage headroom; rate-limit scanning; start narrow</w:t>
            </w:r>
          </w:p>
        </w:tc>
      </w:tr>
      <w:tr>
        <w:trPr>
          <w:tblHeader w:val="false"/>
        </w:trPr>
        <w:tc>
          <w:tcPr>
            <w:tcW w:type="dxa" w:w="32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SOC false-alarm escalation</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Notify the SOC/MSSP per Requirement 3</w:t>
            </w:r>
          </w:p>
        </w:tc>
      </w:tr>
      <w:tr>
        <w:trPr>
          <w:tblHeader w:val="false"/>
        </w:trPr>
        <w:tc>
          <w:tcPr>
            <w:tcW w:type="dxa" w:w="32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Credential lockout</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Adjust lockout thresholds in-window or exclude production AD accounts</w:t>
            </w:r>
          </w:p>
        </w:tc>
      </w:tr>
      <w:tr>
        <w:trPr>
          <w:tblHeader w:val="false"/>
        </w:trPr>
        <w:tc>
          <w:tcPr>
            <w:tcW w:type="dxa" w:w="32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Network performance impact</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Rate-limit; cap simultaneous exploit threads; start with small scopes</w:t>
            </w:r>
          </w:p>
        </w:tc>
      </w:tr>
      <w:tr>
        <w:trPr>
          <w:tblHeader w:val="false"/>
        </w:trPr>
        <w:tc>
          <w:tcPr>
            <w:tcW w:type="dxa" w:w="32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Agent persistence</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Post-test scan to confirm no Monkey process remains</w:t>
            </w:r>
          </w:p>
        </w:tc>
      </w:tr>
    </w:tbl>
    <w:p>
      <w:r>
        <w:br w:type="page"/>
      </w:r>
    </w:p>
    <w:p>
      <w:pPr>
        <w:pStyle w:val="Heading1"/>
      </w:pPr>
      <w:r>
        <w:t xml:space="preserve">4. Sandbox Environment Recommendations</w:t>
      </w:r>
    </w:p>
    <w:p>
      <w:pPr>
        <w:spacing w:after="140" w:line="276"/>
      </w:pPr>
      <w:r>
        <w:rPr>
          <w:b/>
          <w:bCs/>
        </w:rPr>
        <w:t xml:space="preserve">Sandbox first — always. </w:t>
      </w:r>
      <w:r>
        <w:t xml:space="preserve">While Infection Monkey is designed to be safe (it deliberately avoids crash-prone exploits like EternalBlue), best practice is to run all initial BAS in a lab that mirrors production. This lets the team learn Monkey's behaviour, tune SOC false positives, and test control changes without touching live systems.</w:t>
      </w:r>
    </w:p>
    <w:p>
      <w:pPr>
        <w:pStyle w:val="Heading2"/>
      </w:pPr>
      <w:r>
        <w:t xml:space="preserve">4.1 Building a Redevco-equivalent sandbox</w:t>
      </w:r>
    </w:p>
    <w:p>
      <w:pPr>
        <w:pStyle w:val="ListParagraph"/>
        <w:numPr>
          <w:ilvl w:val="0"/>
          <w:numId w:val="2"/>
        </w:numPr>
        <w:spacing w:after="56" w:line="264"/>
      </w:pPr>
      <w:r>
        <w:rPr>
          <w:b/>
          <w:bCs/>
        </w:rPr>
        <w:t xml:space="preserve">Identity &amp; mail plane: </w:t>
      </w:r>
      <w:r>
        <w:t xml:space="preserve">a test Microsoft 365 / Entra ID tenant mirroring Redevco's M365 / Exchange Online Protection configuration (mail security, conditional access).</w:t>
      </w:r>
    </w:p>
    <w:p>
      <w:pPr>
        <w:pStyle w:val="ListParagraph"/>
        <w:numPr>
          <w:ilvl w:val="0"/>
          <w:numId w:val="2"/>
        </w:numPr>
        <w:spacing w:after="56" w:line="264"/>
      </w:pPr>
      <w:r>
        <w:rPr>
          <w:b/>
          <w:bCs/>
        </w:rPr>
        <w:t xml:space="preserve">Edge plane: </w:t>
      </w:r>
      <w:r>
        <w:t xml:space="preserve">a Cloudflare-fronted test web app to mirror the corporate edge; an origin host behind it to model origin-leak scenarios.</w:t>
      </w:r>
    </w:p>
    <w:p>
      <w:pPr>
        <w:pStyle w:val="ListParagraph"/>
        <w:numPr>
          <w:ilvl w:val="0"/>
          <w:numId w:val="2"/>
        </w:numPr>
        <w:spacing w:after="56" w:line="264"/>
      </w:pPr>
      <w:r>
        <w:rPr>
          <w:b/>
          <w:bCs/>
        </w:rPr>
        <w:t xml:space="preserve">Automation node: </w:t>
      </w:r>
      <w:r>
        <w:t xml:space="preserve">a containerised n8n instance to model the C1 automation-hub finding and credential-store blast radius.</w:t>
      </w:r>
    </w:p>
    <w:p>
      <w:pPr>
        <w:pStyle w:val="ListParagraph"/>
        <w:numPr>
          <w:ilvl w:val="0"/>
          <w:numId w:val="2"/>
        </w:numPr>
        <w:spacing w:after="56" w:line="264"/>
      </w:pPr>
      <w:r>
        <w:rPr>
          <w:b/>
          <w:bCs/>
        </w:rPr>
        <w:t xml:space="preserve">Acquired-estate replica: </w:t>
      </w:r>
      <w:r>
        <w:t xml:space="preserve">a Linux/Apache/WordPress/PHP host and a Postfix/Dovecot mail host to model the Roebuck EOL web server (C3) and weak mail gateway (H2).</w:t>
      </w:r>
    </w:p>
    <w:p>
      <w:pPr>
        <w:pStyle w:val="ListParagraph"/>
        <w:numPr>
          <w:ilvl w:val="0"/>
          <w:numId w:val="2"/>
        </w:numPr>
        <w:spacing w:after="56" w:line="264"/>
      </w:pPr>
      <w:r>
        <w:rPr>
          <w:b/>
          <w:bCs/>
        </w:rPr>
        <w:t xml:space="preserve">Segments: </w:t>
      </w:r>
      <w:r>
        <w:t xml:space="preserve">VLANs for HQ servers, HQ users, management, the acquired estate, and an isolated Monkey Island test segment, with the same firewall/zone policy as production.</w:t>
      </w:r>
    </w:p>
    <w:p>
      <w:pPr>
        <w:pStyle w:val="ListParagraph"/>
        <w:numPr>
          <w:ilvl w:val="0"/>
          <w:numId w:val="2"/>
        </w:numPr>
        <w:spacing w:after="56" w:line="264"/>
      </w:pPr>
      <w:r>
        <w:rPr>
          <w:b/>
          <w:bCs/>
        </w:rPr>
        <w:t xml:space="preserve">SIEM: </w:t>
      </w:r>
      <w:r>
        <w:t xml:space="preserve">a test Microsoft Sentinel / Defender workspace to validate detections end-to-end.</w:t>
      </w:r>
    </w:p>
    <w:p>
      <w:pPr>
        <w:pStyle w:val="Heading2"/>
      </w:pPr>
      <w:r>
        <w:t xml:space="preserve">4.2 Sandbox test sequence</w:t>
      </w:r>
    </w:p>
    <w:p>
      <w:pPr>
        <w:spacing w:after="140" w:line="276"/>
      </w:pPr>
      <w:r>
        <w:t xml:space="preserve">Phase 0 — validate all sandbox components. Phase 1 — edge/web-app &amp; automation-hub scenarios. Phase 2 — identity, credential theft &amp; lateral movement. Phase 3 — segmentation, ransomware and Zero Trust. Phase 4 — apply remediations and re-test. Phase 5 — present results and obtain production approval.</w:t>
      </w:r>
    </w:p>
    <w:p>
      <w:r>
        <w:br w:type="page"/>
      </w:r>
    </w:p>
    <w:p>
      <w:pPr>
        <w:pStyle w:val="Heading1"/>
      </w:pPr>
      <w:r>
        <w:t xml:space="preserve">5. Redevco Target Environment</w:t>
      </w:r>
    </w:p>
    <w:p>
      <w:pPr>
        <w:spacing w:after="140" w:line="276"/>
      </w:pPr>
      <w:r>
        <w:t xml:space="preserve">BAS scope is defined by the estate. Redevco runs a well-defended corporate plane plus an exposure surface that lives “at the seams” — a third-party-hosted HR portal and the acquired Roebuck network that have not yet been folded behind the managed plane.</w:t>
      </w:r>
    </w:p>
    <w:p>
      <w:pPr>
        <w:pStyle w:val="Heading2"/>
      </w:pPr>
      <w:r>
        <w:t xml:space="preserve">5.1 The corporate plane (well-defended)</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600"/>
        <w:gridCol w:w="6760"/>
      </w:tblGrid>
      <w:tr>
        <w:trPr>
          <w:tblHeader/>
        </w:trPr>
        <w:tc>
          <w:tcPr>
            <w:tcW w:type="dxa" w:w="26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Function</w:t>
            </w:r>
          </w:p>
        </w:tc>
        <w:tc>
          <w:tcPr>
            <w:tcW w:type="dxa" w:w="676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Platform</w:t>
            </w:r>
          </w:p>
        </w:tc>
      </w:tr>
      <w:tr>
        <w:trPr>
          <w:tblHeader w:val="false"/>
        </w:trPr>
        <w:tc>
          <w:tcPr>
            <w:tcW w:type="dxa" w:w="26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Web edge</w:t>
            </w:r>
          </w:p>
        </w:tc>
        <w:tc>
          <w:tcPr>
            <w:tcW w:type="dxa" w:w="67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Cloudflare</w:t>
            </w:r>
          </w:p>
        </w:tc>
      </w:tr>
      <w:tr>
        <w:trPr>
          <w:tblHeader w:val="false"/>
        </w:trPr>
        <w:tc>
          <w:tcPr>
            <w:tcW w:type="dxa" w:w="26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Mail</w:t>
            </w:r>
          </w:p>
        </w:tc>
        <w:tc>
          <w:tcPr>
            <w:tcW w:type="dxa" w:w="67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Microsoft 365 / Exchange Online Protection</w:t>
            </w:r>
          </w:p>
        </w:tc>
      </w:tr>
      <w:tr>
        <w:trPr>
          <w:tblHeader w:val="false"/>
        </w:trPr>
        <w:tc>
          <w:tcPr>
            <w:tcW w:type="dxa" w:w="26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Authoritative DNS</w:t>
            </w:r>
          </w:p>
        </w:tc>
        <w:tc>
          <w:tcPr>
            <w:tcW w:type="dxa" w:w="67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Oracle Cloud Infrastructure DNS</w:t>
            </w:r>
          </w:p>
        </w:tc>
      </w:tr>
      <w:tr>
        <w:trPr>
          <w:tblHeader w:val="false"/>
        </w:trPr>
        <w:tc>
          <w:tcPr>
            <w:tcW w:type="dxa" w:w="26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PropTech / ERP</w:t>
            </w:r>
          </w:p>
        </w:tc>
        <w:tc>
          <w:tcPr>
            <w:tcW w:type="dxa" w:w="67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Yardi</w:t>
            </w:r>
          </w:p>
        </w:tc>
      </w:tr>
      <w:tr>
        <w:trPr>
          <w:tblHeader w:val="false"/>
        </w:trPr>
        <w:tc>
          <w:tcPr>
            <w:tcW w:type="dxa" w:w="26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Identity / SaaS</w:t>
            </w:r>
          </w:p>
        </w:tc>
        <w:tc>
          <w:tcPr>
            <w:tcW w:type="dxa" w:w="67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Microsoft 365 / Entra; plus KnowBe4, Adobe, Miro, Apple Business Manager (verification records observed)</w:t>
            </w:r>
          </w:p>
        </w:tc>
      </w:tr>
    </w:tbl>
    <w:p>
      <w:pPr>
        <w:spacing w:after="40"/>
      </w:pPr>
    </w:p>
    <w:p>
      <w:pPr>
        <w:pStyle w:val="Heading2"/>
      </w:pPr>
      <w:r>
        <w:t xml:space="preserve">5.2 The exposure surface (BAS priority targets)</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500"/>
        <w:gridCol w:w="2700"/>
        <w:gridCol w:w="6160"/>
      </w:tblGrid>
      <w:tr>
        <w:trPr>
          <w:tblHeader/>
        </w:trPr>
        <w:tc>
          <w:tcPr>
            <w:tcW w:type="dxa" w:w="5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Ref</w:t>
            </w:r>
          </w:p>
        </w:tc>
        <w:tc>
          <w:tcPr>
            <w:tcW w:type="dxa" w:w="27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Asset</w:t>
            </w:r>
          </w:p>
        </w:tc>
        <w:tc>
          <w:tcPr>
            <w:tcW w:type="dxa" w:w="616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Why it is a BAS target</w:t>
            </w:r>
          </w:p>
        </w:tc>
      </w:tr>
      <w:tr>
        <w:trPr>
          <w:tblHeader w:val="false"/>
        </w:trPr>
        <w:tc>
          <w:tcPr>
            <w:tcW w:type="dxa" w:w="5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C1</w:t>
            </w:r>
          </w:p>
        </w:tc>
        <w:tc>
          <w:tcPr>
            <w:tcW w:type="dxa" w:w="2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n8n workflow-automation hub (US PaaS)</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Automation hubs store credentials/API keys for connected systems — widest blast radius</w:t>
            </w:r>
          </w:p>
        </w:tc>
      </w:tr>
      <w:tr>
        <w:trPr>
          <w:tblHeader w:val="false"/>
        </w:trPr>
        <w:tc>
          <w:tcPr>
            <w:tcW w:type="dxa" w:w="5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C2</w:t>
            </w:r>
          </w:p>
        </w:tc>
        <w:tc>
          <w:tcPr>
            <w:tcW w:type="dxa" w:w="2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timecard-redevco.de (REINER SCT timeCard)</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Internet-facing HR/payroll portal leaking internal systems via CSP; recurrence must be continuously checked</w:t>
            </w:r>
          </w:p>
        </w:tc>
      </w:tr>
      <w:tr>
        <w:trPr>
          <w:tblHeader w:val="false"/>
        </w:trPr>
        <w:tc>
          <w:tcPr>
            <w:tcW w:type="dxa" w:w="5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C3</w:t>
            </w:r>
          </w:p>
        </w:tc>
        <w:tc>
          <w:tcPr>
            <w:tcW w:type="dxa" w:w="2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End-of-life web server (Roebuck)</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Unmaintained CMS co-located with mail; classic intrusion entry point</w:t>
            </w:r>
          </w:p>
        </w:tc>
      </w:tr>
      <w:tr>
        <w:trPr>
          <w:tblHeader w:val="false"/>
        </w:trPr>
        <w:tc>
          <w:tcPr>
            <w:tcW w:type="dxa" w:w="5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H1</w:t>
            </w:r>
          </w:p>
        </w:tc>
        <w:tc>
          <w:tcPr>
            <w:tcW w:type="dxa" w:w="2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3CX VoIP admin console</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Exposed PBX admin plane; known supply-chain target</w:t>
            </w:r>
          </w:p>
        </w:tc>
      </w:tr>
      <w:tr>
        <w:trPr>
          <w:tblHeader w:val="false"/>
        </w:trPr>
        <w:tc>
          <w:tcPr>
            <w:tcW w:type="dxa" w:w="5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H2</w:t>
            </w:r>
          </w:p>
        </w:tc>
        <w:tc>
          <w:tcPr>
            <w:tcW w:type="dxa" w:w="2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Roebuck mail gateway (weak TLS)</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BEC / wire-fraud enabler — the dominant real-estate loss vector</w:t>
            </w:r>
          </w:p>
        </w:tc>
      </w:tr>
    </w:tbl>
    <w:p>
      <w:pPr>
        <w:spacing w:after="40"/>
      </w:pPr>
    </w:p>
    <w:tbl>
      <w:tblPr>
        <w:tblW w:type="dxa" w:w="9360"/>
        <w:tblBorders>
          <w:top w:val="none"/>
          <w:left w:val="none"/>
          <w:bottom w:val="none"/>
          <w:right w:val="none"/>
          <w:insideH w:val="none"/>
          <w:insideV w:val="none"/>
        </w:tblBorders>
      </w:tblPr>
      <w:tblGrid>
        <w:gridCol w:w="80"/>
        <w:gridCol w:w="9280"/>
      </w:tblGrid>
      <w:tr>
        <w:tc>
          <w:tcPr>
            <w:tcW w:type="dxa" w:w="80"/>
            <w:shd w:fill="00D7BD" w:val="clear"/>
          </w:tcPr>
          <w:p>
            <w:r>
              <w:t xml:space="preserve"/>
            </w:r>
          </w:p>
        </w:tc>
        <w:tc>
          <w:tcPr>
            <w:tcW w:type="dxa" w:w="9280"/>
            <w:shd w:fill="ECECED" w:val="clear"/>
            <w:tcMar>
              <w:top w:type="dxa" w:w="100"/>
              <w:left w:type="dxa" w:w="150"/>
              <w:bottom w:type="dxa" w:w="100"/>
              <w:right w:type="dxa" w:w="130"/>
            </w:tcMar>
          </w:tcPr>
          <w:p>
            <w:pPr>
              <w:spacing w:after="50"/>
            </w:pPr>
            <w:r>
              <w:rPr>
                <w:b/>
                <w:bCs/>
                <w:color w:val="0C544E"/>
                <w:sz w:val="19"/>
                <w:szCs w:val="19"/>
              </w:rPr>
              <w:t xml:space="preserve">Scope discipline</w:t>
            </w:r>
          </w:p>
          <w:p>
            <w:pPr>
              <w:spacing w:after="0" w:line="268"/>
            </w:pPr>
            <w:r>
              <w:rPr>
                <w:sz w:val="18"/>
                <w:szCs w:val="18"/>
              </w:rPr>
              <w:t xml:space="preserve">Cloudflare, Microsoft 365, Oracle Cloud DNS, Yardi and DATEV are third-party-operated. Do not run intrusive simulations against them without the provider's written consent — validate Redevco's own configuration and the controls in front of them instead. The acquired Roebuck estate and the timecard portal are the priority owned targets.</w:t>
            </w:r>
          </w:p>
        </w:tc>
      </w:tr>
    </w:tbl>
    <w:p>
      <w:r>
        <w:br w:type="page"/>
      </w:r>
    </w:p>
    <w:p>
      <w:pPr>
        <w:pStyle w:val="Heading1"/>
      </w:pPr>
      <w:r>
        <w:t xml:space="preserve">6. Network Architecture for Testing</w:t>
      </w:r>
    </w:p>
    <w:p>
      <w:pPr>
        <w:spacing w:after="140" w:line="276"/>
      </w:pPr>
      <w:r>
        <w:t xml:space="preserve">Monkey Island (the command-and-control console) should be deployed in a controlled location with visibility into the in-scope segments. Every crossing of a trust boundary by a Monkey agent that should have been blocked is a finding.</w:t>
      </w:r>
    </w:p>
    <w:p>
      <w:pPr>
        <w:pStyle w:val="Heading2"/>
      </w:pPr>
      <w:r>
        <w:t xml:space="preserve">6.1 Recommended topology</w:t>
      </w:r>
    </w:p>
    <w:p>
      <w:pPr>
        <w:pStyle w:val="ListParagraph"/>
        <w:numPr>
          <w:ilvl w:val="0"/>
          <w:numId w:val="2"/>
        </w:numPr>
        <w:spacing w:after="56" w:line="264"/>
      </w:pPr>
      <w:r>
        <w:rPr>
          <w:b/>
          <w:bCs/>
        </w:rPr>
        <w:t xml:space="preserve">Monkey Island: </w:t>
      </w:r>
      <w:r>
        <w:t xml:space="preserve">isolated management/test segment, reachable only from administrator IPs on TCP/5000.</w:t>
      </w:r>
    </w:p>
    <w:p>
      <w:pPr>
        <w:pStyle w:val="ListParagraph"/>
        <w:numPr>
          <w:ilvl w:val="0"/>
          <w:numId w:val="2"/>
        </w:numPr>
        <w:spacing w:after="56" w:line="264"/>
      </w:pPr>
      <w:r>
        <w:rPr>
          <w:b/>
          <w:bCs/>
        </w:rPr>
        <w:t xml:space="preserve">Agents: </w:t>
      </w:r>
      <w:r>
        <w:t xml:space="preserve">deployed (with authorisation) into target segments — HQ servers/users, the acquired estate, and any cloud test VNets.</w:t>
      </w:r>
    </w:p>
    <w:p>
      <w:pPr>
        <w:pStyle w:val="ListParagraph"/>
        <w:numPr>
          <w:ilvl w:val="0"/>
          <w:numId w:val="2"/>
        </w:numPr>
        <w:spacing w:after="56" w:line="264"/>
      </w:pPr>
      <w:r>
        <w:rPr>
          <w:b/>
          <w:bCs/>
        </w:rPr>
        <w:t xml:space="preserve">Cloud: </w:t>
      </w:r>
      <w:r>
        <w:t xml:space="preserve">if Redevco hosts the programme in its chosen cloud, allow TCP/5000 from management IPs to the Island VM and let the Island reach in-scope resources only.</w:t>
      </w:r>
    </w:p>
    <w:p>
      <w:pPr>
        <w:pStyle w:val="Heading2"/>
      </w:pPr>
      <w:r>
        <w:t xml:space="preserve">6.2 Temporary firewall rules</w:t>
      </w:r>
    </w:p>
    <w:p>
      <w:pPr>
        <w:spacing w:after="140" w:line="276"/>
      </w:pPr>
      <w:r>
        <w:t xml:space="preserve">Keep existing segmentation/zone policy unchanged during segmentation tests — any Monkey crossing is precisely the finding you want. Add only the minimal rules needed for the Island to manage agents (TCP/5000 from management IPs). Remove all temporary rules at T-plus.</w:t>
      </w:r>
    </w:p>
    <w:p>
      <w:r>
        <w:br w:type="page"/>
      </w:r>
    </w:p>
    <w:p>
      <w:pPr>
        <w:pStyle w:val="Heading1"/>
      </w:pPr>
      <w:r>
        <w:t xml:space="preserve">7. Installation &amp; Deployment</w:t>
      </w:r>
    </w:p>
    <w:p>
      <w:pPr>
        <w:spacing w:after="140" w:line="276"/>
      </w:pPr>
      <w:r>
        <w:t xml:space="preserve">Infection Monkey can be deployed on Docker (Linux), as a Linux AppImage, on Windows, or in Azure/AWS. For Redevco a Docker or cloud-VM deployment in the chosen environment is recommended. Always follow the official Akamai documentation (Section 19) for the authoritative, current steps.</w:t>
      </w:r>
    </w:p>
    <w:p>
      <w:pPr>
        <w:pStyle w:val="Heading2"/>
      </w:pPr>
      <w:r>
        <w:t xml:space="preserve">7.1 Docker (recommended)</w:t>
      </w:r>
    </w:p>
    <w:p>
      <w:pPr>
        <w:spacing w:after="140" w:line="276"/>
      </w:pPr>
      <w:r>
        <w:rPr>
          <w:b/>
          <w:bCs/>
        </w:rPr>
        <w:t xml:space="preserve">Prerequisites: </w:t>
      </w:r>
      <w:r>
        <w:t xml:space="preserve">Linux (Ubuntu 22.04+), Docker, ≥4 GB RAM, ≥8 GB disk. Docker deployment is Linux-only (not Docker Desktop for Windows/Mac).</w:t>
      </w:r>
    </w:p>
    <w:p>
      <w:pPr>
        <w:pBdr>
          <w:left w:val="single" w:color="00D7BD" w:sz="18" w:space="6"/>
        </w:pBdr>
        <w:shd w:fill="121212" w:val="clear"/>
        <w:spacing w:after="120" w:before="70" w:line="240"/>
      </w:pPr>
      <w:r>
        <w:rPr>
          <w:rFonts w:ascii="Consolas" w:cs="Consolas" w:eastAsia="Consolas" w:hAnsi="Consolas"/>
          <w:color w:val="ECECED"/>
          <w:sz w:val="15"/>
          <w:szCs w:val="15"/>
        </w:rPr>
        <w:t xml:space="preserve"># 1. Install Docker (Ubuntu)</w:t>
      </w:r>
      <w:r>
        <w:rPr>
          <w:rFonts w:ascii="Consolas" w:cs="Consolas" w:eastAsia="Consolas" w:hAnsi="Consolas"/>
          <w:color w:val="ECECED"/>
          <w:sz w:val="15"/>
          <w:szCs w:val="15"/>
        </w:rPr>
        <w:br/>
        <w:t xml:space="preserve">curl -fsSL https://get.docker.com | sh</w:t>
      </w:r>
      <w:r>
        <w:rPr>
          <w:rFonts w:ascii="Consolas" w:cs="Consolas" w:eastAsia="Consolas" w:hAnsi="Consolas"/>
          <w:color w:val="ECECED"/>
          <w:sz w:val="15"/>
          <w:szCs w:val="15"/>
        </w:rPr>
        <w:br/>
        <w:t xml:space="preserve"/>
      </w:r>
      <w:r>
        <w:rPr>
          <w:rFonts w:ascii="Consolas" w:cs="Consolas" w:eastAsia="Consolas" w:hAnsi="Consolas"/>
          <w:color w:val="ECECED"/>
          <w:sz w:val="15"/>
          <w:szCs w:val="15"/>
        </w:rPr>
        <w:br/>
        <w:t xml:space="preserve"># 2. Start MongoDB (Monkey's datastore)</w:t>
      </w:r>
      <w:r>
        <w:rPr>
          <w:rFonts w:ascii="Consolas" w:cs="Consolas" w:eastAsia="Consolas" w:hAnsi="Consolas"/>
          <w:color w:val="ECECED"/>
          <w:sz w:val="15"/>
          <w:szCs w:val="15"/>
        </w:rPr>
        <w:br/>
        <w:t xml:space="preserve">docker run --name monkey-mongo -d mongo:latest</w:t>
      </w:r>
      <w:r>
        <w:rPr>
          <w:rFonts w:ascii="Consolas" w:cs="Consolas" w:eastAsia="Consolas" w:hAnsi="Consolas"/>
          <w:color w:val="ECECED"/>
          <w:sz w:val="15"/>
          <w:szCs w:val="15"/>
        </w:rPr>
        <w:br/>
        <w:t xml:space="preserve"/>
      </w:r>
      <w:r>
        <w:rPr>
          <w:rFonts w:ascii="Consolas" w:cs="Consolas" w:eastAsia="Consolas" w:hAnsi="Consolas"/>
          <w:color w:val="ECECED"/>
          <w:sz w:val="15"/>
          <w:szCs w:val="15"/>
        </w:rPr>
        <w:br/>
        <w:t xml:space="preserve"># 3. Start Monkey Island (C2 console)</w:t>
      </w:r>
      <w:r>
        <w:rPr>
          <w:rFonts w:ascii="Consolas" w:cs="Consolas" w:eastAsia="Consolas" w:hAnsi="Consolas"/>
          <w:color w:val="ECECED"/>
          <w:sz w:val="15"/>
          <w:szCs w:val="15"/>
        </w:rPr>
        <w:br/>
        <w:t xml:space="preserve">docker run --name monkey-island -p 5000:5000 \</w:t>
      </w:r>
      <w:r>
        <w:rPr>
          <w:rFonts w:ascii="Consolas" w:cs="Consolas" w:eastAsia="Consolas" w:hAnsi="Consolas"/>
          <w:color w:val="ECECED"/>
          <w:sz w:val="15"/>
          <w:szCs w:val="15"/>
        </w:rPr>
        <w:br/>
        <w:t xml:space="preserve">  --link monkey-mongo -d guardicore/monkey-island:latest</w:t>
      </w:r>
      <w:r>
        <w:rPr>
          <w:rFonts w:ascii="Consolas" w:cs="Consolas" w:eastAsia="Consolas" w:hAnsi="Consolas"/>
          <w:color w:val="ECECED"/>
          <w:sz w:val="15"/>
          <w:szCs w:val="15"/>
        </w:rPr>
        <w:br/>
        <w:t xml:space="preserve"/>
      </w:r>
      <w:r>
        <w:rPr>
          <w:rFonts w:ascii="Consolas" w:cs="Consolas" w:eastAsia="Consolas" w:hAnsi="Consolas"/>
          <w:color w:val="ECECED"/>
          <w:sz w:val="15"/>
          <w:szCs w:val="15"/>
        </w:rPr>
        <w:br/>
        <w:t xml:space="preserve"># 4. Browse to https://&lt;host-ip&gt;:5000  (self-signed cert)</w:t>
      </w:r>
      <w:r>
        <w:rPr>
          <w:rFonts w:ascii="Consolas" w:cs="Consolas" w:eastAsia="Consolas" w:hAnsi="Consolas"/>
          <w:color w:val="ECECED"/>
          <w:sz w:val="15"/>
          <w:szCs w:val="15"/>
        </w:rPr>
        <w:br/>
        <w:t xml:space="preserve">#    Register the admin account on first access.</w:t>
      </w:r>
    </w:p>
    <w:p>
      <w:pPr>
        <w:pStyle w:val="Heading2"/>
      </w:pPr>
      <w:r>
        <w:t xml:space="preserve">7.2 Cloud VM (Redevco's chosen cloud)</w:t>
      </w:r>
    </w:p>
    <w:p>
      <w:pPr>
        <w:spacing w:after="140" w:line="276"/>
      </w:pPr>
      <w:r>
        <w:t xml:space="preserve">Deploy an Ubuntu 22.04 VM (e.g. 2 vCPU / 4 GB), restrict the network security group to TCP/5000 from management IPs only, install Docker and follow the steps above. This keeps the entire programme inside Redevco's tenancy and data-residency boundary.</w:t>
      </w:r>
    </w:p>
    <w:p>
      <w:pPr>
        <w:pStyle w:val="Heading2"/>
      </w:pPr>
      <w:r>
        <w:t xml:space="preserve">7.3 Network analysis configuration</w:t>
      </w:r>
    </w:p>
    <w:p>
      <w:pPr>
        <w:spacing w:after="140" w:line="276"/>
      </w:pPr>
      <w:r>
        <w:t xml:space="preserve">In Configuration → Network Analysis, add only in-scope Redevco subnets and exclude third-party SaaS ranges. Enable TCP probes for the relevant services (e.g. 22 SSH, 445 SMB, 135 WMI, 3389 RDP, 8080/8443 HTTP(S), 3306/1433 DB, 5985-5986 WinRM).</w:t>
      </w:r>
    </w:p>
    <w:p>
      <w:r>
        <w:br w:type="page"/>
      </w:r>
    </w:p>
    <w:p>
      <w:pPr>
        <w:pStyle w:val="Heading1"/>
      </w:pPr>
      <w:r>
        <w:t xml:space="preserve">8. Monkey Island Configuration</w:t>
      </w:r>
    </w:p>
    <w:p>
      <w:pPr>
        <w:pStyle w:val="Heading2"/>
      </w:pPr>
      <w:r>
        <w:t xml:space="preserve">8.1 Credentials &amp; secrets (for credential-abuse testing)</w:t>
      </w:r>
    </w:p>
    <w:p>
      <w:pPr>
        <w:spacing w:after="140" w:line="276"/>
      </w:pPr>
      <w:r>
        <w:t xml:space="preserve">Under Configuration → Propagation → Credentials, provide the identities and secrets you want tested for reuse and weak-password exposure — e.g. common service-account names, default vendor credentials, and any test credentials provided by Redevco infra. SSH keys can be supplied to test key-abuse paths. Never load production privileged credentials into the Island datastore; use purpose-built test identities.</w:t>
      </w:r>
    </w:p>
    <w:p>
      <w:pPr>
        <w:pStyle w:val="Heading2"/>
      </w:pPr>
      <w:r>
        <w:t xml:space="preserve">8.2 Propagation depth</w:t>
      </w:r>
    </w:p>
    <w:p>
      <w:pPr>
        <w:spacing w:after="140" w:line="276"/>
      </w:pPr>
      <w:r>
        <w:t xml:space="preserve">The “Distance from Island” parameter controls how far the Monkey propagates. Start at depth 1–2 (direct neighbours) for early runs and increase after reviewing results. Combine with subnet scoping so only authorised hosts are ever touched.</w:t>
      </w:r>
    </w:p>
    <w:p>
      <w:pPr>
        <w:pStyle w:val="Heading2"/>
      </w:pPr>
      <w:r>
        <w:t xml:space="preserve">8.3 Exploiters &amp; payloads</w:t>
      </w:r>
    </w:p>
    <w:p>
      <w:pPr>
        <w:spacing w:after="140" w:line="276"/>
      </w:pPr>
      <w:r>
        <w:t xml:space="preserve">Monkey v2.3+ uses a plugin architecture; exploiters, credential collectors and payloads are installed from the Island web UI and enabled per test phase. Begin with the safe credential and segmentation collectors, then add exploiters scenario-by-scenario (Section 10). This staged enablement is also where the autonomy layer plugs in (Section 11): newly generated add-ons are installed here.</w:t>
      </w:r>
    </w:p>
    <w:p>
      <w:r>
        <w:br w:type="page"/>
      </w:r>
    </w:p>
    <w:p>
      <w:pPr>
        <w:pStyle w:val="Heading1"/>
      </w:pPr>
      <w:r>
        <w:t xml:space="preserve">9. Plugin Installation &amp; Activation</w:t>
      </w:r>
    </w:p>
    <w:p>
      <w:pPr>
        <w:spacing w:after="140" w:line="276"/>
      </w:pPr>
      <w:r>
        <w:t xml:space="preserve">Plugins are downloaded from Akamai's repository (the Island needs outbound internet only for this; agents communicate only with the Island). The relevant plugin families for Redevco:</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3400"/>
        <w:gridCol w:w="5960"/>
      </w:tblGrid>
      <w:tr>
        <w:trPr>
          <w:tblHeader/>
        </w:trPr>
        <w:tc>
          <w:tcPr>
            <w:tcW w:type="dxa" w:w="34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Plugin family</w:t>
            </w:r>
          </w:p>
        </w:tc>
        <w:tc>
          <w:tcPr>
            <w:tcW w:type="dxa" w:w="596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Use against Redevco estate</w:t>
            </w:r>
          </w:p>
        </w:tc>
      </w:tr>
      <w:tr>
        <w:trPr>
          <w:tblHeader w:val="false"/>
        </w:trPr>
        <w:tc>
          <w:tcPr>
            <w:tcW w:type="dxa" w:w="3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Exploiters (SMB/SSH/WMI/web)</w:t>
            </w:r>
          </w:p>
        </w:tc>
        <w:tc>
          <w:tcPr>
            <w:tcW w:type="dxa" w:w="59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Validate IPS/EDR on HQ + acquired-estate hosts; test the EOL web server (C3)</w:t>
            </w:r>
          </w:p>
        </w:tc>
      </w:tr>
      <w:tr>
        <w:trPr>
          <w:tblHeader w:val="false"/>
        </w:trPr>
        <w:tc>
          <w:tcPr>
            <w:tcW w:type="dxa" w:w="3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Credential collectors (Mimikatz-style)</w:t>
            </w:r>
          </w:p>
        </w:tc>
        <w:tc>
          <w:tcPr>
            <w:tcW w:type="dxa" w:w="59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Test LSASS protection and credential reuse from the automation node (C1)</w:t>
            </w:r>
          </w:p>
        </w:tc>
      </w:tr>
      <w:tr>
        <w:trPr>
          <w:tblHeader w:val="false"/>
        </w:trPr>
        <w:tc>
          <w:tcPr>
            <w:tcW w:type="dxa" w:w="3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Payloads (ransomware sim)</w:t>
            </w:r>
          </w:p>
        </w:tc>
        <w:tc>
          <w:tcPr>
            <w:tcW w:type="dxa" w:w="59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Safe encryption-pattern test of detection/response</w:t>
            </w:r>
          </w:p>
        </w:tc>
      </w:tr>
      <w:tr>
        <w:trPr>
          <w:tblHeader w:val="false"/>
        </w:trPr>
        <w:tc>
          <w:tcPr>
            <w:tcW w:type="dxa" w:w="3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Collectors (Zero Trust / segmentation)</w:t>
            </w:r>
          </w:p>
        </w:tc>
        <w:tc>
          <w:tcPr>
            <w:tcW w:type="dxa" w:w="59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Validate trust boundaries between HQ, management and the Roebuck network</w:t>
            </w:r>
          </w:p>
        </w:tc>
      </w:tr>
      <w:tr>
        <w:trPr>
          <w:tblHeader w:val="false"/>
        </w:trPr>
        <w:tc>
          <w:tcPr>
            <w:tcW w:type="dxa" w:w="3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Custom (autonomy-generated)</w:t>
            </w:r>
          </w:p>
        </w:tc>
        <w:tc>
          <w:tcPr>
            <w:tcW w:type="dxa" w:w="59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New add-ons authored by the QWEN/Hermes layer for emerging threats (Section 11)</w:t>
            </w:r>
          </w:p>
        </w:tc>
      </w:tr>
    </w:tbl>
    <w:p>
      <w:r>
        <w:br w:type="page"/>
      </w:r>
    </w:p>
    <w:p>
      <w:pPr>
        <w:pStyle w:val="Heading1"/>
      </w:pPr>
      <w:r>
        <w:t xml:space="preserve">10. Test Scenarios A–J</w:t>
      </w:r>
    </w:p>
    <w:p>
      <w:pPr>
        <w:spacing w:after="140" w:line="276"/>
      </w:pPr>
      <w:r>
        <w:t xml:space="preserve">Each scenario maps to a real attacker technique, a Redevco-relevant target, and an explicit verification step. Run them first in the sandbox; promote to production only after sign-off.</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400"/>
        <w:gridCol w:w="3100"/>
        <w:gridCol w:w="1700"/>
        <w:gridCol w:w="4160"/>
      </w:tblGrid>
      <w:tr>
        <w:trPr>
          <w:tblHeader/>
        </w:trPr>
        <w:tc>
          <w:tcPr>
            <w:tcW w:type="dxa" w:w="4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ID</w:t>
            </w:r>
          </w:p>
        </w:tc>
        <w:tc>
          <w:tcPr>
            <w:tcW w:type="dxa" w:w="31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Scenario</w:t>
            </w:r>
          </w:p>
        </w:tc>
        <w:tc>
          <w:tcPr>
            <w:tcW w:type="dxa" w:w="17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MITRE</w:t>
            </w:r>
          </w:p>
        </w:tc>
        <w:tc>
          <w:tcPr>
            <w:tcW w:type="dxa" w:w="416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Verify</w:t>
            </w:r>
          </w:p>
        </w:tc>
      </w:tr>
      <w:tr>
        <w:trPr>
          <w:tblHeader w:val="false"/>
        </w:trPr>
        <w:tc>
          <w:tcPr>
            <w:tcW w:type="dxa" w:w="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A</w:t>
            </w:r>
          </w:p>
        </w:tc>
        <w:tc>
          <w:tcPr>
            <w:tcW w:type="dxa" w:w="31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SMB exploitation vs IPS/EDR</w:t>
            </w:r>
          </w:p>
        </w:tc>
        <w:tc>
          <w:tcPr>
            <w:tcW w:type="dxa" w:w="1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T1021.002 · T1210</w:t>
            </w:r>
          </w:p>
        </w:tc>
        <w:tc>
          <w:tcPr>
            <w:tcW w:type="dxa" w:w="4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Action = Prevent (not Detect)</w:t>
            </w:r>
          </w:p>
        </w:tc>
      </w:tr>
      <w:tr>
        <w:trPr>
          <w:tblHeader w:val="false"/>
        </w:trPr>
        <w:tc>
          <w:tcPr>
            <w:tcW w:type="dxa" w:w="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B</w:t>
            </w:r>
          </w:p>
        </w:tc>
        <w:tc>
          <w:tcPr>
            <w:tcW w:type="dxa" w:w="31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SSH brute force vs hardening</w:t>
            </w:r>
          </w:p>
        </w:tc>
        <w:tc>
          <w:tcPr>
            <w:tcW w:type="dxa" w:w="1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T1110.001</w:t>
            </w:r>
          </w:p>
        </w:tc>
        <w:tc>
          <w:tcPr>
            <w:tcW w:type="dxa" w:w="4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Lockout/alert fires; key-only auth</w:t>
            </w:r>
          </w:p>
        </w:tc>
      </w:tr>
      <w:tr>
        <w:trPr>
          <w:tblHeader w:val="false"/>
        </w:trPr>
        <w:tc>
          <w:tcPr>
            <w:tcW w:type="dxa" w:w="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w:t>
            </w:r>
          </w:p>
        </w:tc>
        <w:tc>
          <w:tcPr>
            <w:tcW w:type="dxa" w:w="31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WMI lateral movement</w:t>
            </w:r>
          </w:p>
        </w:tc>
        <w:tc>
          <w:tcPr>
            <w:tcW w:type="dxa" w:w="1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T1047</w:t>
            </w:r>
          </w:p>
        </w:tc>
        <w:tc>
          <w:tcPr>
            <w:tcW w:type="dxa" w:w="4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EDR + SOC correlate the chain</w:t>
            </w:r>
          </w:p>
        </w:tc>
      </w:tr>
      <w:tr>
        <w:trPr>
          <w:tblHeader w:val="false"/>
        </w:trPr>
        <w:tc>
          <w:tcPr>
            <w:tcW w:type="dxa" w:w="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D</w:t>
            </w:r>
          </w:p>
        </w:tc>
        <w:tc>
          <w:tcPr>
            <w:tcW w:type="dxa" w:w="31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Credential theft (LSASS)</w:t>
            </w:r>
          </w:p>
        </w:tc>
        <w:tc>
          <w:tcPr>
            <w:tcW w:type="dxa" w:w="1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T1003.001</w:t>
            </w:r>
          </w:p>
        </w:tc>
        <w:tc>
          <w:tcPr>
            <w:tcW w:type="dxa" w:w="4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Defender high-sev alert; no reuse</w:t>
            </w:r>
          </w:p>
        </w:tc>
      </w:tr>
      <w:tr>
        <w:trPr>
          <w:tblHeader w:val="false"/>
        </w:trPr>
        <w:tc>
          <w:tcPr>
            <w:tcW w:type="dxa" w:w="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E</w:t>
            </w:r>
          </w:p>
        </w:tc>
        <w:tc>
          <w:tcPr>
            <w:tcW w:type="dxa" w:w="31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Network segmentation</w:t>
            </w:r>
          </w:p>
        </w:tc>
        <w:tc>
          <w:tcPr>
            <w:tcW w:type="dxa" w:w="1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T1046 · T1570</w:t>
            </w:r>
          </w:p>
        </w:tc>
        <w:tc>
          <w:tcPr>
            <w:tcW w:type="dxa" w:w="4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No crossing HQ↔Roebuck↔mgmt</w:t>
            </w:r>
          </w:p>
        </w:tc>
      </w:tr>
      <w:tr>
        <w:trPr>
          <w:tblHeader w:val="false"/>
        </w:trPr>
        <w:tc>
          <w:tcPr>
            <w:tcW w:type="dxa" w:w="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F</w:t>
            </w:r>
          </w:p>
        </w:tc>
        <w:tc>
          <w:tcPr>
            <w:tcW w:type="dxa" w:w="31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Ransomware simulation (safe)</w:t>
            </w:r>
          </w:p>
        </w:tc>
        <w:tc>
          <w:tcPr>
            <w:tcW w:type="dxa" w:w="1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T1486 · T1489</w:t>
            </w:r>
          </w:p>
        </w:tc>
        <w:tc>
          <w:tcPr>
            <w:tcW w:type="dxa" w:w="4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Detection + response playbook</w:t>
            </w:r>
          </w:p>
        </w:tc>
      </w:tr>
      <w:tr>
        <w:trPr>
          <w:tblHeader w:val="false"/>
        </w:trPr>
        <w:tc>
          <w:tcPr>
            <w:tcW w:type="dxa" w:w="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G</w:t>
            </w:r>
          </w:p>
        </w:tc>
        <w:tc>
          <w:tcPr>
            <w:tcW w:type="dxa" w:w="31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Zero Trust posture</w:t>
            </w:r>
          </w:p>
        </w:tc>
        <w:tc>
          <w:tcPr>
            <w:tcW w:type="dxa" w:w="1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Multiple</w:t>
            </w:r>
          </w:p>
        </w:tc>
        <w:tc>
          <w:tcPr>
            <w:tcW w:type="dxa" w:w="4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Encryption, least-privilege, device trust</w:t>
            </w:r>
          </w:p>
        </w:tc>
      </w:tr>
      <w:tr>
        <w:trPr>
          <w:tblHeader w:val="false"/>
        </w:trPr>
        <w:tc>
          <w:tcPr>
            <w:tcW w:type="dxa" w:w="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H</w:t>
            </w:r>
          </w:p>
        </w:tc>
        <w:tc>
          <w:tcPr>
            <w:tcW w:type="dxa" w:w="31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Public web-app exploit (EOL/C3)</w:t>
            </w:r>
          </w:p>
        </w:tc>
        <w:tc>
          <w:tcPr>
            <w:tcW w:type="dxa" w:w="1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T1190</w:t>
            </w:r>
          </w:p>
        </w:tc>
        <w:tc>
          <w:tcPr>
            <w:tcW w:type="dxa" w:w="4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WAF blocks; virtual patch</w:t>
            </w:r>
          </w:p>
        </w:tc>
      </w:tr>
      <w:tr>
        <w:trPr>
          <w:tblHeader w:val="false"/>
        </w:trPr>
        <w:tc>
          <w:tcPr>
            <w:tcW w:type="dxa" w:w="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I</w:t>
            </w:r>
          </w:p>
        </w:tc>
        <w:tc>
          <w:tcPr>
            <w:tcW w:type="dxa" w:w="31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Automation-hub creds (C1)</w:t>
            </w:r>
          </w:p>
        </w:tc>
        <w:tc>
          <w:tcPr>
            <w:tcW w:type="dxa" w:w="1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T1078 · T1552</w:t>
            </w:r>
          </w:p>
        </w:tc>
        <w:tc>
          <w:tcPr>
            <w:tcW w:type="dxa" w:w="4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No stored secrets reachable</w:t>
            </w:r>
          </w:p>
        </w:tc>
      </w:tr>
      <w:tr>
        <w:trPr>
          <w:tblHeader w:val="false"/>
        </w:trPr>
        <w:tc>
          <w:tcPr>
            <w:tcW w:type="dxa" w:w="4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J</w:t>
            </w:r>
          </w:p>
        </w:tc>
        <w:tc>
          <w:tcPr>
            <w:tcW w:type="dxa" w:w="31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Phishing / BEC readiness (H2)</w:t>
            </w:r>
          </w:p>
        </w:tc>
        <w:tc>
          <w:tcPr>
            <w:tcW w:type="dxa" w:w="17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T1566 · T1534</w:t>
            </w:r>
          </w:p>
        </w:tc>
        <w:tc>
          <w:tcPr>
            <w:tcW w:type="dxa" w:w="4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Mail security + user-report rate</w:t>
            </w:r>
          </w:p>
        </w:tc>
      </w:tr>
    </w:tbl>
    <w:p>
      <w:pPr>
        <w:spacing w:after="40"/>
      </w:pPr>
    </w:p>
    <w:p>
      <w:pPr>
        <w:pStyle w:val="Heading2"/>
      </w:pPr>
      <w:r>
        <w:t xml:space="preserve">10.1 Reading a scenario — example (D, credential theft)</w:t>
      </w:r>
    </w:p>
    <w:p>
      <w:pPr>
        <w:spacing w:after="140" w:line="276"/>
      </w:pPr>
      <w:r>
        <w:t xml:space="preserve">On a compromised Windows host, Monkey runs a Mimikatz-style collector that attempts to read credentials from LSASS memory and reuse them for further movement. </w:t>
      </w:r>
      <w:r>
        <w:rPr>
          <w:b/>
          <w:bCs/>
        </w:rPr>
        <w:t xml:space="preserve">Verify: </w:t>
      </w:r>
      <w:r>
        <w:t xml:space="preserve">Microsoft Defender/E5 should detect LSASS access and raise a high-severity alert; Windows Event IDs 10 (process access to LSASS) and 4688 (process creation) should appear; the SOC/SIEM should receive and correlate them. If credentials are successfully stolen and reused, that is a critical finding — establish which other hosts they unlock and remediate credential hygiene.</w:t>
      </w:r>
    </w:p>
    <w:p>
      <w:r>
        <w:br w:type="page"/>
      </w:r>
    </w:p>
    <w:p>
      <w:pPr>
        <w:pStyle w:val="Heading1"/>
      </w:pPr>
      <w:r>
        <w:t xml:space="preserve">11. The Autonomous AI-BAS Layer — Infection Monkey + QWEN 3.6 + Hermes</w:t>
      </w:r>
    </w:p>
    <w:p>
      <w:pPr>
        <w:spacing w:after="140" w:line="276"/>
      </w:pPr>
      <w:r>
        <w:rPr>
          <w:b/>
          <w:bCs/>
        </w:rPr>
        <w:t xml:space="preserve">This is the differentiator. </w:t>
      </w:r>
      <w:r>
        <w:t xml:space="preserve">Infection Monkey provides a safe, capable execution engine. The autonomy layer wraps it in a pair of local large language models that turn a periodic exercise into a continuously self-updating internal-hacker digital twin — one that ingests fresh exploit intelligence, writes new attack add-ons, refreshes scenarios and re-runs validation around the clock, entirely inside Redevco's own infrastructure.</w:t>
      </w:r>
    </w:p>
    <w:p>
      <w:pPr>
        <w:pStyle w:val="Heading2"/>
      </w:pPr>
      <w:r>
        <w:t xml:space="preserve">11.1 Why an AI layer at all</w:t>
      </w:r>
    </w:p>
    <w:p>
      <w:pPr>
        <w:spacing w:after="140" w:line="276"/>
      </w:pPr>
      <w:r>
        <w:t xml:space="preserve">Real adversaries operate 24/7 and adopt new techniques within hours of disclosure. A human red team and a static BAS scenario set both lag the threat. An LLM-driven orchestration layer can read new advisories and dark-web/exploit chatter, decide what is relevant to Redevco's estate, translate it into a safe Monkey add-on, run it against the live defences, and report — continuously and without a human in the loop for routine cycles (with humans firmly in the loop for promotion to production; Section 11.7).</w:t>
      </w:r>
    </w:p>
    <w:p>
      <w:pPr>
        <w:pStyle w:val="Heading2"/>
      </w:pPr>
      <w:r>
        <w:t xml:space="preserve">11.2 The two models and their roles</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900"/>
        <w:gridCol w:w="6460"/>
      </w:tblGrid>
      <w:tr>
        <w:trPr>
          <w:tblHeader/>
        </w:trPr>
        <w:tc>
          <w:tcPr>
            <w:tcW w:type="dxa" w:w="29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Model</w:t>
            </w:r>
          </w:p>
        </w:tc>
        <w:tc>
          <w:tcPr>
            <w:tcW w:type="dxa" w:w="646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Role in the loop</w:t>
            </w:r>
          </w:p>
        </w:tc>
      </w:tr>
      <w:tr>
        <w:trPr>
          <w:tblHeader w:val="false"/>
        </w:trPr>
        <w:tc>
          <w:tcPr>
            <w:tcW w:type="dxa" w:w="29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QWEN 3.6 (reasoning / planning)</w:t>
            </w:r>
          </w:p>
        </w:tc>
        <w:tc>
          <w:tcPr>
            <w:tcW w:type="dxa" w:w="64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The “strategist.” Ingests threat intelligence and the current estate model; reasons about which techniques are relevant; plans attack paths and scenario priorities; writes the high-level test plan and the MITRE ATT&amp;CK mapping. Strong multilingual + long-context reasoning suits intel triage.</w:t>
            </w:r>
          </w:p>
        </w:tc>
      </w:tr>
      <w:tr>
        <w:trPr>
          <w:tblHeader w:val="false"/>
        </w:trPr>
        <w:tc>
          <w:tcPr>
            <w:tcW w:type="dxa" w:w="29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Hermes (tool-use / code generation)</w:t>
            </w:r>
          </w:p>
        </w:tc>
        <w:tc>
          <w:tcPr>
            <w:tcW w:type="dxa" w:w="64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The “operator.” A tool-use / function-calling fine-tune that turns the plan into action: generates and adapts Infection Monkey plugins (exploiters/collectors/payloads) as code, calls the Monkey Island API to deploy and run them, parses results and drafts remediation. Optimised for reliable, structured tool invocation.</w:t>
            </w:r>
          </w:p>
        </w:tc>
      </w:tr>
    </w:tbl>
    <w:p>
      <w:pPr>
        <w:spacing w:after="40"/>
      </w:pPr>
    </w:p>
    <w:p>
      <w:pPr>
        <w:spacing w:after="140" w:line="276"/>
      </w:pPr>
      <w:r>
        <w:t xml:space="preserve">The two are complementary: QWEN 3.6 decides </w:t>
      </w:r>
      <w:r>
        <w:rPr>
          <w:b/>
          <w:bCs/>
        </w:rPr>
        <w:t xml:space="preserve">what</w:t>
      </w:r>
      <w:r>
        <w:t xml:space="preserve"> and </w:t>
      </w:r>
      <w:r>
        <w:rPr>
          <w:b/>
          <w:bCs/>
        </w:rPr>
        <w:t xml:space="preserve">why</w:t>
      </w:r>
      <w:r>
        <w:t xml:space="preserve">; Hermes implements </w:t>
      </w:r>
      <w:r>
        <w:rPr>
          <w:b/>
          <w:bCs/>
        </w:rPr>
        <w:t xml:space="preserve">how</w:t>
      </w:r>
      <w:r>
        <w:t xml:space="preserve">, safely, against the Monkey engine. Either model can be hosted locally on Redevco hardware or in Redevco's chosen cloud — the architecture is identical (Section 11.6).</w:t>
      </w:r>
    </w:p>
    <w:p>
      <w:pPr>
        <w:pStyle w:val="Heading2"/>
      </w:pPr>
      <w:r>
        <w:t xml:space="preserve">11.3 The internal-hacker digital twin</w:t>
      </w:r>
    </w:p>
    <w:p>
      <w:pPr>
        <w:spacing w:after="140" w:line="276"/>
      </w:pPr>
      <w:r>
        <w:t xml:space="preserve">The two models maintain a continuously updated “digital twin” of an internal attacker: a model of Redevco's estate (assets, segments, identities, known findings) combined with an evolving library of techniques. On each cycle the twin asks: given what I now know about Redevco and about the latest exploits in the wild, what would a capable adversary try next — and would Redevco's controls stop it? It then proves the answer empirically through Monkey, rather than assuming it.</w:t>
      </w:r>
    </w:p>
    <w:p>
      <w:pPr>
        <w:pStyle w:val="Heading2"/>
      </w:pPr>
      <w:r>
        <w:t xml:space="preserve">11.4 The continuous loop</w:t>
      </w:r>
    </w:p>
    <w:p>
      <w:pPr>
        <w:pStyle w:val="ListParagraph"/>
        <w:numPr>
          <w:ilvl w:val="0"/>
          <w:numId w:val="3"/>
        </w:numPr>
        <w:spacing w:after="56" w:line="264"/>
      </w:pPr>
      <w:r>
        <w:rPr>
          <w:b/>
          <w:bCs/>
        </w:rPr>
        <w:t xml:space="preserve">Ingest. </w:t>
      </w:r>
      <w:r>
        <w:t xml:space="preserve">Pull fresh intelligence: CVE/zero-day feeds, vendor advisories, MITRE ATT&amp;CK updates, and curated dark-net/exploit-market chatter (Section 11.5).</w:t>
      </w:r>
    </w:p>
    <w:p>
      <w:pPr>
        <w:pStyle w:val="ListParagraph"/>
        <w:numPr>
          <w:ilvl w:val="0"/>
          <w:numId w:val="3"/>
        </w:numPr>
        <w:spacing w:after="56" w:line="264"/>
      </w:pPr>
      <w:r>
        <w:rPr>
          <w:b/>
          <w:bCs/>
        </w:rPr>
        <w:t xml:space="preserve">Reason (QWEN 3.6). </w:t>
      </w:r>
      <w:r>
        <w:t xml:space="preserve">Score each item for relevance to Redevco's estate model; select the techniques worth validating this cycle; produce a test plan + ATT&amp;CK mapping.</w:t>
      </w:r>
    </w:p>
    <w:p>
      <w:pPr>
        <w:pStyle w:val="ListParagraph"/>
        <w:numPr>
          <w:ilvl w:val="0"/>
          <w:numId w:val="3"/>
        </w:numPr>
        <w:spacing w:after="56" w:line="264"/>
      </w:pPr>
      <w:r>
        <w:rPr>
          <w:b/>
          <w:bCs/>
        </w:rPr>
        <w:t xml:space="preserve">Author (Hermes). </w:t>
      </w:r>
      <w:r>
        <w:t xml:space="preserve">Generate or adapt the required Infection Monkey add-on(s) as code; lint and unit-test them in the sandbox; register them with Monkey Island.</w:t>
      </w:r>
    </w:p>
    <w:p>
      <w:pPr>
        <w:pStyle w:val="ListParagraph"/>
        <w:numPr>
          <w:ilvl w:val="0"/>
          <w:numId w:val="3"/>
        </w:numPr>
        <w:spacing w:after="56" w:line="264"/>
      </w:pPr>
      <w:r>
        <w:rPr>
          <w:b/>
          <w:bCs/>
        </w:rPr>
        <w:t xml:space="preserve">Execute (Monkey). </w:t>
      </w:r>
      <w:r>
        <w:t xml:space="preserve">Run the scenario safely against the in-scope estate; collect outcomes and detections from the SIEM.</w:t>
      </w:r>
    </w:p>
    <w:p>
      <w:pPr>
        <w:pStyle w:val="ListParagraph"/>
        <w:numPr>
          <w:ilvl w:val="0"/>
          <w:numId w:val="3"/>
        </w:numPr>
        <w:spacing w:after="56" w:line="264"/>
      </w:pPr>
      <w:r>
        <w:rPr>
          <w:b/>
          <w:bCs/>
        </w:rPr>
        <w:t xml:space="preserve">Evaluate. </w:t>
      </w:r>
      <w:r>
        <w:t xml:space="preserve">Compare expected vs actual detection/prevention; flag gaps; draft prioritised, MITRE-mapped remediation.</w:t>
      </w:r>
    </w:p>
    <w:p>
      <w:pPr>
        <w:pStyle w:val="ListParagraph"/>
        <w:numPr>
          <w:ilvl w:val="0"/>
          <w:numId w:val="3"/>
        </w:numPr>
        <w:spacing w:after="56" w:line="264"/>
      </w:pPr>
      <w:r>
        <w:rPr>
          <w:b/>
          <w:bCs/>
        </w:rPr>
        <w:t xml:space="preserve">Learn. </w:t>
      </w:r>
      <w:r>
        <w:t xml:space="preserve">Update the digital twin (what worked, what was blocked) and the scenario library; schedule the next cycle. Promotion of any new add-on to production requires human sign-off.</w:t>
      </w:r>
    </w:p>
    <w:p>
      <w:pPr>
        <w:pStyle w:val="Heading2"/>
      </w:pPr>
      <w:r>
        <w:t xml:space="preserve">11.5 Threat &amp; zero-day intelligence ingestion</w:t>
      </w:r>
    </w:p>
    <w:p>
      <w:pPr>
        <w:spacing w:after="140" w:line="276"/>
      </w:pPr>
      <w:r>
        <w:t xml:space="preserve">The ingestion pipeline feeds the twin. It blends public and closed sources and normalises them into structured “technique candidates” the models can reason over:</w:t>
      </w:r>
    </w:p>
    <w:p>
      <w:pPr>
        <w:pStyle w:val="ListParagraph"/>
        <w:numPr>
          <w:ilvl w:val="0"/>
          <w:numId w:val="2"/>
        </w:numPr>
        <w:spacing w:after="56" w:line="264"/>
      </w:pPr>
      <w:r>
        <w:rPr>
          <w:b/>
          <w:bCs/>
        </w:rPr>
        <w:t xml:space="preserve">Public: </w:t>
      </w:r>
      <w:r>
        <w:t xml:space="preserve">NVD/CVE feeds, vendor and CERT-Bund/BSI advisories, MITRE ATT&amp;CK and CISA KEV, reputable threat-intel blogs and emerging-threat trackers.</w:t>
      </w:r>
    </w:p>
    <w:p>
      <w:pPr>
        <w:pStyle w:val="ListParagraph"/>
        <w:numPr>
          <w:ilvl w:val="0"/>
          <w:numId w:val="2"/>
        </w:numPr>
        <w:spacing w:after="56" w:line="264"/>
      </w:pPr>
      <w:r>
        <w:rPr>
          <w:b/>
          <w:bCs/>
        </w:rPr>
        <w:t xml:space="preserve">Closed / dark-net: </w:t>
      </w:r>
      <w:r>
        <w:t xml:space="preserve">curated monitoring of exploit marketplaces and forums for proof-of-concept exploits and zero-day chatter relevant to Redevco's technology stack (n8n, 3CX, WordPress/PHP, Microsoft 365, common VPN/edge appliances).</w:t>
      </w:r>
    </w:p>
    <w:p>
      <w:pPr>
        <w:pStyle w:val="ListParagraph"/>
        <w:numPr>
          <w:ilvl w:val="0"/>
          <w:numId w:val="2"/>
        </w:numPr>
        <w:spacing w:after="56" w:line="264"/>
      </w:pPr>
      <w:r>
        <w:rPr>
          <w:b/>
          <w:bCs/>
        </w:rPr>
        <w:t xml:space="preserve">Internal: </w:t>
      </w:r>
      <w:r>
        <w:t xml:space="preserve">Redevco's own findings (the external assessment), asset inventory and prior BAS results — so intel is always interpreted against the actual estate.</w:t>
      </w:r>
    </w:p>
    <w:tbl>
      <w:tblPr>
        <w:tblW w:type="dxa" w:w="9360"/>
        <w:tblBorders>
          <w:top w:val="none"/>
          <w:left w:val="none"/>
          <w:bottom w:val="none"/>
          <w:right w:val="none"/>
          <w:insideH w:val="none"/>
          <w:insideV w:val="none"/>
        </w:tblBorders>
      </w:tblPr>
      <w:tblGrid>
        <w:gridCol w:w="80"/>
        <w:gridCol w:w="9280"/>
      </w:tblGrid>
      <w:tr>
        <w:tc>
          <w:tcPr>
            <w:tcW w:type="dxa" w:w="80"/>
            <w:shd w:fill="F20C36" w:val="clear"/>
          </w:tcPr>
          <w:p>
            <w:r>
              <w:t xml:space="preserve"/>
            </w:r>
          </w:p>
        </w:tc>
        <w:tc>
          <w:tcPr>
            <w:tcW w:type="dxa" w:w="9280"/>
            <w:shd w:fill="ECECED" w:val="clear"/>
            <w:tcMar>
              <w:top w:type="dxa" w:w="100"/>
              <w:left w:type="dxa" w:w="150"/>
              <w:bottom w:type="dxa" w:w="100"/>
              <w:right w:type="dxa" w:w="130"/>
            </w:tcMar>
          </w:tcPr>
          <w:p>
            <w:pPr>
              <w:spacing w:after="50"/>
            </w:pPr>
            <w:r>
              <w:rPr>
                <w:b/>
                <w:bCs/>
                <w:color w:val="0C544E"/>
                <w:sz w:val="19"/>
                <w:szCs w:val="19"/>
              </w:rPr>
              <w:t xml:space="preserve">Dark-net handling — strict boundaries</w:t>
            </w:r>
          </w:p>
          <w:p>
            <w:pPr>
              <w:spacing w:after="0" w:line="268"/>
            </w:pPr>
            <w:r>
              <w:rPr>
                <w:sz w:val="18"/>
                <w:szCs w:val="18"/>
              </w:rPr>
              <w:t xml:space="preserve">Dark-net intelligence is for AWARENESS and SAFE SIMULATION only. The pipeline ingests indicators and technique descriptions to inform Monkey add-ons; it does not download, store or execute live malware against production, and it does not transact on illicit markets. All such monitoring must be lawful, contracted to a reputable threat-intel provider where possible, and reviewed by Redevco legal. The objective is to test Redevco's defences against the shape of emerging threats — never to weaponise them.</w:t>
            </w:r>
          </w:p>
        </w:tc>
      </w:tr>
    </w:tbl>
    <w:p>
      <w:pPr>
        <w:pStyle w:val="Heading2"/>
      </w:pPr>
      <w:r>
        <w:t xml:space="preserve">11.6 Deployment: local hardware vs Redevco cloud</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200"/>
        <w:gridCol w:w="4760"/>
        <w:gridCol w:w="2400"/>
      </w:tblGrid>
      <w:tr>
        <w:trPr>
          <w:tblHeader/>
        </w:trPr>
        <w:tc>
          <w:tcPr>
            <w:tcW w:type="dxa" w:w="22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Option</w:t>
            </w:r>
          </w:p>
        </w:tc>
        <w:tc>
          <w:tcPr>
            <w:tcW w:type="dxa" w:w="476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What it looks like</w:t>
            </w:r>
          </w:p>
        </w:tc>
        <w:tc>
          <w:tcPr>
            <w:tcW w:type="dxa" w:w="24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Best when</w:t>
            </w:r>
          </w:p>
        </w:tc>
      </w:tr>
      <w:tr>
        <w:trPr>
          <w:tblHeader w:val="false"/>
        </w:trPr>
        <w:tc>
          <w:tcPr>
            <w:tcW w:type="dxa" w:w="22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Local hardware (on-prem)</w:t>
            </w:r>
          </w:p>
        </w:tc>
        <w:tc>
          <w:tcPr>
            <w:tcW w:type="dxa" w:w="47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QWEN 3.6 + Hermes served via vLLM / Ollama / TGI on a GPU workstation or server (e.g. 1–2 high-VRAM GPUs) inside Redevco's network</w:t>
            </w:r>
          </w:p>
        </w:tc>
        <w:tc>
          <w:tcPr>
            <w:tcW w:type="dxa" w:w="24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Maximum data sovereignty; no data leaves Redevco; sensitive estate models stay on-prem</w:t>
            </w:r>
          </w:p>
        </w:tc>
      </w:tr>
      <w:tr>
        <w:trPr>
          <w:tblHeader w:val="false"/>
        </w:trPr>
        <w:tc>
          <w:tcPr>
            <w:tcW w:type="dxa" w:w="22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Redevco's chosen cloud</w:t>
            </w:r>
          </w:p>
        </w:tc>
        <w:tc>
          <w:tcPr>
            <w:tcW w:type="dxa" w:w="47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The same models on managed GPU instances in Redevco's own cloud tenancy (EU region), or a sovereign-AI endpoint</w:t>
            </w:r>
          </w:p>
        </w:tc>
        <w:tc>
          <w:tcPr>
            <w:tcW w:type="dxa" w:w="24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Elastic capacity, faster spin-up, no hardware capex; keep the region EU for GDPR</w:t>
            </w:r>
          </w:p>
        </w:tc>
      </w:tr>
    </w:tbl>
    <w:p>
      <w:pPr>
        <w:spacing w:after="40"/>
      </w:pPr>
    </w:p>
    <w:p>
      <w:pPr>
        <w:spacing w:after="140" w:line="276"/>
      </w:pPr>
      <w:r>
        <w:rPr>
          <w:b/>
          <w:bCs/>
        </w:rPr>
        <w:t xml:space="preserve">Either way, the models are Redevco's. </w:t>
      </w:r>
      <w:r>
        <w:t xml:space="preserve">No prompts, estate data or results are sent to a third-party AI service. This is essential because the twin necessarily reasons over sensitive internal detail — the exact material the timecard portal was leaking. Keeping inference local or in-tenant is both a security and a GDPR/DORA control.</w:t>
      </w:r>
    </w:p>
    <w:p>
      <w:pPr>
        <w:pStyle w:val="Heading2"/>
      </w:pPr>
      <w:r>
        <w:t xml:space="preserve">11.7 Guardrails &amp; safety (non-negotiable)</w:t>
      </w:r>
    </w:p>
    <w:p>
      <w:pPr>
        <w:pStyle w:val="ListParagraph"/>
        <w:numPr>
          <w:ilvl w:val="0"/>
          <w:numId w:val="2"/>
        </w:numPr>
        <w:spacing w:after="56" w:line="264"/>
      </w:pPr>
      <w:r>
        <w:rPr>
          <w:b/>
          <w:bCs/>
        </w:rPr>
        <w:t xml:space="preserve">Sandbox-first for every new add-on. </w:t>
      </w:r>
      <w:r>
        <w:t xml:space="preserve">Autonomy-generated code runs in the lab and passes automated safety checks before it can target anything.</w:t>
      </w:r>
    </w:p>
    <w:p>
      <w:pPr>
        <w:pStyle w:val="ListParagraph"/>
        <w:numPr>
          <w:ilvl w:val="0"/>
          <w:numId w:val="2"/>
        </w:numPr>
        <w:spacing w:after="56" w:line="264"/>
      </w:pPr>
      <w:r>
        <w:rPr>
          <w:b/>
          <w:bCs/>
        </w:rPr>
        <w:t xml:space="preserve">Human sign-off for production. </w:t>
      </w:r>
      <w:r>
        <w:t xml:space="preserve">No AI-authored scenario reaches production without an authorised engineer's approval and a maintenance window.</w:t>
      </w:r>
    </w:p>
    <w:p>
      <w:pPr>
        <w:pStyle w:val="ListParagraph"/>
        <w:numPr>
          <w:ilvl w:val="0"/>
          <w:numId w:val="2"/>
        </w:numPr>
        <w:spacing w:after="56" w:line="264"/>
      </w:pPr>
      <w:r>
        <w:rPr>
          <w:b/>
          <w:bCs/>
        </w:rPr>
        <w:t xml:space="preserve">Hard scope &amp; allow-lists. </w:t>
      </w:r>
      <w:r>
        <w:t xml:space="preserve">The models can only target in-scope subnets; third-party SaaS and partner networks are blocked at the orchestration layer, not just by policy.</w:t>
      </w:r>
    </w:p>
    <w:p>
      <w:pPr>
        <w:pStyle w:val="ListParagraph"/>
        <w:numPr>
          <w:ilvl w:val="0"/>
          <w:numId w:val="2"/>
        </w:numPr>
        <w:spacing w:after="56" w:line="264"/>
      </w:pPr>
      <w:r>
        <w:rPr>
          <w:b/>
          <w:bCs/>
        </w:rPr>
        <w:t xml:space="preserve">Destructive-technique exclusion. </w:t>
      </w:r>
      <w:r>
        <w:t xml:space="preserve">Crash-prone or data-destructive exploits are disallowed by default; ransomware is simulation-only.</w:t>
      </w:r>
    </w:p>
    <w:p>
      <w:pPr>
        <w:pStyle w:val="ListParagraph"/>
        <w:numPr>
          <w:ilvl w:val="0"/>
          <w:numId w:val="2"/>
        </w:numPr>
        <w:spacing w:after="56" w:line="264"/>
      </w:pPr>
      <w:r>
        <w:rPr>
          <w:b/>
          <w:bCs/>
        </w:rPr>
        <w:t xml:space="preserve">Kill switch &amp; audit. </w:t>
      </w:r>
      <w:r>
        <w:t xml:space="preserve">“Kill All Agents” remains available; every model decision, generated add-on and action is logged for audit and rollback.</w:t>
      </w:r>
    </w:p>
    <w:p>
      <w:pPr>
        <w:pStyle w:val="ListParagraph"/>
        <w:numPr>
          <w:ilvl w:val="0"/>
          <w:numId w:val="2"/>
        </w:numPr>
        <w:spacing w:after="56" w:line="264"/>
      </w:pPr>
      <w:r>
        <w:rPr>
          <w:b/>
          <w:bCs/>
        </w:rPr>
        <w:t xml:space="preserve">Model governance. </w:t>
      </w:r>
      <w:r>
        <w:t xml:space="preserve">Pin model versions; review prompts/system policies; treat the twin itself as an asset to be secured (it holds a map of Redevco's weaknesses).</w:t>
      </w:r>
    </w:p>
    <w:p>
      <w:pPr>
        <w:pStyle w:val="Heading2"/>
      </w:pPr>
      <w:r>
        <w:t xml:space="preserve">11.8 Reference architecture (logical)</w:t>
      </w:r>
    </w:p>
    <w:p>
      <w:pPr>
        <w:pBdr>
          <w:left w:val="single" w:color="00D7BD" w:sz="18" w:space="6"/>
        </w:pBdr>
        <w:shd w:fill="121212" w:val="clear"/>
        <w:spacing w:after="120" w:before="70" w:line="240"/>
      </w:pPr>
      <w:r>
        <w:rPr>
          <w:rFonts w:ascii="Consolas" w:cs="Consolas" w:eastAsia="Consolas" w:hAnsi="Consolas"/>
          <w:color w:val="ECECED"/>
          <w:sz w:val="15"/>
          <w:szCs w:val="15"/>
        </w:rPr>
        <w:t xml:space="preserve">  [ Threat &amp; 0-day intel ]      [ Redevco estate model ]</w:t>
      </w:r>
      <w:r>
        <w:rPr>
          <w:rFonts w:ascii="Consolas" w:cs="Consolas" w:eastAsia="Consolas" w:hAnsi="Consolas"/>
          <w:color w:val="ECECED"/>
          <w:sz w:val="15"/>
          <w:szCs w:val="15"/>
        </w:rPr>
        <w:br/>
        <w:t xml:space="preserve">   public + dark-net + KEV       assets, segments, findings</w:t>
      </w:r>
      <w:r>
        <w:rPr>
          <w:rFonts w:ascii="Consolas" w:cs="Consolas" w:eastAsia="Consolas" w:hAnsi="Consolas"/>
          <w:color w:val="ECECED"/>
          <w:sz w:val="15"/>
          <w:szCs w:val="15"/>
        </w:rPr>
        <w:br/>
        <w:t xml:space="preserve">            \                         /</w:t>
      </w:r>
      <w:r>
        <w:rPr>
          <w:rFonts w:ascii="Consolas" w:cs="Consolas" w:eastAsia="Consolas" w:hAnsi="Consolas"/>
          <w:color w:val="ECECED"/>
          <w:sz w:val="15"/>
          <w:szCs w:val="15"/>
        </w:rPr>
        <w:br/>
        <w:t xml:space="preserve">             v                       v</w:t>
      </w:r>
      <w:r>
        <w:rPr>
          <w:rFonts w:ascii="Consolas" w:cs="Consolas" w:eastAsia="Consolas" w:hAnsi="Consolas"/>
          <w:color w:val="ECECED"/>
          <w:sz w:val="15"/>
          <w:szCs w:val="15"/>
        </w:rPr>
        <w:br/>
        <w:t xml:space="preserve">        +-------------------------------------+</w:t>
      </w:r>
      <w:r>
        <w:rPr>
          <w:rFonts w:ascii="Consolas" w:cs="Consolas" w:eastAsia="Consolas" w:hAnsi="Consolas"/>
          <w:color w:val="ECECED"/>
          <w:sz w:val="15"/>
          <w:szCs w:val="15"/>
        </w:rPr>
        <w:br/>
        <w:t xml:space="preserve">        |   QWEN 3.6  — reason / plan / map    |   (local or EU cloud)</w:t>
      </w:r>
      <w:r>
        <w:rPr>
          <w:rFonts w:ascii="Consolas" w:cs="Consolas" w:eastAsia="Consolas" w:hAnsi="Consolas"/>
          <w:color w:val="ECECED"/>
          <w:sz w:val="15"/>
          <w:szCs w:val="15"/>
        </w:rPr>
        <w:br/>
        <w:t xml:space="preserve">        +-------------------------------------+</w:t>
      </w:r>
      <w:r>
        <w:rPr>
          <w:rFonts w:ascii="Consolas" w:cs="Consolas" w:eastAsia="Consolas" w:hAnsi="Consolas"/>
          <w:color w:val="ECECED"/>
          <w:sz w:val="15"/>
          <w:szCs w:val="15"/>
        </w:rPr>
        <w:br/>
        <w:t xml:space="preserve">                        | test plan + ATT&amp;CK</w:t>
      </w:r>
      <w:r>
        <w:rPr>
          <w:rFonts w:ascii="Consolas" w:cs="Consolas" w:eastAsia="Consolas" w:hAnsi="Consolas"/>
          <w:color w:val="ECECED"/>
          <w:sz w:val="15"/>
          <w:szCs w:val="15"/>
        </w:rPr>
        <w:br/>
        <w:t xml:space="preserve">                        v</w:t>
      </w:r>
      <w:r>
        <w:rPr>
          <w:rFonts w:ascii="Consolas" w:cs="Consolas" w:eastAsia="Consolas" w:hAnsi="Consolas"/>
          <w:color w:val="ECECED"/>
          <w:sz w:val="15"/>
          <w:szCs w:val="15"/>
        </w:rPr>
        <w:br/>
        <w:t xml:space="preserve">        +-------------------------------------+</w:t>
      </w:r>
      <w:r>
        <w:rPr>
          <w:rFonts w:ascii="Consolas" w:cs="Consolas" w:eastAsia="Consolas" w:hAnsi="Consolas"/>
          <w:color w:val="ECECED"/>
          <w:sz w:val="15"/>
          <w:szCs w:val="15"/>
        </w:rPr>
        <w:br/>
        <w:t xml:space="preserve">        |   Hermes   — author add-ons / call   |</w:t>
      </w:r>
      <w:r>
        <w:rPr>
          <w:rFonts w:ascii="Consolas" w:cs="Consolas" w:eastAsia="Consolas" w:hAnsi="Consolas"/>
          <w:color w:val="ECECED"/>
          <w:sz w:val="15"/>
          <w:szCs w:val="15"/>
        </w:rPr>
        <w:br/>
        <w:t xml:space="preserve">        |             Monkey Island API        |</w:t>
      </w:r>
      <w:r>
        <w:rPr>
          <w:rFonts w:ascii="Consolas" w:cs="Consolas" w:eastAsia="Consolas" w:hAnsi="Consolas"/>
          <w:color w:val="ECECED"/>
          <w:sz w:val="15"/>
          <w:szCs w:val="15"/>
        </w:rPr>
        <w:br/>
        <w:t xml:space="preserve">        +-------------------------------------+</w:t>
      </w:r>
      <w:r>
        <w:rPr>
          <w:rFonts w:ascii="Consolas" w:cs="Consolas" w:eastAsia="Consolas" w:hAnsi="Consolas"/>
          <w:color w:val="ECECED"/>
          <w:sz w:val="15"/>
          <w:szCs w:val="15"/>
        </w:rPr>
        <w:br/>
        <w:t xml:space="preserve">                        | deploy + run (sandbox -&gt; prod*)</w:t>
      </w:r>
      <w:r>
        <w:rPr>
          <w:rFonts w:ascii="Consolas" w:cs="Consolas" w:eastAsia="Consolas" w:hAnsi="Consolas"/>
          <w:color w:val="ECECED"/>
          <w:sz w:val="15"/>
          <w:szCs w:val="15"/>
        </w:rPr>
        <w:br/>
        <w:t xml:space="preserve">                        v</w:t>
      </w:r>
      <w:r>
        <w:rPr>
          <w:rFonts w:ascii="Consolas" w:cs="Consolas" w:eastAsia="Consolas" w:hAnsi="Consolas"/>
          <w:color w:val="ECECED"/>
          <w:sz w:val="15"/>
          <w:szCs w:val="15"/>
        </w:rPr>
        <w:br/>
        <w:t xml:space="preserve">        [ Infection Monkey ]  -&gt;  [ Redevco estate ]</w:t>
      </w:r>
      <w:r>
        <w:rPr>
          <w:rFonts w:ascii="Consolas" w:cs="Consolas" w:eastAsia="Consolas" w:hAnsi="Consolas"/>
          <w:color w:val="ECECED"/>
          <w:sz w:val="15"/>
          <w:szCs w:val="15"/>
        </w:rPr>
        <w:br/>
        <w:t xml:space="preserve">                        |                  |</w:t>
      </w:r>
      <w:r>
        <w:rPr>
          <w:rFonts w:ascii="Consolas" w:cs="Consolas" w:eastAsia="Consolas" w:hAnsi="Consolas"/>
          <w:color w:val="ECECED"/>
          <w:sz w:val="15"/>
          <w:szCs w:val="15"/>
        </w:rPr>
        <w:br/>
        <w:t xml:space="preserve">                        v                  v</w:t>
      </w:r>
      <w:r>
        <w:rPr>
          <w:rFonts w:ascii="Consolas" w:cs="Consolas" w:eastAsia="Consolas" w:hAnsi="Consolas"/>
          <w:color w:val="ECECED"/>
          <w:sz w:val="15"/>
          <w:szCs w:val="15"/>
        </w:rPr>
        <w:br/>
        <w:t xml:space="preserve">                  [ results ]        [ SIEM / Defender ]</w:t>
      </w:r>
      <w:r>
        <w:rPr>
          <w:rFonts w:ascii="Consolas" w:cs="Consolas" w:eastAsia="Consolas" w:hAnsi="Consolas"/>
          <w:color w:val="ECECED"/>
          <w:sz w:val="15"/>
          <w:szCs w:val="15"/>
        </w:rPr>
        <w:br/>
        <w:t xml:space="preserve">                        \               /</w:t>
      </w:r>
      <w:r>
        <w:rPr>
          <w:rFonts w:ascii="Consolas" w:cs="Consolas" w:eastAsia="Consolas" w:hAnsi="Consolas"/>
          <w:color w:val="ECECED"/>
          <w:sz w:val="15"/>
          <w:szCs w:val="15"/>
        </w:rPr>
        <w:br/>
        <w:t xml:space="preserve">                         v             v</w:t>
      </w:r>
      <w:r>
        <w:rPr>
          <w:rFonts w:ascii="Consolas" w:cs="Consolas" w:eastAsia="Consolas" w:hAnsi="Consolas"/>
          <w:color w:val="ECECED"/>
          <w:sz w:val="15"/>
          <w:szCs w:val="15"/>
        </w:rPr>
        <w:br/>
        <w:t xml:space="preserve">                  [ Evaluate + remediate + learn ]</w:t>
      </w:r>
      <w:r>
        <w:rPr>
          <w:rFonts w:ascii="Consolas" w:cs="Consolas" w:eastAsia="Consolas" w:hAnsi="Consolas"/>
          <w:color w:val="ECECED"/>
          <w:sz w:val="15"/>
          <w:szCs w:val="15"/>
        </w:rPr>
        <w:br/>
        <w:t xml:space="preserve">                  * production requires human sign-off</w:t>
      </w:r>
    </w:p>
    <w:p>
      <w:r>
        <w:br w:type="page"/>
      </w:r>
    </w:p>
    <w:p>
      <w:pPr>
        <w:pStyle w:val="Heading1"/>
      </w:pPr>
      <w:r>
        <w:t xml:space="preserve">12. Why 24/7 — Pen Testing vs BAS</w:t>
      </w:r>
    </w:p>
    <w:p>
      <w:pPr>
        <w:spacing w:after="140" w:line="276"/>
      </w:pPr>
      <w:r>
        <w:t xml:space="preserve">Redevco's stated plan is an annual penetration test. That is valuable and should continue — but it is a point-in-time snapshot, while attackers and the estate both change continuously. The timecard portal proved the point: it was reported and then left exposed for weeks, inside exactly the blind window an annual test cannot see.</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300"/>
        <w:gridCol w:w="3530"/>
        <w:gridCol w:w="3530"/>
      </w:tblGrid>
      <w:tr>
        <w:trPr>
          <w:tblHeader/>
        </w:trPr>
        <w:tc>
          <w:tcPr>
            <w:tcW w:type="dxa" w:w="23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Dimension</w:t>
            </w:r>
          </w:p>
        </w:tc>
        <w:tc>
          <w:tcPr>
            <w:tcW w:type="dxa" w:w="353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Annual pen test</w:t>
            </w:r>
          </w:p>
        </w:tc>
        <w:tc>
          <w:tcPr>
            <w:tcW w:type="dxa" w:w="353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Autonomous BAS</w:t>
            </w:r>
          </w:p>
        </w:tc>
      </w:tr>
      <w:tr>
        <w:trPr>
          <w:tblHeader w:val="false"/>
        </w:trPr>
        <w:tc>
          <w:tcPr>
            <w:tcW w:type="dxa" w:w="23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Cadence</w:t>
            </w:r>
          </w:p>
        </w:tc>
        <w:tc>
          <w:tcPr>
            <w:tcW w:type="dxa" w:w="353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1–2× / year, point-in-time</w:t>
            </w:r>
          </w:p>
        </w:tc>
        <w:tc>
          <w:tcPr>
            <w:tcW w:type="dxa" w:w="353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Continuous, 24/7/365</w:t>
            </w:r>
          </w:p>
        </w:tc>
      </w:tr>
      <w:tr>
        <w:trPr>
          <w:tblHeader w:val="false"/>
        </w:trPr>
        <w:tc>
          <w:tcPr>
            <w:tcW w:type="dxa" w:w="23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Keeps up with new CVEs</w:t>
            </w:r>
          </w:p>
        </w:tc>
        <w:tc>
          <w:tcPr>
            <w:tcW w:type="dxa" w:w="353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Only at test time</w:t>
            </w:r>
          </w:p>
        </w:tc>
        <w:tc>
          <w:tcPr>
            <w:tcW w:type="dxa" w:w="353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Ingested and tested within the cycle</w:t>
            </w:r>
          </w:p>
        </w:tc>
      </w:tr>
      <w:tr>
        <w:trPr>
          <w:tblHeader w:val="false"/>
        </w:trPr>
        <w:tc>
          <w:tcPr>
            <w:tcW w:type="dxa" w:w="23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Coverage</w:t>
            </w:r>
          </w:p>
        </w:tc>
        <w:tc>
          <w:tcPr>
            <w:tcW w:type="dxa" w:w="353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Scoped sample</w:t>
            </w:r>
          </w:p>
        </w:tc>
        <w:tc>
          <w:tcPr>
            <w:tcW w:type="dxa" w:w="353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Whole in-scope estate, every run</w:t>
            </w:r>
          </w:p>
        </w:tc>
      </w:tr>
      <w:tr>
        <w:trPr>
          <w:tblHeader w:val="false"/>
        </w:trPr>
        <w:tc>
          <w:tcPr>
            <w:tcW w:type="dxa" w:w="23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Detection validation</w:t>
            </w:r>
          </w:p>
        </w:tc>
        <w:tc>
          <w:tcPr>
            <w:tcW w:type="dxa" w:w="353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Partial</w:t>
            </w:r>
          </w:p>
        </w:tc>
        <w:tc>
          <w:tcPr>
            <w:tcW w:type="dxa" w:w="353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Every control, every cycle, MITRE-mapped</w:t>
            </w:r>
          </w:p>
        </w:tc>
      </w:tr>
      <w:tr>
        <w:trPr>
          <w:tblHeader w:val="false"/>
        </w:trPr>
        <w:tc>
          <w:tcPr>
            <w:tcW w:type="dxa" w:w="23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Cost model</w:t>
            </w:r>
          </w:p>
        </w:tc>
        <w:tc>
          <w:tcPr>
            <w:tcW w:type="dxa" w:w="353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€30k–€75k+ per engagement</w:t>
            </w:r>
          </w:p>
        </w:tc>
        <w:tc>
          <w:tcPr>
            <w:tcW w:type="dxa" w:w="353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Open-source engine; run as often as you like</w:t>
            </w:r>
          </w:p>
        </w:tc>
      </w:tr>
      <w:tr>
        <w:trPr>
          <w:tblHeader w:val="false"/>
        </w:trPr>
        <w:tc>
          <w:tcPr>
            <w:tcW w:type="dxa" w:w="23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Best at</w:t>
            </w:r>
          </w:p>
        </w:tc>
        <w:tc>
          <w:tcPr>
            <w:tcW w:type="dxa" w:w="353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Deep human creativity</w:t>
            </w:r>
          </w:p>
        </w:tc>
        <w:tc>
          <w:tcPr>
            <w:tcW w:type="dxa" w:w="353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Continuous assurance + recurrence detection</w:t>
            </w:r>
          </w:p>
        </w:tc>
      </w:tr>
    </w:tbl>
    <w:p>
      <w:pPr>
        <w:spacing w:after="40"/>
      </w:pPr>
    </w:p>
    <w:p>
      <w:pPr>
        <w:spacing w:after="140" w:line="276"/>
      </w:pPr>
      <w:r>
        <w:rPr>
          <w:b/>
          <w:bCs/>
        </w:rPr>
        <w:t xml:space="preserve">They are complements, not substitutes. </w:t>
      </w:r>
      <w:r>
        <w:t xml:space="preserve">Keep the annual pen test for depth; run autonomous BAS for the other 51 weeks. Gartner's own position: BAS complements red teaming and penetration testing but cannot completely replace them — and vice versa.</w:t>
      </w:r>
    </w:p>
    <w:p>
      <w:r>
        <w:br w:type="page"/>
      </w:r>
    </w:p>
    <w:p>
      <w:pPr>
        <w:pStyle w:val="Heading1"/>
      </w:pPr>
      <w:r>
        <w:t xml:space="preserve">13. Detection &amp; SIEM Integration</w:t>
      </w:r>
    </w:p>
    <w:p>
      <w:pPr>
        <w:spacing w:after="140" w:line="276"/>
      </w:pPr>
      <w:r>
        <w:t xml:space="preserve">BAS only delivers value if results land where the SOC works. Integrate Monkey outcomes with Redevco's Microsoft Defender / Sentinel stack so every simulated technique produces a measurable detection result.</w:t>
      </w:r>
    </w:p>
    <w:p>
      <w:pPr>
        <w:pStyle w:val="ListParagraph"/>
        <w:numPr>
          <w:ilvl w:val="0"/>
          <w:numId w:val="2"/>
        </w:numPr>
        <w:spacing w:after="56" w:line="264"/>
      </w:pPr>
      <w:r>
        <w:rPr>
          <w:b/>
          <w:bCs/>
        </w:rPr>
        <w:t xml:space="preserve">Forward Monkey activity context </w:t>
      </w:r>
      <w:r>
        <w:t xml:space="preserve">(source host, technique, timing) to Sentinel so analysts can confirm which simulations were seen.</w:t>
      </w:r>
    </w:p>
    <w:p>
      <w:pPr>
        <w:pStyle w:val="ListParagraph"/>
        <w:numPr>
          <w:ilvl w:val="0"/>
          <w:numId w:val="2"/>
        </w:numPr>
        <w:spacing w:after="56" w:line="264"/>
      </w:pPr>
      <w:r>
        <w:rPr>
          <w:b/>
          <w:bCs/>
        </w:rPr>
        <w:t xml:space="preserve">Validate analytic rules </w:t>
      </w:r>
      <w:r>
        <w:t xml:space="preserve">for each ATT&amp;CK technique exercised (SMB exploit, LSASS access, WMI lateral movement, web-app exploit, BEC patterns).</w:t>
      </w:r>
    </w:p>
    <w:p>
      <w:pPr>
        <w:pStyle w:val="ListParagraph"/>
        <w:numPr>
          <w:ilvl w:val="0"/>
          <w:numId w:val="2"/>
        </w:numPr>
        <w:spacing w:after="56" w:line="264"/>
      </w:pPr>
      <w:r>
        <w:rPr>
          <w:b/>
          <w:bCs/>
        </w:rPr>
        <w:t xml:space="preserve">Measure MTTD/MTTR </w:t>
      </w:r>
      <w:r>
        <w:t xml:space="preserve">per cycle; track the trend as the autonomy layer introduces new techniques.</w:t>
      </w:r>
    </w:p>
    <w:p>
      <w:pPr>
        <w:pStyle w:val="ListParagraph"/>
        <w:numPr>
          <w:ilvl w:val="0"/>
          <w:numId w:val="2"/>
        </w:numPr>
        <w:spacing w:after="56" w:line="264"/>
      </w:pPr>
      <w:r>
        <w:rPr>
          <w:b/>
          <w:bCs/>
        </w:rPr>
        <w:t xml:space="preserve">Tune false positives </w:t>
      </w:r>
      <w:r>
        <w:t xml:space="preserve">in the sandbox before production runs so the SOC is not flooded.</w:t>
      </w:r>
    </w:p>
    <w:p>
      <w:r>
        <w:br w:type="page"/>
      </w:r>
    </w:p>
    <w:p>
      <w:pPr>
        <w:pStyle w:val="Heading1"/>
      </w:pPr>
      <w:r>
        <w:t xml:space="preserve">14. Interpreting Results &amp; Reports</w:t>
      </w:r>
    </w:p>
    <w:p>
      <w:pPr>
        <w:spacing w:after="140" w:line="276"/>
      </w:pPr>
      <w:r>
        <w:t xml:space="preserve">Every run produces a result set mapped to MITRE ATT&amp;CK. Read it as three questions: was the technique </w:t>
      </w:r>
      <w:r>
        <w:rPr>
          <w:b/>
          <w:bCs/>
        </w:rPr>
        <w:t xml:space="preserve">prevented</w:t>
      </w:r>
      <w:r>
        <w:t xml:space="preserve"> (blocked outright), merely </w:t>
      </w:r>
      <w:r>
        <w:rPr>
          <w:b/>
          <w:bCs/>
        </w:rPr>
        <w:t xml:space="preserve">detected</w:t>
      </w:r>
      <w:r>
        <w:t xml:space="preserve"> (seen but not stopped), or </w:t>
      </w:r>
      <w:r>
        <w:rPr>
          <w:b/>
          <w:bCs/>
        </w:rPr>
        <w:t xml:space="preserve">missed</w:t>
      </w:r>
      <w:r>
        <w:t xml:space="preserve"> (neither)? “Detect-only” on a critical technique is itself a finding — harden the control to Prevent. A successful Monkey compromise does not mean Redevco has been hacked; it means a real attacker could use the same path, and you now have the chance to close it first.</w:t>
      </w:r>
    </w:p>
    <w:p>
      <w:pPr>
        <w:spacing w:after="140" w:line="276"/>
      </w:pPr>
      <w:r>
        <w:t xml:space="preserve">Reports should serve three audiences: the SOC (technique-level detail and detections), infrastructure (prioritised remediation with owners), and the board (an ATT&amp;CK heat-map and trend line showing posture improving over time).</w:t>
      </w:r>
    </w:p>
    <w:p>
      <w:r>
        <w:br w:type="page"/>
      </w:r>
    </w:p>
    <w:p>
      <w:pPr>
        <w:pStyle w:val="Heading1"/>
      </w:pPr>
      <w:r>
        <w:t xml:space="preserve">15. Remediation Playbook (mapped to findings)</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1700"/>
        <w:gridCol w:w="1500"/>
        <w:gridCol w:w="6160"/>
      </w:tblGrid>
      <w:tr>
        <w:trPr>
          <w:tblHeader/>
        </w:trPr>
        <w:tc>
          <w:tcPr>
            <w:tcW w:type="dxa" w:w="17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Finding</w:t>
            </w:r>
          </w:p>
        </w:tc>
        <w:tc>
          <w:tcPr>
            <w:tcW w:type="dxa" w:w="15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Validated by</w:t>
            </w:r>
          </w:p>
        </w:tc>
        <w:tc>
          <w:tcPr>
            <w:tcW w:type="dxa" w:w="616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Remediation</w:t>
            </w:r>
          </w:p>
        </w:tc>
      </w:tr>
      <w:tr>
        <w:trPr>
          <w:tblHeader w:val="false"/>
        </w:trPr>
        <w:tc>
          <w:tcPr>
            <w:tcW w:type="dxa" w:w="17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C1 · n8n hub</w:t>
            </w:r>
          </w:p>
        </w:tc>
        <w:tc>
          <w:tcPr>
            <w:tcW w:type="dxa" w:w="15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Scenario I</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Remove from public internet; SSO/MFA; rotate stored credentials; ZTNA gate; key-only SSH</w:t>
            </w:r>
          </w:p>
        </w:tc>
      </w:tr>
      <w:tr>
        <w:trPr>
          <w:tblHeader w:val="false"/>
        </w:trPr>
        <w:tc>
          <w:tcPr>
            <w:tcW w:type="dxa" w:w="17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C2 · timecard</w:t>
            </w:r>
          </w:p>
        </w:tc>
        <w:tc>
          <w:tcPr>
            <w:tcW w:type="dxa" w:w="15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Recurrence check</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ZTNA gate; trim CSP; managed WAF; continuous exposure re-test</w:t>
            </w:r>
          </w:p>
        </w:tc>
      </w:tr>
      <w:tr>
        <w:trPr>
          <w:tblHeader w:val="false"/>
        </w:trPr>
        <w:tc>
          <w:tcPr>
            <w:tcW w:type="dxa" w:w="17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C3 · EOL web</w:t>
            </w:r>
          </w:p>
        </w:tc>
        <w:tc>
          <w:tcPr>
            <w:tcW w:type="dxa" w:w="15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Scenario H</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Managed WAF + virtual patch; rebuild on maintained platform; decommission plan</w:t>
            </w:r>
          </w:p>
        </w:tc>
      </w:tr>
      <w:tr>
        <w:trPr>
          <w:tblHeader w:val="false"/>
        </w:trPr>
        <w:tc>
          <w:tcPr>
            <w:tcW w:type="dxa" w:w="17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H1 · 3CX</w:t>
            </w:r>
          </w:p>
        </w:tc>
        <w:tc>
          <w:tcPr>
            <w:tcW w:type="dxa" w:w="15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Scenario C/E</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Gate admin plane via ZTNA; allow-list sources; confirm patched build</w:t>
            </w:r>
          </w:p>
        </w:tc>
      </w:tr>
      <w:tr>
        <w:trPr>
          <w:tblHeader w:val="false"/>
        </w:trPr>
        <w:tc>
          <w:tcPr>
            <w:tcW w:type="dxa" w:w="17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H2 · mail TLS</w:t>
            </w:r>
          </w:p>
        </w:tc>
        <w:tc>
          <w:tcPr>
            <w:tcW w:type="dxa" w:w="15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Scenario J</w:t>
            </w:r>
          </w:p>
        </w:tc>
        <w:tc>
          <w:tcPr>
            <w:tcW w:type="dxa" w:w="61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Managed email security; re-issue valid certs; DMARC/DKIM/SPF; BEC user training</w:t>
            </w:r>
          </w:p>
        </w:tc>
      </w:tr>
    </w:tbl>
    <w:p>
      <w:pPr>
        <w:spacing w:after="40"/>
      </w:pPr>
    </w:p>
    <w:p>
      <w:pPr>
        <w:spacing w:after="140" w:line="276"/>
      </w:pPr>
      <w:r>
        <w:t xml:space="preserve">Because one managed plane (SASE/ZTNA + Managed WAF + Managed Email + DDoS) buys back several findings at once, the portfolio return on security investment exceeds any single-finding fix — and BAS is what proves, continuously, that the controls remain effective after they are deployed.</w:t>
      </w:r>
    </w:p>
    <w:p>
      <w:r>
        <w:br w:type="page"/>
      </w:r>
    </w:p>
    <w:p>
      <w:pPr>
        <w:pStyle w:val="Heading1"/>
      </w:pPr>
      <w:r>
        <w:t xml:space="preserve">16. Ongoing BAS Programme</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3000"/>
        <w:gridCol w:w="6360"/>
      </w:tblGrid>
      <w:tr>
        <w:trPr>
          <w:tblHeader/>
        </w:trPr>
        <w:tc>
          <w:tcPr>
            <w:tcW w:type="dxa" w:w="30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Trigger</w:t>
            </w:r>
          </w:p>
        </w:tc>
        <w:tc>
          <w:tcPr>
            <w:tcW w:type="dxa" w:w="636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BAS action</w:t>
            </w:r>
          </w:p>
        </w:tc>
      </w:tr>
      <w:tr>
        <w:trPr>
          <w:tblHeader w:val="false"/>
        </w:trPr>
        <w:tc>
          <w:tcPr>
            <w:tcW w:type="dxa" w:w="30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Continuous (autonomy layer)</w:t>
            </w:r>
          </w:p>
        </w:tc>
        <w:tc>
          <w:tcPr>
            <w:tcW w:type="dxa" w:w="63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Daily intel-driven cycles; recurrence checks on known findings</w:t>
            </w:r>
          </w:p>
        </w:tc>
      </w:tr>
      <w:tr>
        <w:trPr>
          <w:tblHeader w:val="false"/>
        </w:trPr>
        <w:tc>
          <w:tcPr>
            <w:tcW w:type="dxa" w:w="30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After any infrastructure change</w:t>
            </w:r>
          </w:p>
        </w:tc>
        <w:tc>
          <w:tcPr>
            <w:tcW w:type="dxa" w:w="63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Re-validate affected segments/controls immediately</w:t>
            </w:r>
          </w:p>
        </w:tc>
      </w:tr>
      <w:tr>
        <w:trPr>
          <w:tblHeader w:val="false"/>
        </w:trPr>
        <w:tc>
          <w:tcPr>
            <w:tcW w:type="dxa" w:w="30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Monthly</w:t>
            </w:r>
          </w:p>
        </w:tc>
        <w:tc>
          <w:tcPr>
            <w:tcW w:type="dxa" w:w="63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Full segmentation validation</w:t>
            </w:r>
          </w:p>
        </w:tc>
      </w:tr>
      <w:tr>
        <w:trPr>
          <w:tblHeader w:val="false"/>
        </w:trPr>
        <w:tc>
          <w:tcPr>
            <w:tcW w:type="dxa" w:w="30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Quarterly</w:t>
            </w:r>
          </w:p>
        </w:tc>
        <w:tc>
          <w:tcPr>
            <w:tcW w:type="dxa" w:w="63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Full A–J scenario suite + report to leadership</w:t>
            </w:r>
          </w:p>
        </w:tc>
      </w:tr>
      <w:tr>
        <w:trPr>
          <w:tblHeader w:val="false"/>
        </w:trPr>
        <w:tc>
          <w:tcPr>
            <w:tcW w:type="dxa" w:w="30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Annually</w:t>
            </w:r>
          </w:p>
        </w:tc>
        <w:tc>
          <w:tcPr>
            <w:tcW w:type="dxa" w:w="63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Comprehensive assessment alongside the human pen test</w:t>
            </w:r>
          </w:p>
        </w:tc>
      </w:tr>
      <w:tr>
        <w:trPr>
          <w:tblHeader w:val="false"/>
        </w:trPr>
        <w:tc>
          <w:tcPr>
            <w:tcW w:type="dxa" w:w="30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On M&amp;A (e.g. Roebuck)</w:t>
            </w:r>
          </w:p>
        </w:tc>
        <w:tc>
          <w:tcPr>
            <w:tcW w:type="dxa" w:w="63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Validate the acquired estate before folding it into the managed plane</w:t>
            </w:r>
          </w:p>
        </w:tc>
      </w:tr>
    </w:tbl>
    <w:p>
      <w:r>
        <w:br w:type="page"/>
      </w:r>
    </w:p>
    <w:p>
      <w:pPr>
        <w:pStyle w:val="Heading1"/>
      </w:pPr>
      <w:r>
        <w:t xml:space="preserve">17. Compliance Mapping</w:t>
      </w:r>
    </w:p>
    <w:tbl>
      <w:tblPr>
        <w:tblW w:type="dxa" w:w="9360"/>
        <w:tblBorders>
          <w:top w:val="single" w:color="D8D6CF" w:sz="4"/>
          <w:left w:val="single" w:color="D8D6CF" w:sz="4"/>
          <w:bottom w:val="single" w:color="D8D6CF" w:sz="4"/>
          <w:right w:val="single" w:color="D8D6CF" w:sz="4"/>
          <w:insideH w:val="single" w:color="D8D6CF" w:sz="4"/>
          <w:insideV w:val="single" w:color="D8D6CF" w:sz="4"/>
        </w:tblBorders>
      </w:tblPr>
      <w:tblGrid>
        <w:gridCol w:w="2100"/>
        <w:gridCol w:w="2900"/>
        <w:gridCol w:w="4360"/>
      </w:tblGrid>
      <w:tr>
        <w:trPr>
          <w:tblHeader/>
        </w:trPr>
        <w:tc>
          <w:tcPr>
            <w:tcW w:type="dxa" w:w="21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Framework</w:t>
            </w:r>
          </w:p>
        </w:tc>
        <w:tc>
          <w:tcPr>
            <w:tcW w:type="dxa" w:w="290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Requirement</w:t>
            </w:r>
          </w:p>
        </w:tc>
        <w:tc>
          <w:tcPr>
            <w:tcW w:type="dxa" w:w="4360"/>
            <w:shd w:fill="0C544E" w:val="clear"/>
            <w:tcMar>
              <w:top w:type="dxa" w:w="60"/>
              <w:left w:type="dxa" w:w="100"/>
              <w:bottom w:type="dxa" w:w="60"/>
              <w:right w:type="dxa" w:w="100"/>
            </w:tcMar>
            <w:vAlign w:val="center"/>
          </w:tcPr>
          <w:p>
            <w:pPr>
              <w:spacing w:after="0" w:line="244"/>
              <w:jc w:val="left"/>
            </w:pPr>
            <w:r>
              <w:rPr>
                <w:b/>
                <w:bCs/>
                <w:color w:val="FFFFFF"/>
                <w:sz w:val="17"/>
                <w:szCs w:val="17"/>
              </w:rPr>
              <w:t xml:space="preserve">How autonomous BAS evidences it</w:t>
            </w:r>
          </w:p>
        </w:tc>
      </w:tr>
      <w:tr>
        <w:trPr>
          <w:tblHeader w:val="false"/>
        </w:trPr>
        <w:tc>
          <w:tcPr>
            <w:tcW w:type="dxa" w:w="21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GDPR Art. 32 / 5(1)(f)</w:t>
            </w:r>
          </w:p>
        </w:tc>
        <w:tc>
          <w:tcPr>
            <w:tcW w:type="dxa" w:w="29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Appropriate, tested security measures</w:t>
            </w:r>
          </w:p>
        </w:tc>
        <w:tc>
          <w:tcPr>
            <w:tcW w:type="dxa" w:w="43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Standing, repeatable proof that TOMs actually stop attacks</w:t>
            </w:r>
          </w:p>
        </w:tc>
      </w:tr>
      <w:tr>
        <w:trPr>
          <w:tblHeader w:val="false"/>
        </w:trPr>
        <w:tc>
          <w:tcPr>
            <w:tcW w:type="dxa" w:w="21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NIS2 / BSIG (DE)</w:t>
            </w:r>
          </w:p>
        </w:tc>
        <w:tc>
          <w:tcPr>
            <w:tcW w:type="dxa" w:w="29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Risk-management + testing + reporting</w:t>
            </w:r>
          </w:p>
        </w:tc>
        <w:tc>
          <w:tcPr>
            <w:tcW w:type="dxa" w:w="43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Continuous control validation with audit-ready reports</w:t>
            </w:r>
          </w:p>
        </w:tc>
      </w:tr>
      <w:tr>
        <w:trPr>
          <w:tblHeader w:val="false"/>
        </w:trPr>
        <w:tc>
          <w:tcPr>
            <w:tcW w:type="dxa" w:w="21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DORA (AIFM)</w:t>
            </w:r>
          </w:p>
        </w:tc>
        <w:tc>
          <w:tcPr>
            <w:tcW w:type="dxa" w:w="29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Digital operational-resilience testing</w:t>
            </w:r>
          </w:p>
        </w:tc>
        <w:tc>
          <w:tcPr>
            <w:tcW w:type="dxa" w:w="43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Threat-led, continuous resilience evidence</w:t>
            </w:r>
          </w:p>
        </w:tc>
      </w:tr>
      <w:tr>
        <w:trPr>
          <w:tblHeader w:val="false"/>
        </w:trPr>
        <w:tc>
          <w:tcPr>
            <w:tcW w:type="dxa" w:w="21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ISO/IEC 27001</w:t>
            </w:r>
          </w:p>
        </w:tc>
        <w:tc>
          <w:tcPr>
            <w:tcW w:type="dxa" w:w="29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Demonstrable control effectiveness</w:t>
            </w:r>
          </w:p>
        </w:tc>
        <w:tc>
          <w:tcPr>
            <w:tcW w:type="dxa" w:w="43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Trend dashboards for auditors and certification</w:t>
            </w:r>
          </w:p>
        </w:tc>
      </w:tr>
      <w:tr>
        <w:trPr>
          <w:tblHeader w:val="false"/>
        </w:trPr>
        <w:tc>
          <w:tcPr>
            <w:tcW w:type="dxa" w:w="2100"/>
            <w:shd w:fill="ECECED"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Investor DDQ (RERP)</w:t>
            </w:r>
          </w:p>
        </w:tc>
        <w:tc>
          <w:tcPr>
            <w:tcW w:type="dxa" w:w="290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Evidence of cyber maturity</w:t>
            </w:r>
          </w:p>
        </w:tc>
        <w:tc>
          <w:tcPr>
            <w:tcW w:type="dxa" w:w="4360"/>
            <w:shd w:fill="FFFFFF" w:val="clear"/>
            <w:tcMar>
              <w:top w:type="dxa" w:w="60"/>
              <w:left w:type="dxa" w:w="100"/>
              <w:bottom w:type="dxa" w:w="60"/>
              <w:right w:type="dxa" w:w="100"/>
            </w:tcMar>
            <w:vAlign w:val="center"/>
          </w:tcPr>
          <w:p>
            <w:pPr>
              <w:spacing w:after="0" w:line="244"/>
              <w:jc w:val="left"/>
            </w:pPr>
            <w:r>
              <w:rPr>
                <w:b w:val="false"/>
                <w:bCs w:val="false"/>
                <w:color w:val="1A1A1A"/>
                <w:sz w:val="17"/>
                <w:szCs w:val="17"/>
              </w:rPr>
              <w:t xml:space="preserve">“We can prove it today” rather than “we believe so”</w:t>
            </w:r>
          </w:p>
        </w:tc>
      </w:tr>
    </w:tbl>
    <w:p>
      <w:r>
        <w:br w:type="page"/>
      </w:r>
    </w:p>
    <w:p>
      <w:pPr>
        <w:pStyle w:val="Heading1"/>
      </w:pPr>
      <w:r>
        <w:t xml:space="preserve">18. Frequently Asked Questions</w:t>
      </w:r>
    </w:p>
    <w:p>
      <w:pPr>
        <w:pStyle w:val="Heading3"/>
      </w:pPr>
      <w:r>
        <w:t xml:space="preserve">Will Infection Monkey crash systems or destroy data?</w:t>
      </w:r>
    </w:p>
    <w:p>
      <w:pPr>
        <w:spacing w:after="140" w:line="276"/>
      </w:pPr>
      <w:r>
        <w:t xml:space="preserve">No. It deliberately avoids crash-prone exploits (e.g. EternalBlue) and its ransomware simulation creates test files only — it does not encrypt real data.</w:t>
      </w:r>
    </w:p>
    <w:p>
      <w:pPr>
        <w:pStyle w:val="Heading3"/>
      </w:pPr>
      <w:r>
        <w:t xml:space="preserve">Does the AI ever act on production without a human?</w:t>
      </w:r>
    </w:p>
    <w:p>
      <w:pPr>
        <w:spacing w:after="140" w:line="276"/>
      </w:pPr>
      <w:r>
        <w:t xml:space="preserve">No. Routine intel-to-sandbox cycles are autonomous, but promotion of any new scenario to production always requires an authorised engineer's sign-off and a maintenance window.</w:t>
      </w:r>
    </w:p>
    <w:p>
      <w:pPr>
        <w:pStyle w:val="Heading3"/>
      </w:pPr>
      <w:r>
        <w:t xml:space="preserve">Does any Redevco data leave the building?</w:t>
      </w:r>
    </w:p>
    <w:p>
      <w:pPr>
        <w:spacing w:after="140" w:line="276"/>
      </w:pPr>
      <w:r>
        <w:t xml:space="preserve">No. QWEN 3.6 and Hermes run on Redevco hardware or in Redevco's own EU cloud tenancy. No prompts, estate data or results are sent to a third-party AI service.</w:t>
      </w:r>
    </w:p>
    <w:p>
      <w:pPr>
        <w:pStyle w:val="Heading3"/>
      </w:pPr>
      <w:r>
        <w:t xml:space="preserve">How is this different from our annual pen test?</w:t>
      </w:r>
    </w:p>
    <w:p>
      <w:pPr>
        <w:spacing w:after="140" w:line="276"/>
      </w:pPr>
      <w:r>
        <w:t xml:space="preserve">The pen test is a deep, point-in-time human exercise. Autonomous BAS is continuous and automated, re-tests every finding, ingests new exploits, and validates detections 24/7. Keep both.</w:t>
      </w:r>
    </w:p>
    <w:p>
      <w:pPr>
        <w:pStyle w:val="Heading3"/>
      </w:pPr>
      <w:r>
        <w:t xml:space="preserve">Is monitoring the dark net legal?</w:t>
      </w:r>
    </w:p>
    <w:p>
      <w:pPr>
        <w:spacing w:after="140" w:line="276"/>
      </w:pPr>
      <w:r>
        <w:t xml:space="preserve">Threat-intel monitoring for awareness and safe simulation is standard practice; it must be contracted to a reputable provider where possible and reviewed by Redevco legal. The programme never buys, stores or runs live malware against production.</w:t>
      </w:r>
    </w:p>
    <w:p>
      <w:pPr>
        <w:pStyle w:val="Heading3"/>
      </w:pPr>
      <w:r>
        <w:t xml:space="preserve">How often can we run it?</w:t>
      </w:r>
    </w:p>
    <w:p>
      <w:pPr>
        <w:spacing w:after="140" w:line="276"/>
      </w:pPr>
      <w:r>
        <w:t xml:space="preserve">As often as you like — the engine is open-source. Best practice: continuous autonomy cycles, monthly segmentation, quarterly full suite, annual comprehensive.</w:t>
      </w:r>
    </w:p>
    <w:p>
      <w:r>
        <w:br w:type="page"/>
      </w:r>
    </w:p>
    <w:p>
      <w:pPr>
        <w:pStyle w:val="Heading1"/>
      </w:pPr>
      <w:r>
        <w:t xml:space="preserve">19. Official Documentation &amp; Resources</w:t>
      </w:r>
    </w:p>
    <w:p>
      <w:pPr>
        <w:spacing w:after="140" w:line="276"/>
      </w:pPr>
      <w:r>
        <w:rPr>
          <w:b/>
          <w:bCs/>
        </w:rPr>
        <w:t xml:space="preserve">Always defer to the official, current documentation. </w:t>
      </w:r>
      <w:r>
        <w:t xml:space="preserve">This paper provides Redevco-specific context; the sources below are authoritative.</w:t>
      </w:r>
    </w:p>
    <w:p>
      <w:pPr>
        <w:pStyle w:val="Heading2"/>
      </w:pPr>
      <w:r>
        <w:t xml:space="preserve">19.1 Infection Monkey</w:t>
      </w:r>
    </w:p>
    <w:p>
      <w:pPr>
        <w:pStyle w:val="ListParagraph"/>
        <w:numPr>
          <w:ilvl w:val="0"/>
          <w:numId w:val="2"/>
        </w:numPr>
        <w:spacing w:after="56" w:line="264"/>
      </w:pPr>
      <w:r>
        <w:t xml:space="preserve">Documentation hub: </w:t>
      </w:r>
      <w:r>
        <w:rPr>
          <w:rFonts w:ascii="Consolas" w:cs="Consolas" w:eastAsia="Consolas" w:hAnsi="Consolas"/>
          <w:sz w:val="17"/>
          <w:szCs w:val="17"/>
        </w:rPr>
        <w:t xml:space="preserve">https://techdocs.akamai.com/infection-monkey/docs</w:t>
      </w:r>
    </w:p>
    <w:p>
      <w:pPr>
        <w:pStyle w:val="ListParagraph"/>
        <w:numPr>
          <w:ilvl w:val="0"/>
          <w:numId w:val="2"/>
        </w:numPr>
        <w:spacing w:after="56" w:line="264"/>
      </w:pPr>
      <w:r>
        <w:t xml:space="preserve">Docker / Azure / Linux setup, plugins, ransomware &amp; segmentation guides (same hub)</w:t>
      </w:r>
    </w:p>
    <w:p>
      <w:pPr>
        <w:pStyle w:val="ListParagraph"/>
        <w:numPr>
          <w:ilvl w:val="0"/>
          <w:numId w:val="2"/>
        </w:numPr>
        <w:spacing w:after="56" w:line="264"/>
      </w:pPr>
      <w:r>
        <w:t xml:space="preserve">Source &amp; releases: </w:t>
      </w:r>
      <w:r>
        <w:rPr>
          <w:rFonts w:ascii="Consolas" w:cs="Consolas" w:eastAsia="Consolas" w:hAnsi="Consolas"/>
          <w:sz w:val="17"/>
          <w:szCs w:val="17"/>
        </w:rPr>
        <w:t xml:space="preserve">https://github.com/guardicore/monkey</w:t>
      </w:r>
    </w:p>
    <w:p>
      <w:pPr>
        <w:pStyle w:val="ListParagraph"/>
        <w:numPr>
          <w:ilvl w:val="0"/>
          <w:numId w:val="2"/>
        </w:numPr>
        <w:spacing w:after="56" w:line="264"/>
      </w:pPr>
      <w:r>
        <w:t xml:space="preserve">Product page: </w:t>
      </w:r>
      <w:r>
        <w:rPr>
          <w:rFonts w:ascii="Consolas" w:cs="Consolas" w:eastAsia="Consolas" w:hAnsi="Consolas"/>
          <w:sz w:val="17"/>
          <w:szCs w:val="17"/>
        </w:rPr>
        <w:t xml:space="preserve">https://www.akamai.com/infectionmonkey</w:t>
      </w:r>
    </w:p>
    <w:p>
      <w:pPr>
        <w:pStyle w:val="Heading2"/>
      </w:pPr>
      <w:r>
        <w:t xml:space="preserve">19.2 BAS concepts &amp; criteria</w:t>
      </w:r>
    </w:p>
    <w:p>
      <w:pPr>
        <w:pStyle w:val="ListParagraph"/>
        <w:numPr>
          <w:ilvl w:val="0"/>
          <w:numId w:val="2"/>
        </w:numPr>
        <w:spacing w:after="56" w:line="264"/>
      </w:pPr>
      <w:r>
        <w:t xml:space="preserve">Rapid7 — What is BAS: </w:t>
      </w:r>
      <w:r>
        <w:rPr>
          <w:rFonts w:ascii="Consolas" w:cs="Consolas" w:eastAsia="Consolas" w:hAnsi="Consolas"/>
          <w:sz w:val="17"/>
          <w:szCs w:val="17"/>
        </w:rPr>
        <w:t xml:space="preserve">rapid7.com/fundamentals/what-is-breach-and-attack-simulation-bas</w:t>
      </w:r>
    </w:p>
    <w:p>
      <w:pPr>
        <w:pStyle w:val="ListParagraph"/>
        <w:numPr>
          <w:ilvl w:val="0"/>
          <w:numId w:val="2"/>
        </w:numPr>
        <w:spacing w:after="56" w:line="264"/>
      </w:pPr>
      <w:r>
        <w:t xml:space="preserve">XM Cyber — What are BAS (24/7 purple teaming): </w:t>
      </w:r>
      <w:r>
        <w:rPr>
          <w:rFonts w:ascii="Consolas" w:cs="Consolas" w:eastAsia="Consolas" w:hAnsi="Consolas"/>
          <w:sz w:val="17"/>
          <w:szCs w:val="17"/>
        </w:rPr>
        <w:t xml:space="preserve">xmcyber.com/glossary/what-are-breach-and-attack-simulations</w:t>
      </w:r>
    </w:p>
    <w:p>
      <w:pPr>
        <w:pStyle w:val="ListParagraph"/>
        <w:numPr>
          <w:ilvl w:val="0"/>
          <w:numId w:val="2"/>
        </w:numPr>
        <w:spacing w:after="56" w:line="264"/>
      </w:pPr>
      <w:r>
        <w:t xml:space="preserve">Pentera — BAS glossary: </w:t>
      </w:r>
      <w:r>
        <w:rPr>
          <w:rFonts w:ascii="Consolas" w:cs="Consolas" w:eastAsia="Consolas" w:hAnsi="Consolas"/>
          <w:sz w:val="17"/>
          <w:szCs w:val="17"/>
        </w:rPr>
        <w:t xml:space="preserve">pentera.io/glossary/breach-and-attack-simulation-bas</w:t>
      </w:r>
    </w:p>
    <w:p>
      <w:pPr>
        <w:pStyle w:val="ListParagraph"/>
        <w:numPr>
          <w:ilvl w:val="0"/>
          <w:numId w:val="2"/>
        </w:numPr>
        <w:spacing w:after="56" w:line="264"/>
      </w:pPr>
      <w:r>
        <w:t xml:space="preserve">Picus — Ten criteria for choosing BAS: </w:t>
      </w:r>
      <w:r>
        <w:rPr>
          <w:rFonts w:ascii="Consolas" w:cs="Consolas" w:eastAsia="Consolas" w:hAnsi="Consolas"/>
          <w:sz w:val="17"/>
          <w:szCs w:val="17"/>
        </w:rPr>
        <w:t xml:space="preserve">picussecurity.com/resource/ten-key-criteria-for-choosing-the-right-breach-and-attack-simulation</w:t>
      </w:r>
    </w:p>
    <w:p>
      <w:pPr>
        <w:pStyle w:val="ListParagraph"/>
        <w:numPr>
          <w:ilvl w:val="0"/>
          <w:numId w:val="2"/>
        </w:numPr>
        <w:spacing w:after="56" w:line="264"/>
      </w:pPr>
      <w:r>
        <w:t xml:space="preserve">AttackIQ, Paratus, Cymulate, Cyberpress — BAS best-practice references</w:t>
      </w:r>
    </w:p>
    <w:p>
      <w:pPr>
        <w:pStyle w:val="ListParagraph"/>
        <w:numPr>
          <w:ilvl w:val="0"/>
          <w:numId w:val="2"/>
        </w:numPr>
        <w:spacing w:after="56" w:line="264"/>
      </w:pPr>
      <w:r>
        <w:t xml:space="preserve">TS Solution — Infection Monkey vs Checkpoint IPS: </w:t>
      </w:r>
      <w:r>
        <w:rPr>
          <w:rFonts w:ascii="Consolas" w:cs="Consolas" w:eastAsia="Consolas" w:hAnsi="Consolas"/>
          <w:sz w:val="17"/>
          <w:szCs w:val="17"/>
        </w:rPr>
        <w:t xml:space="preserve">habr.com/ru/companies/tssolution/articles/510068</w:t>
      </w:r>
    </w:p>
    <w:p>
      <w:pPr>
        <w:pStyle w:val="ListParagraph"/>
        <w:numPr>
          <w:ilvl w:val="0"/>
          <w:numId w:val="2"/>
        </w:numPr>
        <w:spacing w:after="56" w:line="264"/>
      </w:pPr>
      <w:r>
        <w:t xml:space="preserve">arXiv — BAS research: </w:t>
      </w:r>
      <w:r>
        <w:rPr>
          <w:rFonts w:ascii="Consolas" w:cs="Consolas" w:eastAsia="Consolas" w:hAnsi="Consolas"/>
          <w:sz w:val="17"/>
          <w:szCs w:val="17"/>
        </w:rPr>
        <w:t xml:space="preserve">arxiv.org/html/2508.03882v1</w:t>
      </w:r>
    </w:p>
    <w:p>
      <w:r>
        <w:br w:type="page"/>
      </w:r>
    </w:p>
    <w:p>
      <w:pPr>
        <w:pStyle w:val="Heading1"/>
      </w:pPr>
      <w:r>
        <w:t xml:space="preserve">20. Appendix — Quick-Start Checklist</w:t>
      </w:r>
    </w:p>
    <w:p>
      <w:pPr>
        <w:pStyle w:val="ListParagraph"/>
        <w:numPr>
          <w:ilvl w:val="0"/>
          <w:numId w:val="3"/>
        </w:numPr>
        <w:spacing w:after="56" w:line="264"/>
      </w:pPr>
      <w:r>
        <w:t xml:space="preserve">Obtain written authorisation; confirm insurance &amp; legal sign-off (Section 2–3).</w:t>
      </w:r>
    </w:p>
    <w:p>
      <w:pPr>
        <w:pStyle w:val="ListParagraph"/>
        <w:numPr>
          <w:ilvl w:val="0"/>
          <w:numId w:val="3"/>
        </w:numPr>
        <w:spacing w:after="56" w:line="264"/>
      </w:pPr>
      <w:r>
        <w:t xml:space="preserve">Stand up the sandbox mirroring Redevco's M365 edge + acquired-estate hosts (Section 4).</w:t>
      </w:r>
    </w:p>
    <w:p>
      <w:pPr>
        <w:pStyle w:val="ListParagraph"/>
        <w:numPr>
          <w:ilvl w:val="0"/>
          <w:numId w:val="3"/>
        </w:numPr>
        <w:spacing w:after="56" w:line="264"/>
      </w:pPr>
      <w:r>
        <w:t xml:space="preserve">Deploy Monkey Island (Docker or Redevco cloud VM) restricted to management IPs (Section 7).</w:t>
      </w:r>
    </w:p>
    <w:p>
      <w:pPr>
        <w:pStyle w:val="ListParagraph"/>
        <w:numPr>
          <w:ilvl w:val="0"/>
          <w:numId w:val="3"/>
        </w:numPr>
        <w:spacing w:after="56" w:line="264"/>
      </w:pPr>
      <w:r>
        <w:t xml:space="preserve">Configure scope, credentials and propagation depth (Section 8).</w:t>
      </w:r>
    </w:p>
    <w:p>
      <w:pPr>
        <w:pStyle w:val="ListParagraph"/>
        <w:numPr>
          <w:ilvl w:val="0"/>
          <w:numId w:val="3"/>
        </w:numPr>
        <w:spacing w:after="56" w:line="264"/>
      </w:pPr>
      <w:r>
        <w:t xml:space="preserve">Run scenarios A–J in the sandbox; validate detections in Sentinel (Section 10, 13).</w:t>
      </w:r>
    </w:p>
    <w:p>
      <w:pPr>
        <w:pStyle w:val="ListParagraph"/>
        <w:numPr>
          <w:ilvl w:val="0"/>
          <w:numId w:val="3"/>
        </w:numPr>
        <w:spacing w:after="56" w:line="264"/>
      </w:pPr>
      <w:r>
        <w:t xml:space="preserve">Stand up QWEN 3.6 + Hermes locally or in Redevco's EU cloud; wire the continuous loop with guardrails (Section 11).</w:t>
      </w:r>
    </w:p>
    <w:p>
      <w:pPr>
        <w:pStyle w:val="ListParagraph"/>
        <w:numPr>
          <w:ilvl w:val="0"/>
          <w:numId w:val="3"/>
        </w:numPr>
        <w:spacing w:after="56" w:line="264"/>
      </w:pPr>
      <w:r>
        <w:t xml:space="preserve">Promote validated scenarios to production under sign-off; report to SOC, infra and board (Section 14).</w:t>
      </w:r>
    </w:p>
    <w:p>
      <w:pPr>
        <w:pStyle w:val="ListParagraph"/>
        <w:numPr>
          <w:ilvl w:val="0"/>
          <w:numId w:val="3"/>
        </w:numPr>
        <w:spacing w:after="56" w:line="264"/>
      </w:pPr>
      <w:r>
        <w:t xml:space="preserve">Operationalise the ongoing cadence and compliance reporting (Section 16–17).</w:t>
      </w:r>
    </w:p>
    <w:p>
      <w:pPr>
        <w:spacing w:after="120"/>
      </w:pPr>
    </w:p>
    <w:p>
      <w:pPr>
        <w:pBdr>
          <w:top w:val="single" w:color="00D7BD" w:sz="12" w:space="6"/>
        </w:pBdr>
        <w:spacing w:after="40" w:before="120"/>
      </w:pPr>
      <w:r>
        <w:rPr>
          <w:color w:val="5B6470"/>
          <w:sz w:val="17"/>
          <w:szCs w:val="17"/>
        </w:rPr>
        <w:t xml:space="preserve">Prepared by Colt Technology Services — Cyber Advisory, in partnership with S4Biz (Stars4Business).</w:t>
      </w:r>
    </w:p>
    <w:p>
      <w:r>
        <w:rPr>
          <w:color w:val="5B6470"/>
          <w:sz w:val="16"/>
          <w:szCs w:val="16"/>
        </w:rPr>
        <w:t xml:space="preserve">CONFIDENTIAL — BAS A-to-Z Bible · Redevco · v1.0 · June 2026</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6CF" w:sz="4" w:space="4"/>
      </w:pBdr>
      <w:tabs>
        <w:tab w:val="right" w:pos="9360"/>
      </w:tabs>
      <w:spacing w:before="0"/>
    </w:pPr>
    <w:r>
      <w:rPr>
        <w:color w:val="5B6470"/>
        <w:sz w:val="14"/>
        <w:szCs w:val="14"/>
      </w:rPr>
      <w:t xml:space="preserve">Redevco · Infection Monkey + QWEN 3.6 + Hermes · v1.0</w:t>
    </w:r>
    <w:r>
      <w:rPr>
        <w:color w:val="5B6470"/>
        <w:sz w:val="14"/>
        <w:szCs w:val="14"/>
      </w:rPr>
      <w:t xml:space="preserve">	Page </w:t>
    </w:r>
    <w:r>
      <w:rPr>
        <w:color w:val="5B6470"/>
        <w:sz w:val="14"/>
        <w:szCs w:val="14"/>
      </w:rPr>
      <w:fldChar w:fldCharType="begin"/>
      <w:instrText xml:space="preserve">PAGE</w:instrText>
      <w:fldChar w:fldCharType="separate"/>
      <w:fldChar w:fldCharType="end"/>
    </w:r>
    <w:r>
      <w:rPr>
        <w:color w:val="5B6470"/>
        <w:sz w:val="14"/>
        <w:szCs w:val="14"/>
      </w:rPr>
      <w:t xml:space="preserve"> of </w:t>
    </w:r>
    <w:r>
      <w:rPr>
        <w:color w:val="5B647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6CF" w:sz="4" w:space="4"/>
      </w:pBdr>
      <w:tabs>
        <w:tab w:val="right" w:pos="9360"/>
      </w:tabs>
      <w:spacing w:after="0"/>
    </w:pPr>
    <w:r>
      <w:rPr>
        <w:rFonts w:ascii="Arial" w:cs="Arial" w:eastAsia="Arial" w:hAnsi="Arial"/>
        <w:b/>
        <w:bCs/>
        <w:color w:val="0C544E"/>
        <w:sz w:val="18"/>
        <w:szCs w:val="18"/>
      </w:rPr>
      <w:t xml:space="preserve">colt</w:t>
    </w:r>
    <w:r>
      <w:rPr>
        <w:color w:val="5B6470"/>
        <w:spacing w:val="10"/>
        <w:sz w:val="14"/>
        <w:szCs w:val="14"/>
      </w:rPr>
      <w:t xml:space="preserve">	BAS A-to-Z BIBLE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0D7BD"/>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0C544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D7BD" w:sz="10" w:space="4"/>
      </w:pBdr>
      <w:spacing w:after="150" w:before="280"/>
      <w:outlineLvl w:val="0"/>
    </w:pPr>
    <w:rPr>
      <w:rFonts w:ascii="Arial" w:cs="Arial" w:eastAsia="Arial" w:hAnsi="Arial"/>
      <w:b/>
      <w:bCs/>
      <w:color w:val="0C544E"/>
      <w:sz w:val="28"/>
      <w:szCs w:val="28"/>
    </w:rPr>
  </w:style>
  <w:style w:type="paragraph" w:styleId="Heading2">
    <w:name w:val="Heading 2"/>
    <w:basedOn w:val="Normal"/>
    <w:next w:val="Normal"/>
    <w:qFormat/>
    <w:pPr>
      <w:spacing w:after="90" w:before="200"/>
      <w:outlineLvl w:val="1"/>
    </w:pPr>
    <w:rPr>
      <w:rFonts w:ascii="Arial" w:cs="Arial" w:eastAsia="Arial" w:hAnsi="Arial"/>
      <w:b/>
      <w:bCs/>
      <w:color w:val="0C544E"/>
      <w:sz w:val="23"/>
      <w:szCs w:val="23"/>
    </w:rPr>
  </w:style>
  <w:style w:type="paragraph" w:styleId="Heading3">
    <w:name w:val="Heading 3"/>
    <w:basedOn w:val="Normal"/>
    <w:next w:val="Normal"/>
    <w:qFormat/>
    <w:pPr>
      <w:spacing w:after="70" w:before="150"/>
      <w:outlineLvl w:val="2"/>
    </w:pPr>
    <w:rPr>
      <w:rFonts w:ascii="Arial" w:cs="Arial" w:eastAsia="Arial" w:hAnsi="Arial"/>
      <w:b/>
      <w:bCs/>
      <w:color w:val="47494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Redevco BAS A-to-Z Bible — Infection Monkey + QWEN 3.6 + Hermes</dc:title>
  <dc:creator>Colt Technology Services — Cyber Advisory</dc:creator>
  <cp:lastModifiedBy>Un-named</cp:lastModifiedBy>
  <cp:revision>1</cp:revision>
  <dcterms:created xsi:type="dcterms:W3CDTF">2026-06-25T15:24:09.568Z</dcterms:created>
  <dcterms:modified xsi:type="dcterms:W3CDTF">2026-06-25T15:24:09.569Z</dcterms:modified>
</cp:coreProperties>
</file>

<file path=docProps/custom.xml><?xml version="1.0" encoding="utf-8"?>
<Properties xmlns="http://schemas.openxmlformats.org/officeDocument/2006/custom-properties" xmlns:vt="http://schemas.openxmlformats.org/officeDocument/2006/docPropsVTypes"/>
</file>