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0C544E"/>
          <w:sz w:val="64"/>
          <w:szCs w:val="64"/>
        </w:rPr>
        <w:t xml:space="preserve">colt</w:t>
      </w:r>
    </w:p>
    <w:p>
      <w:pPr>
        <w:pBdr>
          <w:bottom w:val="single" w:color="00D7BD" w:sz="18" w:space="6"/>
        </w:pBdr>
        <w:spacing w:after="0" w:before="40"/>
      </w:pPr>
      <w:r>
        <w:rPr>
          <w:b/>
          <w:bCs/>
          <w:color w:val="5B6470"/>
          <w:spacing w:val="30"/>
          <w:sz w:val="16"/>
          <w:szCs w:val="16"/>
        </w:rPr>
        <w:t xml:space="preserve">TECHNOLOGY SERVICES  ·  CYBER ADVISORY</w:t>
      </w:r>
    </w:p>
    <w:p>
      <w:pPr>
        <w:spacing w:after="420"/>
      </w:pPr>
    </w:p>
    <w:p>
      <w:pPr>
        <w:spacing w:after="60"/>
      </w:pPr>
      <w:r>
        <w:rPr>
          <w:b/>
          <w:bCs/>
          <w:color w:val="00D7BD"/>
          <w:spacing w:val="20"/>
          <w:sz w:val="20"/>
          <w:szCs w:val="20"/>
        </w:rPr>
        <w:t xml:space="preserve">RESPONSIBLE SECURITY DISCLOSURE &amp; REGULATORY EXPOSURE ASSESSMENT</w:t>
      </w:r>
    </w:p>
    <w:p>
      <w:pPr>
        <w:spacing w:after="80"/>
      </w:pPr>
      <w:r>
        <w:rPr>
          <w:b/>
          <w:bCs/>
          <w:color w:val="121212"/>
          <w:sz w:val="52"/>
          <w:szCs w:val="52"/>
        </w:rPr>
        <w:t xml:space="preserve">Internet-Exposed Employee Time-Tracking Portal</w:t>
      </w:r>
    </w:p>
    <w:p>
      <w:pPr>
        <w:spacing w:after="300"/>
      </w:pPr>
      <w:r>
        <w:rPr>
          <w:b/>
          <w:bCs/>
          <w:color w:val="0C544E"/>
          <w:sz w:val="32"/>
          <w:szCs w:val="32"/>
        </w:rPr>
        <w:t xml:space="preserve">Redevco — German Entity (Redevco GmbH)</w:t>
      </w:r>
    </w:p>
    <w:p>
      <w:pPr>
        <w:spacing w:after="120"/>
      </w:pP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300"/>
        <w:gridCol w:w="7060"/>
      </w:tblGrid>
      <w:tr>
        <w:trPr>
          <w:tblHeader/>
        </w:trPr>
        <w:tc>
          <w:tcPr>
            <w:tcW w:type="dxa" w:w="23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Subject</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Unauthenticated internet exposure of timecard-redevco.de (REINER SCT timeCard) disclosing internal systems and the DATEV payroll data path</w:t>
            </w:r>
          </w:p>
        </w:tc>
      </w:tr>
      <w:tr>
        <w:trPr>
          <w:tblHeader w:val="false"/>
        </w:trPr>
        <w:tc>
          <w:tcPr>
            <w:tcW w:type="dxa" w:w="23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Affected entity</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GmbH (German operating entity) — data controller; Wortmann AG (DE) — hosting processor</w:t>
            </w:r>
          </w:p>
        </w:tc>
      </w:tr>
      <w:tr>
        <w:trPr>
          <w:tblHeader w:val="false"/>
        </w:trPr>
        <w:tc>
          <w:tcPr>
            <w:tcW w:type="dxa" w:w="23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Classification</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CONFIDENTIAL — Responsible Disclosure / Regulatory Brief</w:t>
            </w:r>
          </w:p>
        </w:tc>
      </w:tr>
      <w:tr>
        <w:trPr>
          <w:tblHeader w:val="false"/>
        </w:trPr>
        <w:tc>
          <w:tcPr>
            <w:tcW w:type="dxa" w:w="23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Prepared by</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Colt Technology Services — Cyber Advisory, in partnership with S4Biz (Stars4Business)</w:t>
            </w:r>
          </w:p>
        </w:tc>
      </w:tr>
      <w:tr>
        <w:trPr>
          <w:tblHeader w:val="false"/>
        </w:trPr>
        <w:tc>
          <w:tcPr>
            <w:tcW w:type="dxa" w:w="23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Report date</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 June 2026  ·  Version 1.0</w:t>
            </w:r>
          </w:p>
        </w:tc>
      </w:tr>
      <w:tr>
        <w:trPr>
          <w:tblHeader w:val="false"/>
        </w:trPr>
        <w:tc>
          <w:tcPr>
            <w:tcW w:type="dxa" w:w="23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Authority routing</w:t>
            </w:r>
          </w:p>
        </w:tc>
        <w:tc>
          <w:tcPr>
            <w:tcW w:type="dxa" w:w="70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Competent State DPA (LDI NRW) under GDPR/BDSG · BSI / CERT-Bund under the BSI Act (NIS2UmsuCG)</w:t>
            </w:r>
          </w:p>
        </w:tc>
      </w:tr>
    </w:tbl>
    <w:p>
      <w:pPr>
        <w:spacing w:after="200"/>
      </w:pPr>
    </w:p>
    <w:p>
      <w:r>
        <w:rPr>
          <w:i/>
          <w:iCs/>
          <w:color w:val="5B6470"/>
          <w:sz w:val="16"/>
          <w:szCs w:val="16"/>
        </w:rPr>
        <w:t xml:space="preserve">This document is a technical and compliance assessment prepared in good faith for responsible disclosure. It is not legal advice. All observations were obtained by passive, non-intrusive means. Euro and percentage figures are illustrative model output, not measured loss or a prediction of any regulator's decision.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b/>
          <w:bCs/>
        </w:rPr>
        <w:t xml:space="preserve">A production employee time-tracking portal belonging to Redevco's German entity is reachable from the open internet and is leaking a map of its own internal systems and its payroll data path. </w:t>
      </w:r>
      <w:r>
        <w:t xml:space="preserve">The host </w:t>
      </w:r>
      <w:r>
        <w:rPr>
          <w:rFonts w:ascii="Consolas" w:cs="Consolas" w:eastAsia="Consolas" w:hAnsi="Consolas"/>
          <w:sz w:val="17"/>
          <w:szCs w:val="17"/>
        </w:rPr>
        <w:t xml:space="preserve">timecard-redevco.de</w:t>
      </w:r>
      <w:r>
        <w:t xml:space="preserve"> (TCP/10443) runs REINER SCT timeCard 25.02.07 and is hosted by a third-party German reseller/hoster, Wortmann AG. On every page load the application returns a Content-Security-Policy (CSP) header that enumerates the internal and third-party systems it trusts — including an internal build/server host, a developer loopback endpoint, and the integration to </w:t>
      </w:r>
      <w:r>
        <w:rPr>
          <w:b/>
          <w:bCs/>
        </w:rPr>
        <w:t xml:space="preserve">DATEV</w:t>
      </w:r>
      <w:r>
        <w:t xml:space="preserve">, the German payroll and accounting platform. In plain terms: an attacker does not need to break in to learn how Redevco's German HR and payroll estate is wired together. The portal advertises it.</w:t>
      </w:r>
    </w:p>
    <w:p>
      <w:pPr>
        <w:spacing w:after="140" w:line="276"/>
      </w:pPr>
      <w:r>
        <w:rPr>
          <w:b/>
          <w:bCs/>
        </w:rPr>
        <w:t xml:space="preserve">Exposure of this kind is, in itself, a likely breach of the security and confidentiality obligations of the GDPR/DSGVO — independent of whether any data has yet been exfiltrated. </w:t>
      </w:r>
      <w:r>
        <w:t xml:space="preserve">Because the portal processes employee personal data for a German workforce, the relevant duties run to Redevco GmbH as data controller under the GDPR, the German Federal Data Protection Act (BDSG §26), works-council co-determination law, and — for the supporting infrastructure — the BSI Act as amended by Germany's NIS2 Implementation Act (NIS2UmsuCG, in force since 6 December 2025).</w:t>
      </w:r>
    </w:p>
    <w:p>
      <w:pPr>
        <w:spacing w:after="140" w:line="276"/>
      </w:pPr>
      <w:r>
        <w:rPr>
          <w:b/>
          <w:bCs/>
        </w:rPr>
        <w:t xml:space="preserve">The finding was disclosed to Redevco and remained unremediated for several weeks. </w:t>
      </w:r>
      <w:r>
        <w:t xml:space="preserve">It was first surfaced in Colt's complimentary external attack-surface assessment delivered on or about 9 June 2026, reiterated in the subsequent briefing and workshop, and as of this report's date (25 June 2026) the portal is still externally reachable and still leaking the same internal map. The customer's written position of 25 June 2026 acknowledged “TimeCard” while declining further validation work in favour of an annual penetration test. A known, reported employee-data exposure left open for weeks is precisely the duration-and-negligence pattern that data-protection regulators treat as an aggravating factor.</w:t>
      </w:r>
    </w:p>
    <w:tbl>
      <w:tblPr>
        <w:tblW w:type="dxa" w:w="9360"/>
        <w:tblBorders>
          <w:top w:val="none"/>
          <w:left w:val="none"/>
          <w:bottom w:val="none"/>
          <w:right w:val="none"/>
          <w:insideH w:val="none"/>
          <w:insideV w:val="none"/>
        </w:tblBorders>
      </w:tblPr>
      <w:tblGrid>
        <w:gridCol w:w="80"/>
        <w:gridCol w:w="9280"/>
      </w:tblGrid>
      <w:tr>
        <w:tc>
          <w:tcPr>
            <w:tcW w:type="dxa" w:w="80"/>
            <w:shd w:fill="F20C36"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Why this report exists</w:t>
            </w:r>
          </w:p>
          <w:p>
            <w:pPr>
              <w:spacing w:after="0" w:line="268"/>
            </w:pPr>
            <w:r>
              <w:rPr>
                <w:sz w:val="19"/>
                <w:szCs w:val="19"/>
              </w:rPr>
              <w:t xml:space="preserve">To document the exposure responsibly, to set out the regulatory obligations it triggers for Redevco GmbH and the Redevco group, and — because the affected workforce is German and the data path touches payroll — to provide a notification annex suitable for the competent German Data Protection Authority and the BSI. The goal is remediation and lawful handling, not blame.</w:t>
            </w:r>
          </w:p>
        </w:tc>
      </w:tr>
    </w:tbl>
    <w:p>
      <w:pPr>
        <w:spacing w:after="40"/>
      </w:pPr>
    </w:p>
    <w:p>
      <w:pPr>
        <w:pStyle w:val="Heading2"/>
      </w:pPr>
      <w:r>
        <w:t xml:space="preserve">1.1 At a glance</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600"/>
        <w:gridCol w:w="6760"/>
      </w:tblGrid>
      <w:tr>
        <w:trPr>
          <w:tblHeader/>
        </w:trPr>
        <w:tc>
          <w:tcPr>
            <w:tcW w:type="dxa" w:w="26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Item</w:t>
            </w:r>
          </w:p>
        </w:tc>
        <w:tc>
          <w:tcPr>
            <w:tcW w:type="dxa" w:w="67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Assessment</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Severity</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CRITICAL — internal-system and payroll-path disclosure on an unauthenticated, internet-facing employee portal</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Personal data in scope</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Employee identity, working-time / attendance records, and the payroll (DATEV) data flow of the German workforce</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Primary legal exposure</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5(1)(f) &amp; Art. 32 (security/confidentiality); Art. 25, 28, 24; potential Art. 33/34 notification duties; BDSG §26; BetrVG §87(1) No. 6</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Statutory fine ceiling</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Up to 4% of total worldwide annual turnover or €20m (higher tier) / 2% or €10m (lower tier) — see Section 7</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Time exposed (known)</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 2 weeks after disclosure and counting (≈9 June → 25 June 2026), unremediated</w:t>
            </w:r>
          </w:p>
        </w:tc>
      </w:tr>
      <w:tr>
        <w:trPr>
          <w:tblHeader w:val="false"/>
        </w:trPr>
        <w:tc>
          <w:tcPr>
            <w:tcW w:type="dxa" w:w="2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Recommended action</w:t>
            </w:r>
          </w:p>
        </w:tc>
        <w:tc>
          <w:tcPr>
            <w:tcW w:type="dxa" w:w="6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Take the portal off the public internet within 24–72h; rotate/triage; notify DPO and assess the Art. 33 clock; remediate per Section 9</w:t>
            </w:r>
          </w:p>
        </w:tc>
      </w:tr>
    </w:tbl>
    <w:p>
      <w:r>
        <w:br w:type="page"/>
      </w:r>
    </w:p>
    <w:p>
      <w:pPr>
        <w:pStyle w:val="Heading1"/>
      </w:pPr>
      <w:r>
        <w:t xml:space="preserve">2. Subject of Disclosure</w:t>
      </w:r>
    </w:p>
    <w:p>
      <w:pPr>
        <w:spacing w:after="140" w:line="276"/>
      </w:pPr>
      <w:r>
        <w:t xml:space="preserve">The subject of this disclosure is a single internet-facing asset and the information it discloses. It was identified during a passive external attack-surface review of Redevco and its acquired Roebuck logistics business. No scanning, authentication or intrusion was performed against any Redevco system; all observations derive from publicly returned service banners, TLS certificates and HTTP response headers.</w:t>
      </w:r>
    </w:p>
    <w:p>
      <w:pPr>
        <w:pStyle w:val="Heading2"/>
      </w:pPr>
      <w:r>
        <w:t xml:space="preserve">2.1 The asset</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200"/>
        <w:gridCol w:w="7160"/>
      </w:tblGrid>
      <w:tr>
        <w:trPr>
          <w:tblHeader/>
        </w:trPr>
        <w:tc>
          <w:tcPr>
            <w:tcW w:type="dxa" w:w="22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Attribute</w:t>
            </w:r>
          </w:p>
        </w:tc>
        <w:tc>
          <w:tcPr>
            <w:tcW w:type="dxa" w:w="71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Observed value</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Hostname</w:t>
            </w:r>
          </w:p>
        </w:tc>
        <w:tc>
          <w:tcPr>
            <w:tcW w:type="dxa" w:w="7160"/>
            <w:shd w:fill="FFFFFF" w:val="clear"/>
            <w:tcMar>
              <w:top w:type="dxa" w:w="70"/>
              <w:left w:type="dxa" w:w="110"/>
              <w:bottom w:type="dxa" w:w="70"/>
              <w:right w:type="dxa" w:w="110"/>
            </w:tcMar>
            <w:vAlign w:val="center"/>
          </w:tcPr>
          <w:p>
            <w:r>
              <w:rPr>
                <w:rFonts w:ascii="Consolas" w:cs="Consolas" w:eastAsia="Consolas" w:hAnsi="Consolas"/>
                <w:sz w:val="17"/>
                <w:szCs w:val="17"/>
              </w:rPr>
              <w:t xml:space="preserve">timecard-redevco.de</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Service / port</w:t>
            </w:r>
          </w:p>
        </w:tc>
        <w:tc>
          <w:tcPr>
            <w:tcW w:type="dxa" w:w="71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HTTPS on TCP/10443 (non-standard administrative port)</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Application</w:t>
            </w:r>
          </w:p>
        </w:tc>
        <w:tc>
          <w:tcPr>
            <w:tcW w:type="dxa" w:w="71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REINER SCT timeCard 25.02.07 (ASP.NET) — commercial workforce time-tracking / attendance software</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Hosting</w:t>
            </w:r>
          </w:p>
        </w:tc>
        <w:tc>
          <w:tcPr>
            <w:tcW w:type="dxa" w:w="71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Wortmann AG, Aalen, Germany (AS60175) — a third-party IT-hardware reseller / hoster, not Redevco's corporate cloud</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Business owner</w:t>
            </w:r>
          </w:p>
        </w:tc>
        <w:tc>
          <w:tcPr>
            <w:tcW w:type="dxa" w:w="71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GmbH — German HR / workforce administration</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Exposure type</w:t>
            </w:r>
          </w:p>
        </w:tc>
        <w:tc>
          <w:tcPr>
            <w:tcW w:type="dxa" w:w="71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Unauthenticated reachability + information disclosure via security-header misconfiguration</w:t>
            </w:r>
          </w:p>
        </w:tc>
      </w:tr>
    </w:tbl>
    <w:p>
      <w:pPr>
        <w:spacing w:after="40"/>
      </w:pPr>
    </w:p>
    <w:p>
      <w:pPr>
        <w:pStyle w:val="Heading2"/>
      </w:pPr>
      <w:r>
        <w:t xml:space="preserve">2.2 What is being disclosed</w:t>
      </w:r>
    </w:p>
    <w:p>
      <w:pPr>
        <w:spacing w:after="140" w:line="276"/>
      </w:pPr>
      <w:r>
        <w:t xml:space="preserve">On the login redirect the application returns a Content-Security-Policy header. A CSP is meant to be a security control — it tells the browser which sources are trusted. Here it has been populated with internal and third-party hosts, which turns a defensive header into a public inventory of Redevco's HR/payroll wiring. The relevant directives (verbatim excerpt) are:</w:t>
      </w:r>
    </w:p>
    <w:p>
      <w:pPr>
        <w:pBdr>
          <w:left w:val="single" w:color="00D7BD" w:sz="18" w:space="6"/>
        </w:pBdr>
        <w:shd w:fill="121212" w:val="clear"/>
        <w:spacing w:after="80" w:before="80" w:line="240"/>
      </w:pPr>
      <w:r>
        <w:rPr>
          <w:rFonts w:ascii="Consolas" w:cs="Consolas" w:eastAsia="Consolas" w:hAnsi="Consolas"/>
          <w:color w:val="ECECED"/>
          <w:sz w:val="16"/>
          <w:szCs w:val="16"/>
        </w:rPr>
        <w:t xml:space="preserve">script-src   'self' 'unsafe-inline' 'unsafe-eval' cdnjs.cloudflare.com</w:t>
      </w:r>
      <w:r>
        <w:rPr>
          <w:rFonts w:ascii="Consolas" w:cs="Consolas" w:eastAsia="Consolas" w:hAnsi="Consolas"/>
          <w:color w:val="ECECED"/>
          <w:sz w:val="16"/>
          <w:szCs w:val="16"/>
        </w:rPr>
        <w:br/>
        <w:t xml:space="preserve">             127.0.0.1:8800  morris-server.de:8801</w:t>
      </w:r>
      <w:r>
        <w:rPr>
          <w:rFonts w:ascii="Consolas" w:cs="Consolas" w:eastAsia="Consolas" w:hAnsi="Consolas"/>
          <w:color w:val="ECECED"/>
          <w:sz w:val="16"/>
          <w:szCs w:val="16"/>
        </w:rPr>
        <w:br/>
        <w:t xml:space="preserve">connect-src  'self' license01.reiner-sct.de *.datev.de support.reiner-sct.de</w:t>
      </w:r>
      <w:r>
        <w:rPr>
          <w:rFonts w:ascii="Consolas" w:cs="Consolas" w:eastAsia="Consolas" w:hAnsi="Consolas"/>
          <w:color w:val="ECECED"/>
          <w:sz w:val="16"/>
          <w:szCs w:val="16"/>
        </w:rPr>
        <w:br/>
        <w:t xml:space="preserve">img-src      'self' *.openstreetmap.de data:</w:t>
      </w:r>
    </w:p>
    <w:p>
      <w:pPr>
        <w:spacing w:after="140" w:line="276"/>
      </w:pPr>
      <w:r>
        <w:t xml:space="preserve">Read as an attacker would read it, this header discloses:</w:t>
      </w:r>
    </w:p>
    <w:p>
      <w:pPr>
        <w:pStyle w:val="ListParagraph"/>
        <w:numPr>
          <w:ilvl w:val="0"/>
          <w:numId w:val="2"/>
        </w:numPr>
        <w:spacing w:after="60" w:line="268"/>
      </w:pPr>
      <w:r>
        <w:rPr>
          <w:b/>
          <w:bCs/>
        </w:rPr>
        <w:t xml:space="preserve">An internal build/server host — </w:t>
      </w:r>
      <w:r>
        <w:rPr>
          <w:rFonts w:ascii="Consolas" w:cs="Consolas" w:eastAsia="Consolas" w:hAnsi="Consolas"/>
          <w:sz w:val="17"/>
          <w:szCs w:val="17"/>
        </w:rPr>
        <w:t xml:space="preserve">morris-server.de:8801</w:t>
      </w:r>
      <w:r>
        <w:t xml:space="preserve"> — naming infrastructure that should never appear in a public response.</w:t>
      </w:r>
    </w:p>
    <w:p>
      <w:pPr>
        <w:pStyle w:val="ListParagraph"/>
        <w:numPr>
          <w:ilvl w:val="0"/>
          <w:numId w:val="2"/>
        </w:numPr>
        <w:spacing w:after="60" w:line="268"/>
      </w:pPr>
      <w:r>
        <w:rPr>
          <w:b/>
          <w:bCs/>
        </w:rPr>
        <w:t xml:space="preserve">A developer loopback endpoint — </w:t>
      </w:r>
      <w:r>
        <w:rPr>
          <w:rFonts w:ascii="Consolas" w:cs="Consolas" w:eastAsia="Consolas" w:hAnsi="Consolas"/>
          <w:sz w:val="17"/>
          <w:szCs w:val="17"/>
        </w:rPr>
        <w:t xml:space="preserve">127.0.0.1:8800</w:t>
      </w:r>
      <w:r>
        <w:t xml:space="preserve"> — evidence that development/debug configuration has reached production.</w:t>
      </w:r>
    </w:p>
    <w:p>
      <w:pPr>
        <w:pStyle w:val="ListParagraph"/>
        <w:numPr>
          <w:ilvl w:val="0"/>
          <w:numId w:val="2"/>
        </w:numPr>
        <w:spacing w:after="60" w:line="268"/>
      </w:pPr>
      <w:r>
        <w:rPr>
          <w:b/>
          <w:bCs/>
        </w:rPr>
        <w:t xml:space="preserve">The payroll integration — </w:t>
      </w:r>
      <w:r>
        <w:rPr>
          <w:rFonts w:ascii="Consolas" w:cs="Consolas" w:eastAsia="Consolas" w:hAnsi="Consolas"/>
          <w:sz w:val="17"/>
          <w:szCs w:val="17"/>
        </w:rPr>
        <w:t xml:space="preserve">*.datev.de</w:t>
      </w:r>
      <w:r>
        <w:t xml:space="preserve"> — confirming that employee time data flows into DATEV, Germany's dominant payroll/accounting platform. This establishes, with no intrusion required, that employee and payroll data are in scope of this portal.</w:t>
      </w:r>
    </w:p>
    <w:tbl>
      <w:tblPr>
        <w:tblW w:type="dxa" w:w="9360"/>
        <w:tblBorders>
          <w:top w:val="none"/>
          <w:left w:val="none"/>
          <w:bottom w:val="none"/>
          <w:right w:val="none"/>
          <w:insideH w:val="none"/>
          <w:insideV w:val="none"/>
        </w:tblBorders>
      </w:tblPr>
      <w:tblGrid>
        <w:gridCol w:w="80"/>
        <w:gridCol w:w="9280"/>
      </w:tblGrid>
      <w:tr>
        <w:tc>
          <w:tcPr>
            <w:tcW w:type="dxa" w:w="80"/>
            <w:shd w:fill="FF7900"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The key point</w:t>
            </w:r>
          </w:p>
          <w:p>
            <w:pPr>
              <w:spacing w:after="0" w:line="268"/>
            </w:pPr>
            <w:r>
              <w:rPr>
                <w:sz w:val="19"/>
                <w:szCs w:val="19"/>
              </w:rPr>
              <w:t xml:space="preserve">Harm does not depend on a breach. The header is a ready-made reconnaissance map and a confirmation that personal and payroll data are processed here. Under the GDPR, publishing your own internal-systems inventory and payroll data-path from an unauthenticated production endpoint is itself a failure of the “appropriate technical and organisational measures” the law requires — see Section 6.</w:t>
            </w:r>
          </w:p>
        </w:tc>
      </w:tr>
    </w:tbl>
    <w:p>
      <w:r>
        <w:br w:type="page"/>
      </w:r>
    </w:p>
    <w:p>
      <w:pPr>
        <w:pStyle w:val="Heading1"/>
      </w:pPr>
      <w:r>
        <w:t xml:space="preserve">3. Disclosure Timeline &amp; the Non-Remediation Window</w:t>
      </w:r>
    </w:p>
    <w:p>
      <w:pPr>
        <w:spacing w:after="140" w:line="276"/>
      </w:pPr>
      <w:r>
        <w:t xml:space="preserve">Responsible disclosure depends on the reporter acting in good faith and the recipient acting promptly. Colt did the former. The record below shows the latter did not happen within a reasonable window. Dates marked “to confirm” should be reconciled against Colt/S4Biz engagement records before any external filing; the material point — that the exposure was reported and then left open for weeks — is not in dispute.</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1500"/>
        <w:gridCol w:w="6560"/>
        <w:gridCol w:w="1300"/>
      </w:tblGrid>
      <w:tr>
        <w:trPr>
          <w:tblHeader/>
        </w:trPr>
        <w:tc>
          <w:tcPr>
            <w:tcW w:type="dxa" w:w="15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Date (2026)</w:t>
            </w:r>
          </w:p>
        </w:tc>
        <w:tc>
          <w:tcPr>
            <w:tcW w:type="dxa" w:w="65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Event</w:t>
            </w:r>
          </w:p>
        </w:tc>
        <w:tc>
          <w:tcPr>
            <w:tcW w:type="dxa" w:w="13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Portal status</w:t>
            </w:r>
          </w:p>
        </w:tc>
      </w:tr>
      <w:tr>
        <w:trPr>
          <w:tblHeader w:val="false"/>
        </w:trPr>
        <w:tc>
          <w:tcPr>
            <w:tcW w:type="dxa" w:w="15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 9 June</w:t>
            </w:r>
          </w:p>
        </w:tc>
        <w:tc>
          <w:tcPr>
            <w:tcW w:type="dxa" w:w="65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Exposure delivered to Redevco in Colt's complimentary External Attack-Surface findings (finding C2). Disclosed as a CRITICAL internal-system / payroll-path leak.</w:t>
            </w:r>
          </w:p>
        </w:tc>
        <w:tc>
          <w:tcPr>
            <w:tcW w:type="dxa" w:w="130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EXPOSED</w:t>
            </w:r>
          </w:p>
        </w:tc>
      </w:tr>
      <w:tr>
        <w:trPr>
          <w:tblHeader w:val="false"/>
        </w:trPr>
        <w:tc>
          <w:tcPr>
            <w:tcW w:type="dxa" w:w="15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9–24 June</w:t>
            </w:r>
          </w:p>
        </w:tc>
        <w:tc>
          <w:tcPr>
            <w:tcW w:type="dxa" w:w="65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Reiterated in the external briefing deck and the discovery/workshop discussions. Remediation options provided (remove from public internet; trim CSP; identity-gate).</w:t>
            </w:r>
          </w:p>
        </w:tc>
        <w:tc>
          <w:tcPr>
            <w:tcW w:type="dxa" w:w="130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EXPOSED</w:t>
            </w:r>
          </w:p>
        </w:tc>
      </w:tr>
      <w:tr>
        <w:trPr>
          <w:tblHeader w:val="false"/>
        </w:trPr>
        <w:tc>
          <w:tcPr>
            <w:tcW w:type="dxa" w:w="15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 June</w:t>
            </w:r>
          </w:p>
        </w:tc>
        <w:tc>
          <w:tcPr>
            <w:tcW w:type="dxa" w:w="65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Redevco's written response acknowledges “TimeCard” but declines further validation, stating confidence in existing partners and an annual penetration test already planned for AI/interface environments.</w:t>
            </w:r>
          </w:p>
        </w:tc>
        <w:tc>
          <w:tcPr>
            <w:tcW w:type="dxa" w:w="130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EXPOSED</w:t>
            </w:r>
          </w:p>
        </w:tc>
      </w:tr>
      <w:tr>
        <w:trPr>
          <w:tblHeader w:val="false"/>
        </w:trPr>
        <w:tc>
          <w:tcPr>
            <w:tcW w:type="dxa" w:w="15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 June</w:t>
            </w:r>
          </w:p>
        </w:tc>
        <w:tc>
          <w:tcPr>
            <w:tcW w:type="dxa" w:w="65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This responsible-disclosure &amp; regulatory-exposure assessment issued. Portal still externally reachable and still returning the same disclosing CSP.</w:t>
            </w:r>
          </w:p>
        </w:tc>
        <w:tc>
          <w:tcPr>
            <w:tcW w:type="dxa" w:w="130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EXPOSED</w:t>
            </w:r>
          </w:p>
        </w:tc>
      </w:tr>
    </w:tbl>
    <w:p>
      <w:pPr>
        <w:spacing w:after="40"/>
      </w:pPr>
    </w:p>
    <w:tbl>
      <w:tblPr>
        <w:tblW w:type="dxa" w:w="9360"/>
        <w:tblBorders>
          <w:top w:val="none"/>
          <w:left w:val="none"/>
          <w:bottom w:val="none"/>
          <w:right w:val="none"/>
          <w:insideH w:val="none"/>
          <w:insideV w:val="none"/>
        </w:tblBorders>
      </w:tblPr>
      <w:tblGrid>
        <w:gridCol w:w="80"/>
        <w:gridCol w:w="9280"/>
      </w:tblGrid>
      <w:tr>
        <w:tc>
          <w:tcPr>
            <w:tcW w:type="dxa" w:w="80"/>
            <w:shd w:fill="F20C36"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Why the window matters legally</w:t>
            </w:r>
          </w:p>
          <w:p>
            <w:pPr>
              <w:spacing w:after="0" w:line="268"/>
            </w:pPr>
            <w:r>
              <w:rPr>
                <w:sz w:val="19"/>
                <w:szCs w:val="19"/>
              </w:rPr>
              <w:t xml:space="preserve">GDPR Article 83(2) directs supervisory authorities to weigh the nature, gravity and DURATION of an infringement, the degree of negligence, and “any action taken to mitigate the damage.” A vulnerability that is unknown is one thing; a vulnerability that has been formally reported and then left exposed for weeks converts the question from “did they have adequate measures?” to “were they negligent after being told?” That distinction typically moves a case toward the higher tier and from the bottom of a fine band toward the middle.</w:t>
            </w:r>
          </w:p>
        </w:tc>
      </w:tr>
    </w:tbl>
    <w:p>
      <w:r>
        <w:br w:type="page"/>
      </w:r>
    </w:p>
    <w:p>
      <w:pPr>
        <w:pStyle w:val="Heading1"/>
      </w:pPr>
      <w:r>
        <w:t xml:space="preserve">4. Technical Findings</w:t>
      </w:r>
    </w:p>
    <w:p>
      <w:pPr>
        <w:spacing w:after="140" w:line="276"/>
      </w:pPr>
      <w:r>
        <w:t xml:space="preserve">The findings are stated at the level needed to understand the risk and to remediate. This report deliberately contains no exploitation instructions, payloads or proof-of-concept code.</w:t>
      </w:r>
    </w:p>
    <w:p>
      <w:pPr>
        <w:pStyle w:val="Heading2"/>
      </w:pPr>
      <w:r>
        <w:t xml:space="preserve">4.1 Finding C2 — Internet-facing time-tracking portal discloses internal systems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1900"/>
        <w:gridCol w:w="7460"/>
      </w:tblGrid>
      <w:tr>
        <w:trPr>
          <w:tblHeader/>
        </w:trPr>
        <w:tc>
          <w:tcPr>
            <w:tcW w:type="dxa" w:w="19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Field</w:t>
            </w:r>
          </w:p>
        </w:tc>
        <w:tc>
          <w:tcPr>
            <w:tcW w:type="dxa" w:w="74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Detail</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Severity</w:t>
            </w:r>
          </w:p>
        </w:tc>
        <w:tc>
          <w:tcPr>
            <w:tcW w:type="dxa" w:w="74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CRITICAL (internal-system + payroll-path disclosure on an unauthenticated production endpoint)</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Observation</w:t>
            </w:r>
          </w:p>
        </w:tc>
        <w:tc>
          <w:tcPr>
            <w:tcW w:type="dxa" w:w="74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REINER SCT timeCard 25.02.07 reachable on the public internet (TCP/10443); login response returns a CSP enumerating internal and third-party trusted hosts</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Disclosed assets</w:t>
            </w:r>
          </w:p>
        </w:tc>
        <w:tc>
          <w:tcPr>
            <w:tcW w:type="dxa" w:w="7460"/>
            <w:shd w:fill="FFFFFF" w:val="clear"/>
            <w:tcMar>
              <w:top w:type="dxa" w:w="70"/>
              <w:left w:type="dxa" w:w="110"/>
              <w:bottom w:type="dxa" w:w="70"/>
              <w:right w:type="dxa" w:w="110"/>
            </w:tcMar>
            <w:vAlign w:val="center"/>
          </w:tcPr>
          <w:p>
            <w:r>
              <w:rPr>
                <w:rFonts w:ascii="Consolas" w:cs="Consolas" w:eastAsia="Consolas" w:hAnsi="Consolas"/>
                <w:sz w:val="17"/>
                <w:szCs w:val="17"/>
              </w:rPr>
              <w:t xml:space="preserve">morris-server.de:8801</w:t>
            </w:r>
            <w:r>
              <w:t xml:space="preserve">  (internal build/server)</w:t>
            </w:r>
          </w:p>
          <w:p>
            <w:r>
              <w:rPr>
                <w:rFonts w:ascii="Consolas" w:cs="Consolas" w:eastAsia="Consolas" w:hAnsi="Consolas"/>
                <w:sz w:val="17"/>
                <w:szCs w:val="17"/>
              </w:rPr>
              <w:t xml:space="preserve">127.0.0.1:8800</w:t>
            </w:r>
            <w:r>
              <w:t xml:space="preserve">  (dev loopback in prod)</w:t>
            </w:r>
          </w:p>
          <w:p>
            <w:r>
              <w:rPr>
                <w:rFonts w:ascii="Consolas" w:cs="Consolas" w:eastAsia="Consolas" w:hAnsi="Consolas"/>
                <w:sz w:val="17"/>
                <w:szCs w:val="17"/>
              </w:rPr>
              <w:t xml:space="preserve">*.datev.de</w:t>
            </w:r>
            <w:r>
              <w:t xml:space="preserve">  (payroll integration)</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Why critical</w:t>
            </w:r>
          </w:p>
        </w:tc>
        <w:tc>
          <w:tcPr>
            <w:tcW w:type="dxa" w:w="74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Confirms employee + payroll data flow through the portal and hands an attacker an internal target map with zero intrusion; the non-standard admin port and third-party hosting compound the exposure</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Method</w:t>
            </w:r>
          </w:p>
        </w:tc>
        <w:tc>
          <w:tcPr>
            <w:tcW w:type="dxa" w:w="74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Passive observation of publicly returned banners/headers; no scanning, authentication or intrusion</w:t>
            </w:r>
          </w:p>
        </w:tc>
      </w:tr>
      <w:tr>
        <w:trPr>
          <w:tblHeader w:val="false"/>
        </w:trPr>
        <w:tc>
          <w:tcPr>
            <w:tcW w:type="dxa" w:w="19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Confidence</w:t>
            </w:r>
          </w:p>
        </w:tc>
        <w:tc>
          <w:tcPr>
            <w:tcW w:type="dxa" w:w="74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High for the exposure and the disclosure; the downstream exploitability of the named internal hosts was not (and should not be) tested without authorisation</w:t>
            </w:r>
          </w:p>
        </w:tc>
      </w:tr>
    </w:tbl>
    <w:p>
      <w:pPr>
        <w:spacing w:after="40"/>
      </w:pPr>
    </w:p>
    <w:p>
      <w:pPr>
        <w:pStyle w:val="Heading2"/>
      </w:pPr>
      <w:r>
        <w:t xml:space="preserve">4.2 Related context (same estate)</w:t>
      </w:r>
    </w:p>
    <w:p>
      <w:pPr>
        <w:spacing w:after="140" w:line="276"/>
      </w:pPr>
      <w:r>
        <w:t xml:space="preserve">The portal does not sit in isolation. The same external review identified additional weaknesses across the broader Redevco/Roebuck estate that raise the overall likelihood and impact of a successful intrusion — notably an internet-facing workflow-automation hub that typically stores credentials for connected systems, an end-of-life web server on the acquired Roebuck network, an exposed VoIP administration console, and a mail gateway presenting expired/placeholder TLS certificates (a recognised enabler of business-email-compromise wire fraud in the real-estate sector). These are documented separately; they are relevant here because they increase the value of the internal map the timecard portal is leaking.</w:t>
      </w:r>
    </w:p>
    <w:p>
      <w:r>
        <w:br w:type="page"/>
      </w:r>
    </w:p>
    <w:p>
      <w:pPr>
        <w:pStyle w:val="Heading1"/>
      </w:pPr>
      <w:r>
        <w:t xml:space="preserve">5. Personal Data and the Parties Responsible</w:t>
      </w:r>
    </w:p>
    <w:p>
      <w:pPr>
        <w:pStyle w:val="Heading2"/>
      </w:pPr>
      <w:r>
        <w:t xml:space="preserve">5.1 Personal data in scope</w:t>
      </w:r>
    </w:p>
    <w:p>
      <w:pPr>
        <w:spacing w:after="140" w:line="276"/>
      </w:pPr>
      <w:r>
        <w:t xml:space="preserve">A workforce time-tracking system that feeds DATEV necessarily processes personal data of employees. Based on the function of REINER SCT timeCard and the disclosed DATEV path, the categories at issue include:</w:t>
      </w:r>
    </w:p>
    <w:p>
      <w:pPr>
        <w:pStyle w:val="ListParagraph"/>
        <w:numPr>
          <w:ilvl w:val="0"/>
          <w:numId w:val="2"/>
        </w:numPr>
        <w:spacing w:after="60" w:line="268"/>
      </w:pPr>
      <w:r>
        <w:rPr>
          <w:b/>
          <w:bCs/>
        </w:rPr>
        <w:t xml:space="preserve">Identity and employment data — </w:t>
      </w:r>
      <w:r>
        <w:t xml:space="preserve">names, personnel/works numbers, organisational unit, role.</w:t>
      </w:r>
    </w:p>
    <w:p>
      <w:pPr>
        <w:pStyle w:val="ListParagraph"/>
        <w:numPr>
          <w:ilvl w:val="0"/>
          <w:numId w:val="2"/>
        </w:numPr>
        <w:spacing w:after="60" w:line="268"/>
      </w:pPr>
      <w:r>
        <w:rPr>
          <w:b/>
          <w:bCs/>
        </w:rPr>
        <w:t xml:space="preserve">Working-time and attendance data — </w:t>
      </w:r>
      <w:r>
        <w:t xml:space="preserve">clock-in/out, presence/absence, potentially leave and overtime. Systematic recording of working time is, by nature, employee monitoring.</w:t>
      </w:r>
    </w:p>
    <w:p>
      <w:pPr>
        <w:pStyle w:val="ListParagraph"/>
        <w:numPr>
          <w:ilvl w:val="0"/>
          <w:numId w:val="2"/>
        </w:numPr>
        <w:spacing w:after="60" w:line="268"/>
      </w:pPr>
      <w:r>
        <w:rPr>
          <w:b/>
          <w:bCs/>
        </w:rPr>
        <w:t xml:space="preserve">Payroll-linked data — </w:t>
      </w:r>
      <w:r>
        <w:t xml:space="preserve">the DATEV integration ties time records to remuneration/accounting processing; depending on configuration this can reach tax IDs, social-security numbers and bank details held or referenced downstream.</w:t>
      </w:r>
    </w:p>
    <w:p>
      <w:pPr>
        <w:spacing w:after="140" w:line="276"/>
      </w:pPr>
      <w:r>
        <w:t xml:space="preserve">Working-time and payroll data are not “special categories” under Art. 9 GDPR, but they are highly sensitive employee data with a low public tolerance for mishandling and a high works-council interest.</w:t>
      </w:r>
    </w:p>
    <w:p>
      <w:pPr>
        <w:pStyle w:val="Heading2"/>
      </w:pPr>
      <w:r>
        <w:t xml:space="preserve">5.2 Controller, processors and competent authority</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000"/>
        <w:gridCol w:w="5860"/>
        <w:gridCol w:w="1500"/>
      </w:tblGrid>
      <w:tr>
        <w:trPr>
          <w:tblHeader/>
        </w:trPr>
        <w:tc>
          <w:tcPr>
            <w:tcW w:type="dxa" w:w="20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Role</w:t>
            </w:r>
          </w:p>
        </w:tc>
        <w:tc>
          <w:tcPr>
            <w:tcW w:type="dxa" w:w="58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Party</w:t>
            </w:r>
          </w:p>
        </w:tc>
        <w:tc>
          <w:tcPr>
            <w:tcW w:type="dxa" w:w="15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Basis</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Data controller</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GmbH (German operating entity) — determines purposes/means of processing its employees' time data</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4(7), 24</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Hosting processor</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Wortmann AG (DE, AS60175) — hosts the internet-facing portal</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28</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Software / support</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REINER SCT (vendor; license + support endpoints referenced in the CSP)</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28</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Payroll processor</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DATEV path (and the tax adviser / payroll bureau operating it)</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28</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Group / lead-authority context</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group main establishment in the Netherlands (Amsterdam) — relevant to GDPR one-stop-shop and the lead authority (Dutch AP)</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56</w:t>
            </w:r>
          </w:p>
        </w:tc>
      </w:tr>
      <w:tr>
        <w:trPr>
          <w:tblHeader w:val="false"/>
        </w:trPr>
        <w:tc>
          <w:tcPr>
            <w:tcW w:type="dxa" w:w="20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Competent supervisory authority</w:t>
            </w:r>
          </w:p>
        </w:tc>
        <w:tc>
          <w:tcPr>
            <w:tcW w:type="dxa" w:w="58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For the German establishment: the State DPA where Redevco GmbH is seated — Düsseldorf / NRW → LDI NRW (confirm registered seat)</w:t>
            </w:r>
          </w:p>
        </w:tc>
        <w:tc>
          <w:tcPr>
            <w:tcW w:type="dxa" w:w="15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55/56; BDSG</w:t>
            </w:r>
          </w:p>
        </w:tc>
      </w:tr>
    </w:tbl>
    <w:p>
      <w:pPr>
        <w:spacing w:after="40"/>
      </w:pPr>
    </w:p>
    <w:tbl>
      <w:tblPr>
        <w:tblW w:type="dxa" w:w="9360"/>
        <w:tblBorders>
          <w:top w:val="none"/>
          <w:left w:val="none"/>
          <w:bottom w:val="none"/>
          <w:right w:val="none"/>
          <w:insideH w:val="none"/>
          <w:insideV w:val="none"/>
        </w:tblBorders>
      </w:tblPr>
      <w:tblGrid>
        <w:gridCol w:w="80"/>
        <w:gridCol w:w="9280"/>
      </w:tblGrid>
      <w:tr>
        <w:tc>
          <w:tcPr>
            <w:tcW w:type="dxa" w:w="80"/>
            <w:shd w:fill="00D7BD"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One-stop-shop nuance</w:t>
            </w:r>
          </w:p>
          <w:p>
            <w:pPr>
              <w:spacing w:after="0" w:line="268"/>
            </w:pPr>
            <w:r>
              <w:rPr>
                <w:sz w:val="19"/>
                <w:szCs w:val="19"/>
              </w:rPr>
              <w:t xml:space="preserve">Because Redevco's main establishment is in the Netherlands, the Dutch Autoriteit Persoonsgegevens may act as lead supervisory authority for cross-border processing under the one-stop-shop, with LDI NRW as a concerned authority. Where the processing and the affected employees are purely local to the German establishment, the German State DPA can act directly. Both routings are addressed in Annex A.</w:t>
            </w:r>
          </w:p>
        </w:tc>
      </w:tr>
    </w:tbl>
    <w:p>
      <w:r>
        <w:br w:type="page"/>
      </w:r>
    </w:p>
    <w:p>
      <w:pPr>
        <w:pStyle w:val="Heading1"/>
      </w:pPr>
      <w:r>
        <w:t xml:space="preserve">6. Regulatory and Legal Analysis</w:t>
      </w:r>
    </w:p>
    <w:p>
      <w:pPr>
        <w:spacing w:after="140" w:line="276"/>
      </w:pPr>
      <w:r>
        <w:rPr>
          <w:b/>
          <w:bCs/>
        </w:rPr>
        <w:t xml:space="preserve">This section is a structured technical reading of the obligations engaged. It is not legal advice; Redevco's DPO and counsel, and ultimately the competent authority, decide the legal characterisation. </w:t>
      </w:r>
    </w:p>
    <w:p>
      <w:pPr>
        <w:pStyle w:val="Heading2"/>
      </w:pPr>
      <w:r>
        <w:t xml:space="preserve">6.1 GDPR / DSGVO — security and confidentiality</w:t>
      </w:r>
    </w:p>
    <w:p>
      <w:pPr>
        <w:spacing w:after="140" w:line="276"/>
      </w:pPr>
      <w:r>
        <w:rPr>
          <w:b/>
          <w:bCs/>
        </w:rPr>
        <w:t xml:space="preserve">Art. 5(1)(f) — integrity and confidentiality (a basic principle). </w:t>
      </w:r>
      <w:r>
        <w:t xml:space="preserve">Personal data must be processed with appropriate security against unauthorised access and disclosure. Publishing an internal-systems map and the payroll data-path from an unauthenticated production endpoint runs against this principle. Breaches of the Art. 5 principles fall in the </w:t>
      </w:r>
      <w:r>
        <w:rPr>
          <w:b/>
          <w:bCs/>
        </w:rPr>
        <w:t xml:space="preserve">higher fine tier</w:t>
      </w:r>
      <w:r>
        <w:t xml:space="preserve"> (Art. 83(5)(a)).</w:t>
      </w:r>
    </w:p>
    <w:p>
      <w:pPr>
        <w:spacing w:after="140" w:line="276"/>
      </w:pPr>
      <w:r>
        <w:rPr>
          <w:b/>
          <w:bCs/>
        </w:rPr>
        <w:t xml:space="preserve">Art. 32 — security of processing. </w:t>
      </w:r>
      <w:r>
        <w:t xml:space="preserve">Requires appropriate technical and organisational measures (TOMs) proportionate to risk — e.g. not exposing administrative portals to the internet, hardening security headers, and applying access control. The exposure indicates the required TOMs were not in place. Art. 32 breaches fall in the </w:t>
      </w:r>
      <w:r>
        <w:rPr>
          <w:b/>
          <w:bCs/>
        </w:rPr>
        <w:t xml:space="preserve">lower fine tier</w:t>
      </w:r>
      <w:r>
        <w:t xml:space="preserve"> (Art. 83(4)(a)).</w:t>
      </w:r>
    </w:p>
    <w:p>
      <w:pPr>
        <w:spacing w:after="140" w:line="276"/>
      </w:pPr>
      <w:r>
        <w:rPr>
          <w:b/>
          <w:bCs/>
        </w:rPr>
        <w:t xml:space="preserve">Art. 25 / 24 / 28 — by design, controller responsibility, processor oversight. </w:t>
      </w:r>
      <w:r>
        <w:t xml:space="preserve">A debug/loopback configuration reaching production and an over-broad CSP indicate that privacy-by-design and processor oversight (of Wortmann AG and the software vendor) were not effective. These are lower-tier provisions.</w:t>
      </w:r>
    </w:p>
    <w:p>
      <w:pPr>
        <w:spacing w:after="140" w:line="276"/>
      </w:pPr>
      <w:r>
        <w:rPr>
          <w:b/>
          <w:bCs/>
        </w:rPr>
        <w:t xml:space="preserve">Art. 33 / 34 — breach notification. </w:t>
      </w:r>
      <w:r>
        <w:t xml:space="preserve">If, on investigation, it is established that the exposure resulted in unauthorised access to personal data — or that such access cannot be excluded — a “personal data breach” under Art. 4(12) arises and the 72-hour notification clock to the supervisory authority (Art. 33), and possibly notification to affected employees (Art. 34), is engaged. The prolonged exposure window makes “we could not have known” untenable and should trigger an immediate Art. 33 assessment by the DPO.</w:t>
      </w:r>
    </w:p>
    <w:p>
      <w:pPr>
        <w:spacing w:after="140" w:line="276"/>
      </w:pPr>
      <w:r>
        <w:rPr>
          <w:b/>
          <w:bCs/>
        </w:rPr>
        <w:t xml:space="preserve">Art. 30 / 35. </w:t>
      </w:r>
      <w:r>
        <w:t xml:space="preserve">Records of processing (Art. 30) must reflect this system; systematic working-time monitoring may require a Data Protection Impact Assessment (Art. 35). Absence of either would be an additional, separate shortfall.</w:t>
      </w:r>
    </w:p>
    <w:p>
      <w:pPr>
        <w:pStyle w:val="Heading2"/>
      </w:pPr>
      <w:r>
        <w:t xml:space="preserve">6.2 BDSG §26 — employee data and German specifics</w:t>
      </w:r>
    </w:p>
    <w:p>
      <w:pPr>
        <w:spacing w:after="140" w:line="276"/>
      </w:pPr>
      <w:r>
        <w:t xml:space="preserve">The German Federal Data Protection Act sets a high bar for processing employee data (BDSG §26) and, with Art. 88 GDPR, allows works agreements as a legal basis. Time-tracking that feeds payroll is squarely employee-data processing; an exposure of that system is therefore assessed against this elevated German standard, not only the general GDPR baseline.</w:t>
      </w:r>
    </w:p>
    <w:p>
      <w:pPr>
        <w:pStyle w:val="Heading2"/>
      </w:pPr>
      <w:r>
        <w:t xml:space="preserve">6.3 Works-council co-determination (BetrVG §87(1) No. 6)</w:t>
      </w:r>
    </w:p>
    <w:p>
      <w:pPr>
        <w:spacing w:after="140" w:line="276"/>
      </w:pPr>
      <w:r>
        <w:t xml:space="preserve">Under the Works Constitution Act, the introduction and operation of technical systems suitable for monitoring employee conduct or performance — time-tracking is the textbook example — require works-council co-determination. A security failure in such a system is also an industrial-relations and co-determination exposure: it can entitle the works council to demand information, remediation and, in some cases, suspension of the system.</w:t>
      </w:r>
    </w:p>
    <w:p>
      <w:pPr>
        <w:pStyle w:val="Heading2"/>
      </w:pPr>
      <w:r>
        <w:t xml:space="preserve">6.4 BSI Act / NIS2 (NIS2UmsuCG) and the cyber-authority dimension</w:t>
      </w:r>
    </w:p>
    <w:p>
      <w:pPr>
        <w:spacing w:after="140" w:line="276"/>
      </w:pPr>
      <w:r>
        <w:t xml:space="preserve">Germany transposed the EU NIS2 Directive through the </w:t>
      </w:r>
      <w:r>
        <w:rPr>
          <w:b/>
          <w:bCs/>
        </w:rPr>
        <w:t xml:space="preserve">NIS2 Implementation Act (NIS2UmsuCG)</w:t>
      </w:r>
      <w:r>
        <w:t xml:space="preserve">, promulgated 6 December 2025, substantially amending the BSI Act (BSIG). It expands the supervised population from ≈4,500 to ≈29,500 entities and introduces registration (deadline 6 March 2026), mandatory risk-management measures, incident reporting through the BSI portal, and personal management liability. Whether Redevco GmbH is itself an “important” or “particularly important” entity depends on sector and size: a real-estate investment manager is not obviously within the NIS2 sector list, so direct in-scope status is </w:t>
      </w:r>
      <w:r>
        <w:rPr>
          <w:b/>
          <w:bCs/>
        </w:rPr>
        <w:t xml:space="preserve">uncertain and must be confirmed</w:t>
      </w:r>
      <w:r>
        <w:t xml:space="preserve">. Two points hold regardless: (i) NIS2's supply-chain-security duties flow down to in-scope counterparties and investors who will ask Redevco to evidence its posture; and (ii) the BSI, as Germany's national cyber-security authority and home of CERT-Bund, is the appropriate body to receive a responsible disclosure of an exposed German system irrespective of formal NIS2 status.</w:t>
      </w:r>
    </w:p>
    <w:p>
      <w:pPr>
        <w:pStyle w:val="Heading2"/>
      </w:pPr>
      <w:r>
        <w:t xml:space="preserve">6.5 Financial-sector overlay — AIFMD and DORA</w:t>
      </w:r>
    </w:p>
    <w:p>
      <w:pPr>
        <w:spacing w:after="140" w:line="276"/>
      </w:pPr>
      <w:r>
        <w:t xml:space="preserve">Redevco manages real-estate funds and, since opening the Redevco European Retail Parks vehicle to third-party institutional capital (October 2025), operates as / through an authorised Alternative Investment Fund Manager (AIFM). AIFMs are within scope of the EU Digital Operational Resilience Act (DORA, applicable since January 2025), which imposes ICT risk-management, ICT third-party-risk and incident-reporting obligations on the financial entity. If the relevant Redevco fund-management entity is an authorised AIFM, a reported, unremediated exposure of a connected system is also a DORA governance concern that institutional investors and the financial regulator may probe. This overlay should be confirmed with compliance.</w:t>
      </w:r>
    </w:p>
    <w:p>
      <w:pPr>
        <w:pStyle w:val="Heading2"/>
      </w:pPr>
      <w:r>
        <w:t xml:space="preserve">6.6 Contractual and assurance frameworks</w:t>
      </w:r>
    </w:p>
    <w:p>
      <w:pPr>
        <w:spacing w:after="140" w:line="276"/>
      </w:pPr>
      <w:r>
        <w:t xml:space="preserve">Independently of statute, an exposure of this kind typically cuts across commitments Redevco has likely made elsewhere: ISO/IEC 27001 controls (if certified), investor side-letters and DDQ representations for the RERP fund, cyber-insurance warranties (insurers increasingly reduce or void cover where a known vulnerability was left unremediated), and supplier/landlord-tenant data clauses. Each is a separate channel of consequence beyond the regulator.</w:t>
      </w:r>
    </w:p>
    <w:p>
      <w:r>
        <w:br w:type="page"/>
      </w:r>
    </w:p>
    <w:p>
      <w:pPr>
        <w:pStyle w:val="Heading1"/>
      </w:pPr>
      <w:r>
        <w:t xml:space="preserve">7. Estimated Regulatory Fines (illustrative, in %)</w:t>
      </w:r>
    </w:p>
    <w:p>
      <w:pPr>
        <w:spacing w:after="140" w:line="276"/>
      </w:pPr>
      <w:r>
        <w:rPr>
          <w:b/>
          <w:bCs/>
        </w:rPr>
        <w:t xml:space="preserve">Read this section with its caveats. </w:t>
      </w:r>
      <w:r>
        <w:t xml:space="preserve">Statutory ceilings are maxima, not forecasts. Real German fines are calculated individually (the DSK/BfDI Büßgeldkonzept, refined by recent court rulings) and are usually far below the ceiling. The percentages below are the legal caps and an illustrative enforcement band, not a prediction of any authority's decision.</w:t>
      </w:r>
    </w:p>
    <w:p>
      <w:pPr>
        <w:pStyle w:val="Heading2"/>
      </w:pPr>
      <w:r>
        <w:t xml:space="preserve">7.1 The two GDPR tiers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200"/>
        <w:gridCol w:w="4260"/>
        <w:gridCol w:w="2900"/>
      </w:tblGrid>
      <w:tr>
        <w:trPr>
          <w:tblHeader/>
        </w:trPr>
        <w:tc>
          <w:tcPr>
            <w:tcW w:type="dxa" w:w="22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Tier</w:t>
            </w:r>
          </w:p>
        </w:tc>
        <w:tc>
          <w:tcPr>
            <w:tcW w:type="dxa" w:w="42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Cap (whichever is HIGHER)</w:t>
            </w:r>
          </w:p>
        </w:tc>
        <w:tc>
          <w:tcPr>
            <w:tcW w:type="dxa" w:w="29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Engaged here by</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Higher — Art. 83(5)</w:t>
            </w:r>
          </w:p>
        </w:tc>
        <w:tc>
          <w:tcPr>
            <w:tcW w:type="dxa" w:w="42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4% of total worldwide annual turnover OR €20,000,000</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Art. 5(1)(f) confidentiality principle</w:t>
            </w:r>
          </w:p>
        </w:tc>
      </w:tr>
      <w:tr>
        <w:trPr>
          <w:tblHeader w:val="false"/>
        </w:trPr>
        <w:tc>
          <w:tcPr>
            <w:tcW w:type="dxa" w:w="22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Lower — Art. 83(4)</w:t>
            </w:r>
          </w:p>
        </w:tc>
        <w:tc>
          <w:tcPr>
            <w:tcW w:type="dxa" w:w="42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 of total worldwide annual turnover OR €10,000,000</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Art. 32 security; Art. 25 by-design; Art. 28 processor</w:t>
            </w:r>
          </w:p>
        </w:tc>
      </w:tr>
    </w:tbl>
    <w:p>
      <w:pPr>
        <w:spacing w:after="40"/>
      </w:pPr>
    </w:p>
    <w:tbl>
      <w:tblPr>
        <w:tblW w:type="dxa" w:w="9360"/>
        <w:tblBorders>
          <w:top w:val="none"/>
          <w:left w:val="none"/>
          <w:bottom w:val="none"/>
          <w:right w:val="none"/>
          <w:insideH w:val="none"/>
          <w:insideV w:val="none"/>
        </w:tblBorders>
      </w:tblPr>
      <w:tblGrid>
        <w:gridCol w:w="80"/>
        <w:gridCol w:w="9280"/>
      </w:tblGrid>
      <w:tr>
        <w:tc>
          <w:tcPr>
            <w:tcW w:type="dxa" w:w="80"/>
            <w:shd w:fill="FF7900"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Turnover ≠ AUM — a critical distinction</w:t>
            </w:r>
          </w:p>
          <w:p>
            <w:pPr>
              <w:spacing w:after="0" w:line="268"/>
            </w:pPr>
            <w:r>
              <w:rPr>
                <w:sz w:val="19"/>
                <w:szCs w:val="19"/>
              </w:rPr>
              <w:t xml:space="preserve">The percentage applies to TURNOVER (revenue), not assets under management. Redevco's ≈€10.5bn AUM is not the fine base. The base is the worldwide annual turnover of the responsible “undertaking” — and per the CJEU (Deutsche Wohnen, C-807/21, and the Volkswagen line) that means the whole economic unit, which can include the COFRA group, not only Redevco GmbH. So the EURO value of a given percentage can be large even though the percentage looks small. Any euro figure below is illustrative because Redevco's attributable turnover is non-public.</w:t>
            </w:r>
          </w:p>
        </w:tc>
      </w:tr>
    </w:tbl>
    <w:p>
      <w:pPr>
        <w:spacing w:after="40"/>
      </w:pPr>
    </w:p>
    <w:p>
      <w:pPr>
        <w:pStyle w:val="Heading2"/>
      </w:pPr>
      <w:r>
        <w:t xml:space="preserve">7.2 Illustrative euro bands at the caps</w:t>
      </w:r>
    </w:p>
    <w:p>
      <w:pPr>
        <w:spacing w:after="140" w:line="276"/>
      </w:pPr>
      <w:r>
        <w:t xml:space="preserve">To make the percentages tangible, the table applies them to hypothetical turnover anchors. These anchors are placeholders — substitute the undertaking's actual audited turnover to obtain a real figure.</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3760"/>
        <w:gridCol w:w="2800"/>
        <w:gridCol w:w="2800"/>
      </w:tblGrid>
      <w:tr>
        <w:trPr>
          <w:tblHeader/>
        </w:trPr>
        <w:tc>
          <w:tcPr>
            <w:tcW w:type="dxa" w:w="37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Hypothetical attributable turnover</w:t>
            </w:r>
          </w:p>
        </w:tc>
        <w:tc>
          <w:tcPr>
            <w:tcW w:type="dxa" w:w="28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Lower tier @ 2%</w:t>
            </w:r>
          </w:p>
        </w:tc>
        <w:tc>
          <w:tcPr>
            <w:tcW w:type="dxa" w:w="28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Higher tier @ 4%</w:t>
            </w:r>
          </w:p>
        </w:tc>
      </w:tr>
      <w:tr>
        <w:trPr>
          <w:tblHeader w:val="false"/>
        </w:trPr>
        <w:tc>
          <w:tcPr>
            <w:tcW w:type="dxa" w:w="376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€5.0m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€10.0m</w:t>
            </w:r>
          </w:p>
        </w:tc>
      </w:tr>
      <w:tr>
        <w:trPr>
          <w:tblHeader w:val="false"/>
        </w:trPr>
        <w:tc>
          <w:tcPr>
            <w:tcW w:type="dxa" w:w="376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€500m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€10.0m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€20.0m</w:t>
            </w:r>
          </w:p>
        </w:tc>
      </w:tr>
      <w:tr>
        <w:trPr>
          <w:tblHeader w:val="false"/>
        </w:trPr>
        <w:tc>
          <w:tcPr>
            <w:tcW w:type="dxa" w:w="376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€1.0bn</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€20.0m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€40.0m</w:t>
            </w:r>
          </w:p>
        </w:tc>
      </w:tr>
      <w:tr>
        <w:trPr>
          <w:tblHeader w:val="false"/>
        </w:trPr>
        <w:tc>
          <w:tcPr>
            <w:tcW w:type="dxa" w:w="376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€2.0bn (group economic unit)</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€40.0m</w:t>
            </w:r>
          </w:p>
        </w:tc>
        <w:tc>
          <w:tcPr>
            <w:tcW w:type="dxa" w:w="28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€80.0m</w:t>
            </w:r>
          </w:p>
        </w:tc>
      </w:tr>
    </w:tbl>
    <w:p>
      <w:pPr>
        <w:spacing w:after="140" w:before="60"/>
      </w:pPr>
      <w:r>
        <w:rPr>
          <w:i/>
          <w:iCs/>
          <w:color w:val="5B6470"/>
          <w:sz w:val="17"/>
          <w:szCs w:val="17"/>
        </w:rPr>
        <w:t xml:space="preserve">Note: where 4% of turnover exceeds €20m, the percentage governs; where it is lower, the €20m / €10m fixed ceilings apply.</w:t>
      </w:r>
    </w:p>
    <w:p>
      <w:pPr>
        <w:pStyle w:val="Heading2"/>
      </w:pPr>
      <w:r>
        <w:t xml:space="preserve">7.3 Realistic enforcement band (not the cap)</w:t>
      </w:r>
    </w:p>
    <w:p>
      <w:pPr>
        <w:spacing w:after="140" w:line="276"/>
      </w:pPr>
      <w:r>
        <w:t xml:space="preserve">Most enforced GDPR security/confidentiality cases settle well below the ceiling. A realistic illustrative band for a reported-but-unremediated employee-data exposure of this profile — before aggravation/mitigation — is in the order of:</w:t>
      </w:r>
    </w:p>
    <w:p>
      <w:pPr>
        <w:pStyle w:val="ListParagraph"/>
        <w:numPr>
          <w:ilvl w:val="0"/>
          <w:numId w:val="2"/>
        </w:numPr>
        <w:spacing w:after="60" w:line="268"/>
      </w:pPr>
      <w:r>
        <w:rPr>
          <w:b/>
          <w:bCs/>
        </w:rPr>
        <w:t xml:space="preserve">0.1%–0.5% of attributable turnover </w:t>
      </w:r>
      <w:r>
        <w:t xml:space="preserve">for a cooperative controller that remediates promptly once notified, and</w:t>
      </w:r>
    </w:p>
    <w:p>
      <w:pPr>
        <w:pStyle w:val="ListParagraph"/>
        <w:numPr>
          <w:ilvl w:val="0"/>
          <w:numId w:val="2"/>
        </w:numPr>
        <w:spacing w:after="60" w:line="268"/>
      </w:pPr>
      <w:r>
        <w:rPr>
          <w:b/>
          <w:bCs/>
        </w:rPr>
        <w:t xml:space="preserve">rising toward 1%–2%+ </w:t>
      </w:r>
      <w:r>
        <w:t xml:space="preserve">where the authority finds prolonged inaction after a clear warning, negligence, employee-data sensitivity and failure to mitigate — the aggravating profile this case currently presents.</w:t>
      </w:r>
    </w:p>
    <w:p>
      <w:pPr>
        <w:spacing w:after="140" w:line="276"/>
      </w:pPr>
      <w:r>
        <w:rPr>
          <w:b/>
          <w:bCs/>
        </w:rPr>
        <w:t xml:space="preserve">Aggravating factors present (Art. 83(2)): </w:t>
      </w:r>
      <w:r>
        <w:t xml:space="preserve">duration of the exposure after disclosure; degree of negligence; sensitivity of employee/payroll data; and — to date — limited mitigating action. </w:t>
      </w:r>
      <w:r>
        <w:rPr>
          <w:b/>
          <w:bCs/>
        </w:rPr>
        <w:t xml:space="preserve">Mitigating factors still available: </w:t>
      </w:r>
      <w:r>
        <w:t xml:space="preserve">prompt remediation now, transparent self-reporting under Art. 33, cooperation with the authority, and engaging structured validation going forward. The single most effective way to move down the band is to close the exposure immediately and self-report.</w:t>
      </w:r>
    </w:p>
    <w:p>
      <w:pPr>
        <w:pStyle w:val="Heading2"/>
      </w:pPr>
      <w:r>
        <w:t xml:space="preserve">7.4 NIS2 / BSIG penalties (only if in scope)</w:t>
      </w:r>
    </w:p>
    <w:p>
      <w:pPr>
        <w:spacing w:after="140" w:line="276"/>
      </w:pPr>
      <w:r>
        <w:t xml:space="preserve">If Redevco (or a German group entity) is determined to be a regulated NIS2 entity, the BSIG penalty ranges add a second exposure: up to €10m or 2% of worldwide turnover for “particularly important” entities, and up to €7m or 1.4% for “important” entities, alongside personal management liability for failure to implement risk-management measures. Scope must be confirmed (Section 6.4) before relying on these figures.</w:t>
      </w:r>
    </w:p>
    <w:p>
      <w:r>
        <w:br w:type="page"/>
      </w:r>
    </w:p>
    <w:p>
      <w:pPr>
        <w:pStyle w:val="Heading1"/>
      </w:pPr>
      <w:r>
        <w:t xml:space="preserve">8. Compliance Obligations — Redevco GmbH and the Group</w:t>
      </w:r>
    </w:p>
    <w:p>
      <w:pPr>
        <w:pStyle w:val="Heading2"/>
      </w:pPr>
      <w:r>
        <w:t xml:space="preserve">8.1 Redevco GmbH (German entity / controller)</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700"/>
        <w:gridCol w:w="2900"/>
        <w:gridCol w:w="3760"/>
      </w:tblGrid>
      <w:tr>
        <w:trPr>
          <w:tblHeader/>
        </w:trPr>
        <w:tc>
          <w:tcPr>
            <w:tcW w:type="dxa" w:w="27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Obligation</w:t>
            </w:r>
          </w:p>
        </w:tc>
        <w:tc>
          <w:tcPr>
            <w:tcW w:type="dxa" w:w="29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Instrument</w:t>
            </w:r>
          </w:p>
        </w:tc>
        <w:tc>
          <w:tcPr>
            <w:tcW w:type="dxa" w:w="37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Status implied by the finding</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Security of processing / TOMs</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32; Art. 5(1)(f)</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Shortfall — exposed portal + header leak</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Privacy by design/default</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25</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Shortfall — debug config in prod</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Processor oversight</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28 (Wortmann, REINER SCT, DATEV)</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Review required</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Breach assessment / notification</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33/34</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72h clock to be assessed now</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Employee-data standard</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BDSG §26; Art. 88 GDPR</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Elevated bar engaged</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Works-council co-determination</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BetrVG §87(1) No. 6</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Notify/involve works council</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Records &amp; DPIA</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30 / 35</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Confirm RoPA entry + DPIA</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Cyber risk-management (if NIS2)</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BSIG (NIS2UmsuCG)</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474946"/>
                <w:sz w:val="18"/>
                <w:szCs w:val="18"/>
              </w:rPr>
              <w:t xml:space="preserve">Scope to confirm</w:t>
            </w:r>
          </w:p>
        </w:tc>
      </w:tr>
    </w:tbl>
    <w:p>
      <w:pPr>
        <w:spacing w:after="40"/>
      </w:pPr>
    </w:p>
    <w:p>
      <w:pPr>
        <w:pStyle w:val="Heading2"/>
      </w:pPr>
      <w:r>
        <w:t xml:space="preserve">8.2 Redevco group (COFRA economic unit)</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700"/>
        <w:gridCol w:w="2900"/>
        <w:gridCol w:w="3760"/>
      </w:tblGrid>
      <w:tr>
        <w:trPr>
          <w:tblHeader/>
        </w:trPr>
        <w:tc>
          <w:tcPr>
            <w:tcW w:type="dxa" w:w="27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Obligation</w:t>
            </w:r>
          </w:p>
        </w:tc>
        <w:tc>
          <w:tcPr>
            <w:tcW w:type="dxa" w:w="29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Instrument</w:t>
            </w:r>
          </w:p>
        </w:tc>
        <w:tc>
          <w:tcPr>
            <w:tcW w:type="dxa" w:w="37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Relevance</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Lead-authority / OSS handling</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56 (NL main establishment → Dutch AP)</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Group-level coordination of any filing</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Undertaking-level fine exposure</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GDPR Art. 83; CJEU C-807/21</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20C36"/>
                <w:sz w:val="18"/>
                <w:szCs w:val="18"/>
              </w:rPr>
              <w:t xml:space="preserve">Turnover base may be group-wide</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Fund-manager ICT resilience</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DORA (AIFM); AIFMD</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ICT-risk + incident duties; investor scrutiny</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Investor assurance (RERP)</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DDQ / side-letters / fund docs</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Disclosure &amp; representation risk</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Supply-chain security</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NIS2 flow-down; ISO 27001</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Counterparties will request evidence</w:t>
            </w:r>
          </w:p>
        </w:tc>
      </w:tr>
      <w:tr>
        <w:trPr>
          <w:tblHeader w:val="false"/>
        </w:trPr>
        <w:tc>
          <w:tcPr>
            <w:tcW w:type="dxa" w:w="27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Insurance warranties</w:t>
            </w:r>
          </w:p>
        </w:tc>
        <w:tc>
          <w:tcPr>
            <w:tcW w:type="dxa" w:w="29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Cyber policy conditions</w:t>
            </w:r>
          </w:p>
        </w:tc>
        <w:tc>
          <w:tcPr>
            <w:tcW w:type="dxa" w:w="3760"/>
            <w:shd w:fill="FFFFFF" w:val="clear"/>
            <w:tcMar>
              <w:top w:type="dxa" w:w="70"/>
              <w:left w:type="dxa" w:w="110"/>
              <w:bottom w:type="dxa" w:w="70"/>
              <w:right w:type="dxa" w:w="110"/>
            </w:tcMar>
            <w:vAlign w:val="center"/>
          </w:tcPr>
          <w:p>
            <w:pPr>
              <w:spacing w:after="0" w:line="248"/>
              <w:jc w:val="left"/>
            </w:pPr>
            <w:r>
              <w:rPr>
                <w:b w:val="false"/>
                <w:bCs w:val="false"/>
                <w:color w:val="FF7900"/>
                <w:sz w:val="18"/>
                <w:szCs w:val="18"/>
              </w:rPr>
              <w:t xml:space="preserve">Known-unremediated-vuln cover risk</w:t>
            </w:r>
          </w:p>
        </w:tc>
      </w:tr>
    </w:tbl>
    <w:p>
      <w:r>
        <w:br w:type="page"/>
      </w:r>
    </w:p>
    <w:p>
      <w:pPr>
        <w:pStyle w:val="Heading1"/>
      </w:pPr>
      <w:r>
        <w:t xml:space="preserve">9. Recommended Immediate Remediation</w:t>
      </w:r>
    </w:p>
    <w:p>
      <w:pPr>
        <w:spacing w:after="140" w:line="276"/>
      </w:pPr>
      <w:r>
        <w:rPr>
          <w:b/>
          <w:bCs/>
        </w:rPr>
        <w:t xml:space="preserve">The objective for the next 72 hours is to stop the disclosure and start the clock on lawful handling.</w:t>
      </w:r>
    </w:p>
    <w:p>
      <w:pPr>
        <w:pStyle w:val="Heading2"/>
      </w:pPr>
      <w:r>
        <w:t xml:space="preserve">9.1 Within 24–72 hours</w:t>
      </w:r>
    </w:p>
    <w:p>
      <w:pPr>
        <w:pStyle w:val="ListParagraph"/>
        <w:numPr>
          <w:ilvl w:val="0"/>
          <w:numId w:val="3"/>
        </w:numPr>
        <w:spacing w:after="60" w:line="268"/>
      </w:pPr>
      <w:r>
        <w:rPr>
          <w:b/>
          <w:bCs/>
        </w:rPr>
        <w:t xml:space="preserve">Remove the portal from the public internet. </w:t>
      </w:r>
      <w:r>
        <w:t xml:space="preserve">Place timecard-redevco.de behind a VPN / Zero-Trust access gateway (ZTNA) so only authenticated, authorised users on managed networks can reach it. This single action neutralises the exposure.</w:t>
      </w:r>
    </w:p>
    <w:p>
      <w:pPr>
        <w:pStyle w:val="ListParagraph"/>
        <w:numPr>
          <w:ilvl w:val="0"/>
          <w:numId w:val="3"/>
        </w:numPr>
        <w:spacing w:after="60" w:line="268"/>
      </w:pPr>
      <w:r>
        <w:rPr>
          <w:b/>
          <w:bCs/>
        </w:rPr>
        <w:t xml:space="preserve">Trim the CSP. </w:t>
      </w:r>
      <w:r>
        <w:t xml:space="preserve">Remove internal hosts and the loopback entry (morris-server.de:8801, 127.0.0.1:8800) from all directives; scope connect-src to only what production requires. Eliminate any debug/development configuration from the production build.</w:t>
      </w:r>
    </w:p>
    <w:p>
      <w:pPr>
        <w:pStyle w:val="ListParagraph"/>
        <w:numPr>
          <w:ilvl w:val="0"/>
          <w:numId w:val="3"/>
        </w:numPr>
        <w:spacing w:after="60" w:line="268"/>
      </w:pPr>
      <w:r>
        <w:rPr>
          <w:b/>
          <w:bCs/>
        </w:rPr>
        <w:t xml:space="preserve">Engage the DPO and assess Art. 33. </w:t>
      </w:r>
      <w:r>
        <w:t xml:space="preserve">Determine whether unauthorised access can be excluded. If it cannot, treat as a personal data breach and notify the competent authority within 72 hours; prepare Art. 34 employee notification if warranted.</w:t>
      </w:r>
    </w:p>
    <w:p>
      <w:pPr>
        <w:pStyle w:val="ListParagraph"/>
        <w:numPr>
          <w:ilvl w:val="0"/>
          <w:numId w:val="3"/>
        </w:numPr>
        <w:spacing w:after="60" w:line="268"/>
      </w:pPr>
      <w:r>
        <w:rPr>
          <w:b/>
          <w:bCs/>
        </w:rPr>
        <w:t xml:space="preserve">Notify the works council. </w:t>
      </w:r>
      <w:r>
        <w:t xml:space="preserve">Inform the Betriebsrat of the exposure and remediation, given the co-determined nature of the system.</w:t>
      </w:r>
    </w:p>
    <w:p>
      <w:pPr>
        <w:pStyle w:val="Heading2"/>
      </w:pPr>
      <w:r>
        <w:t xml:space="preserve">9.2 Within 2–4 weeks</w:t>
      </w:r>
    </w:p>
    <w:p>
      <w:pPr>
        <w:pStyle w:val="ListParagraph"/>
        <w:numPr>
          <w:ilvl w:val="0"/>
          <w:numId w:val="2"/>
        </w:numPr>
        <w:spacing w:after="60" w:line="268"/>
      </w:pPr>
      <w:r>
        <w:rPr>
          <w:b/>
          <w:bCs/>
        </w:rPr>
        <w:t xml:space="preserve">Identity-gate and harden: </w:t>
      </w:r>
      <w:r>
        <w:t xml:space="preserve">enforce SSO/MFA; restrict the admin port to allow-listed sources; place a managed WAF in front of the application.</w:t>
      </w:r>
    </w:p>
    <w:p>
      <w:pPr>
        <w:pStyle w:val="ListParagraph"/>
        <w:numPr>
          <w:ilvl w:val="0"/>
          <w:numId w:val="2"/>
        </w:numPr>
        <w:spacing w:after="60" w:line="268"/>
      </w:pPr>
      <w:r>
        <w:rPr>
          <w:b/>
          <w:bCs/>
        </w:rPr>
        <w:t xml:space="preserve">Processor review: </w:t>
      </w:r>
      <w:r>
        <w:t xml:space="preserve">re-paper and assess Art. 28 controls with Wortmann AG and the DATEV/payroll bureau; confirm data residency and sub-processor chains.</w:t>
      </w:r>
    </w:p>
    <w:p>
      <w:pPr>
        <w:pStyle w:val="ListParagraph"/>
        <w:numPr>
          <w:ilvl w:val="0"/>
          <w:numId w:val="2"/>
        </w:numPr>
        <w:spacing w:after="60" w:line="268"/>
      </w:pPr>
      <w:r>
        <w:rPr>
          <w:b/>
          <w:bCs/>
        </w:rPr>
        <w:t xml:space="preserve">Records &amp; DPIA: </w:t>
      </w:r>
      <w:r>
        <w:t xml:space="preserve">update the RoPA entry; complete or refresh the DPIA for working-time monitoring.</w:t>
      </w:r>
    </w:p>
    <w:p>
      <w:pPr>
        <w:pStyle w:val="ListParagraph"/>
        <w:numPr>
          <w:ilvl w:val="0"/>
          <w:numId w:val="2"/>
        </w:numPr>
        <w:spacing w:after="60" w:line="268"/>
      </w:pPr>
      <w:r>
        <w:rPr>
          <w:b/>
          <w:bCs/>
        </w:rPr>
        <w:t xml:space="preserve">Validate, don't assume: </w:t>
      </w:r>
      <w:r>
        <w:t xml:space="preserve">confirm the fix actually removed the exposure and that no other entity-named host is similarly exposed across the estate.</w:t>
      </w:r>
    </w:p>
    <w:p>
      <w:pPr>
        <w:pStyle w:val="Heading2"/>
      </w:pPr>
      <w:r>
        <w:t xml:space="preserve">9.3 Sustained — close the structural gap</w:t>
      </w:r>
    </w:p>
    <w:p>
      <w:pPr>
        <w:spacing w:after="140" w:line="276"/>
      </w:pPr>
      <w:r>
        <w:t xml:space="preserve">This exposure persisted because nothing was continuously testing whether Redevco's external posture matched its assumptions. An annual penetration test would not have caught a header change made between tests, and would not catch the next one. Continuous validation — Breach &amp; Attack Simulation (BAS) — is the structural control that keeps a finding like this from recurring and from sitting open for weeks. That is the subject of the accompanying BAS value briefing and the A-to-Z BAS white paper.</w:t>
      </w:r>
    </w:p>
    <w:p>
      <w:r>
        <w:br w:type="page"/>
      </w:r>
    </w:p>
    <w:p>
      <w:pPr>
        <w:pStyle w:val="Heading1"/>
      </w:pPr>
      <w:r>
        <w:t xml:space="preserve">10. Caveats &amp; Confidence</w:t>
      </w:r>
    </w:p>
    <w:p>
      <w:pPr>
        <w:pStyle w:val="ListParagraph"/>
        <w:numPr>
          <w:ilvl w:val="0"/>
          <w:numId w:val="2"/>
        </w:numPr>
        <w:spacing w:after="60" w:line="268"/>
      </w:pPr>
      <w:r>
        <w:rPr>
          <w:b/>
          <w:bCs/>
        </w:rPr>
        <w:t xml:space="preserve">Visible ≠ proven-vulnerable. </w:t>
      </w:r>
      <w:r>
        <w:t xml:space="preserve">Passive observation shows exposure and disclosure, not that any system has been breached.</w:t>
      </w:r>
    </w:p>
    <w:p>
      <w:pPr>
        <w:pStyle w:val="ListParagraph"/>
        <w:numPr>
          <w:ilvl w:val="0"/>
          <w:numId w:val="2"/>
        </w:numPr>
        <w:spacing w:after="60" w:line="268"/>
      </w:pPr>
      <w:r>
        <w:rPr>
          <w:b/>
          <w:bCs/>
        </w:rPr>
        <w:t xml:space="preserve">Not legal advice. </w:t>
      </w:r>
      <w:r>
        <w:t xml:space="preserve">The GDPR/BDSG/NIS2/DORA reading is a technical assessment; Redevco's DPO, counsel and the competent authority make the legal determination.</w:t>
      </w:r>
    </w:p>
    <w:p>
      <w:pPr>
        <w:pStyle w:val="ListParagraph"/>
        <w:numPr>
          <w:ilvl w:val="0"/>
          <w:numId w:val="2"/>
        </w:numPr>
        <w:spacing w:after="60" w:line="268"/>
      </w:pPr>
      <w:r>
        <w:rPr>
          <w:b/>
          <w:bCs/>
        </w:rPr>
        <w:t xml:space="preserve">Figures are illustrative. </w:t>
      </w:r>
      <w:r>
        <w:t xml:space="preserve">Percentages are statutory caps and illustrative bands; euro values use placeholder turnover anchors and are not predictions.</w:t>
      </w:r>
    </w:p>
    <w:p>
      <w:pPr>
        <w:pStyle w:val="ListParagraph"/>
        <w:numPr>
          <w:ilvl w:val="0"/>
          <w:numId w:val="2"/>
        </w:numPr>
        <w:spacing w:after="60" w:line="268"/>
      </w:pPr>
      <w:r>
        <w:rPr>
          <w:b/>
          <w:bCs/>
        </w:rPr>
        <w:t xml:space="preserve">Dates to reconcile. </w:t>
      </w:r>
      <w:r>
        <w:t xml:space="preserve">Exact disclosure dates should be confirmed against Colt/S4Biz engagement records before any external filing; the multi-week unremediated window is the material fact.</w:t>
      </w:r>
    </w:p>
    <w:p>
      <w:pPr>
        <w:pStyle w:val="ListParagraph"/>
        <w:numPr>
          <w:ilvl w:val="0"/>
          <w:numId w:val="2"/>
        </w:numPr>
        <w:spacing w:after="60" w:line="268"/>
      </w:pPr>
      <w:r>
        <w:rPr>
          <w:b/>
          <w:bCs/>
        </w:rPr>
        <w:t xml:space="preserve">Scope to confirm. </w:t>
      </w:r>
      <w:r>
        <w:t xml:space="preserve">NIS2/DORA in-scope status and the precise registered seat / competent authority for the German entity should be verified.</w:t>
      </w:r>
    </w:p>
    <w:p>
      <w:pPr>
        <w:pStyle w:val="ListParagraph"/>
        <w:numPr>
          <w:ilvl w:val="0"/>
          <w:numId w:val="2"/>
        </w:numPr>
        <w:spacing w:after="60" w:line="268"/>
      </w:pPr>
      <w:r>
        <w:rPr>
          <w:b/>
          <w:bCs/>
        </w:rPr>
        <w:t xml:space="preserve">Good-faith disclosure. </w:t>
      </w:r>
      <w:r>
        <w:t xml:space="preserve">This report is intended to drive remediation and lawful handling; it is shared with Redevco and is suitable, via Annex A, for responsible notification to the competent authorities.</w:t>
      </w:r>
    </w:p>
    <w:p>
      <w:r>
        <w:br w:type="page"/>
      </w:r>
    </w:p>
    <w:p>
      <w:pPr>
        <w:pStyle w:val="Heading1"/>
      </w:pPr>
      <w:r>
        <w:t xml:space="preserve">Annex A — Competent-Authority Notification (Filing Pack)</w:t>
      </w:r>
    </w:p>
    <w:p>
      <w:pPr>
        <w:spacing w:after="140" w:line="276"/>
      </w:pPr>
      <w:r>
        <w:rPr>
          <w:b/>
          <w:bCs/>
        </w:rPr>
        <w:t xml:space="preserve">Purpose. </w:t>
      </w:r>
      <w:r>
        <w:t xml:space="preserve">A pre-formatted notification that Redevco (preferred) or the reporting party can use to inform the competent German Data Protection Authority and the BSI. Bracketed fields are to be completed/confirmed. Two addressees are provided because the data-protection and cyber-security dimensions sit with different bodies.</w:t>
      </w:r>
    </w:p>
    <w:p>
      <w:pPr>
        <w:pStyle w:val="Heading2"/>
      </w:pPr>
      <w:r>
        <w:t xml:space="preserve">A.1 To: Competent Data Protection Authority</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400"/>
        <w:gridCol w:w="6960"/>
      </w:tblGrid>
      <w:tr>
        <w:trPr>
          <w:tblHeader/>
        </w:trPr>
        <w:tc>
          <w:tcPr>
            <w:tcW w:type="dxa" w:w="24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Field</w:t>
            </w:r>
          </w:p>
        </w:tc>
        <w:tc>
          <w:tcPr>
            <w:tcW w:type="dxa" w:w="69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Entry</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Authority</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Landesbeauftragte für Datenschutz und Informationsfreiheit NRW (LDI NRW) — or the State DPA of Redevco GmbH's registered seat; copy Dutch AP if handled via one-stop-shop</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Reporting party</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GmbH, DPO contact] / disclosed by Colt Technology Services &amp; S4Biz</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Controller</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Redevco GmbH, [registered address], [HRB no.]</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Nature of matter</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Internet-exposed employee time-tracking portal (REINER SCT timeCard) disclosing internal systems and the DATEV payroll data path via an over-broad CSP on an unauthenticated production endpoint (TCP/10443)</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Data categories</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Employee identity, working-time/attendance, payroll-linked data (DATEV)</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Affected data subjects</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German workforce of Redevco GmbH [approx. headcount]</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Discovery / disclosure</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Identified by passive external assessment; disclosed to controller ≈9 June 2026; remained exposed ≥2 weeks</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Articles engaged (provisional)</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Art. 5(1)(f), 32, 25, 28, 24; Art. 33/34 under assessment; BDSG §26</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Containment</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[Remove from public internet; CSP trimmed; access gated; processor review] — [date/time]</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Art. 33 position</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[Breach confirmed / cannot be excluded / excluded] — basis: [forensic/log review]</w:t>
            </w:r>
          </w:p>
        </w:tc>
      </w:tr>
    </w:tbl>
    <w:p>
      <w:pPr>
        <w:spacing w:after="40"/>
      </w:pPr>
    </w:p>
    <w:p>
      <w:pPr>
        <w:pStyle w:val="Heading2"/>
      </w:pPr>
      <w:r>
        <w:t xml:space="preserve">A.2 To: Bundesamt für Sicherheit in der Informationstechnik (BSI / CERT-Bund)</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400"/>
        <w:gridCol w:w="6960"/>
      </w:tblGrid>
      <w:tr>
        <w:trPr>
          <w:tblHeader/>
        </w:trPr>
        <w:tc>
          <w:tcPr>
            <w:tcW w:type="dxa" w:w="24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Field</w:t>
            </w:r>
          </w:p>
        </w:tc>
        <w:tc>
          <w:tcPr>
            <w:tcW w:type="dxa" w:w="69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Entry</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Addressee</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BSI — CERT-Bund / Meldestelle; via the BSI reporting portal (live since Jan 2026 under NIS2UmsuCG)</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Subject</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Responsible disclosure of an internet-exposed German system leaking internal infrastructure detail</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Affected system</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timecard-redevco.de (TCP/10443), REINER SCT timeCard 25.02.07, hosted at Wortmann AG (AS60175)</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Risk</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Discloses internal build host, dev loopback and payroll integration; facilitates targeted intrusion of an HR/payroll estate</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NIS2 status</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[To confirm whether reporting entity is a regulated NIS2 entity]; submitted as responsible disclosure regardless</w:t>
            </w:r>
          </w:p>
        </w:tc>
      </w:tr>
      <w:tr>
        <w:trPr>
          <w:tblHeader w:val="false"/>
        </w:trPr>
        <w:tc>
          <w:tcPr>
            <w:tcW w:type="dxa" w:w="24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Requested action</w:t>
            </w:r>
          </w:p>
        </w:tc>
        <w:tc>
          <w:tcPr>
            <w:tcW w:type="dxa" w:w="69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Acknowledge; advise on coordinated remediation; record for national situational awareness</w:t>
            </w:r>
          </w:p>
        </w:tc>
      </w:tr>
    </w:tbl>
    <w:p>
      <w:pPr>
        <w:spacing w:after="40"/>
      </w:pPr>
    </w:p>
    <w:tbl>
      <w:tblPr>
        <w:tblW w:type="dxa" w:w="9360"/>
        <w:tblBorders>
          <w:top w:val="none"/>
          <w:left w:val="none"/>
          <w:bottom w:val="none"/>
          <w:right w:val="none"/>
          <w:insideH w:val="none"/>
          <w:insideV w:val="none"/>
        </w:tblBorders>
      </w:tblPr>
      <w:tblGrid>
        <w:gridCol w:w="80"/>
        <w:gridCol w:w="9280"/>
      </w:tblGrid>
      <w:tr>
        <w:tc>
          <w:tcPr>
            <w:tcW w:type="dxa" w:w="80"/>
            <w:shd w:fill="00D7BD" w:val="clear"/>
          </w:tcPr>
          <w:p>
            <w:r>
              <w:t xml:space="preserve"/>
            </w:r>
          </w:p>
        </w:tc>
        <w:tc>
          <w:tcPr>
            <w:tcW w:type="dxa" w:w="9280"/>
            <w:shd w:fill="ECECED" w:val="clear"/>
            <w:tcMar>
              <w:top w:type="dxa" w:w="110"/>
              <w:left w:type="dxa" w:w="160"/>
              <w:bottom w:type="dxa" w:w="110"/>
              <w:right w:type="dxa" w:w="140"/>
            </w:tcMar>
          </w:tcPr>
          <w:p>
            <w:pPr>
              <w:spacing w:after="60"/>
            </w:pPr>
            <w:r>
              <w:rPr>
                <w:b/>
                <w:bCs/>
                <w:color w:val="0C544E"/>
                <w:sz w:val="19"/>
                <w:szCs w:val="19"/>
              </w:rPr>
              <w:t xml:space="preserve">Filing etiquette</w:t>
            </w:r>
          </w:p>
          <w:p>
            <w:pPr>
              <w:spacing w:after="0" w:line="268"/>
            </w:pPr>
            <w:r>
              <w:rPr>
                <w:sz w:val="19"/>
                <w:szCs w:val="19"/>
              </w:rPr>
              <w:t xml:space="preserve">Best practice and most regulators' expectation is that the CONTROLLER (Redevco) self-reports. This pack is structured so Redevco can file directly. Where a controller declines to remediate a known exposure of employees' personal data, a good-faith reporter may notify the competent authority; if doing so, file factually, share this assessment, avoid any public disclosure of exploit detail, and give the controller the opportunity to remediate first.</w:t>
            </w:r>
          </w:p>
        </w:tc>
      </w:tr>
    </w:tbl>
    <w:p>
      <w:r>
        <w:br w:type="page"/>
      </w:r>
    </w:p>
    <w:p>
      <w:pPr>
        <w:pStyle w:val="Heading1"/>
      </w:pPr>
      <w:r>
        <w:t xml:space="preserve">Annex B — Evidence &amp; Disclosure Log</w:t>
      </w:r>
    </w:p>
    <w:p>
      <w:pPr>
        <w:spacing w:after="140" w:line="276"/>
      </w:pPr>
      <w:r>
        <w:t xml:space="preserve">Maintain this log to support any filing. Populate with the underlying engagement records.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600"/>
        <w:gridCol w:w="1700"/>
        <w:gridCol w:w="5360"/>
        <w:gridCol w:w="1700"/>
      </w:tblGrid>
      <w:tr>
        <w:trPr>
          <w:tblHeader/>
        </w:trPr>
        <w:tc>
          <w:tcPr>
            <w:tcW w:type="dxa" w:w="6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w:t>
            </w:r>
          </w:p>
        </w:tc>
        <w:tc>
          <w:tcPr>
            <w:tcW w:type="dxa" w:w="17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Date/time (CET)</w:t>
            </w:r>
          </w:p>
        </w:tc>
        <w:tc>
          <w:tcPr>
            <w:tcW w:type="dxa" w:w="536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Event / evidence</w:t>
            </w:r>
          </w:p>
        </w:tc>
        <w:tc>
          <w:tcPr>
            <w:tcW w:type="dxa" w:w="1700"/>
            <w:shd w:fill="0C544E" w:val="clear"/>
            <w:tcMar>
              <w:top w:type="dxa" w:w="70"/>
              <w:left w:type="dxa" w:w="110"/>
              <w:bottom w:type="dxa" w:w="70"/>
              <w:right w:type="dxa" w:w="110"/>
            </w:tcMar>
            <w:vAlign w:val="center"/>
          </w:tcPr>
          <w:p>
            <w:pPr>
              <w:spacing w:after="0" w:line="248"/>
              <w:jc w:val="left"/>
            </w:pPr>
            <w:r>
              <w:rPr>
                <w:b/>
                <w:bCs/>
                <w:color w:val="FFFFFF"/>
                <w:sz w:val="18"/>
                <w:szCs w:val="18"/>
              </w:rPr>
              <w:t xml:space="preserve">Held by</w:t>
            </w:r>
          </w:p>
        </w:tc>
      </w:tr>
      <w:tr>
        <w:trPr>
          <w:tblHeader w:val="false"/>
        </w:trPr>
        <w:tc>
          <w:tcPr>
            <w:tcW w:type="dxa" w:w="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1</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≈9 Jun 2026</w:t>
            </w:r>
          </w:p>
        </w:tc>
        <w:tc>
          <w:tcPr>
            <w:tcW w:type="dxa" w:w="53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External findings delivered incl. finding C2 (CSP leak) — deck + report</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Colt / S4Biz</w:t>
            </w:r>
          </w:p>
        </w:tc>
      </w:tr>
      <w:tr>
        <w:trPr>
          <w:tblHeader w:val="false"/>
        </w:trPr>
        <w:tc>
          <w:tcPr>
            <w:tcW w:type="dxa" w:w="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[date]</w:t>
            </w:r>
          </w:p>
        </w:tc>
        <w:tc>
          <w:tcPr>
            <w:tcW w:type="dxa" w:w="53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Briefing / workshop reiterating remediation options</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Colt / S4Biz</w:t>
            </w:r>
          </w:p>
        </w:tc>
      </w:tr>
      <w:tr>
        <w:trPr>
          <w:tblHeader w:val="false"/>
        </w:trPr>
        <w:tc>
          <w:tcPr>
            <w:tcW w:type="dxa" w:w="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3</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 Jun 2026</w:t>
            </w:r>
          </w:p>
        </w:tc>
        <w:tc>
          <w:tcPr>
            <w:tcW w:type="dxa" w:w="53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Customer written response acknowledging TimeCard, declining further validation</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Email thread</w:t>
            </w:r>
          </w:p>
        </w:tc>
      </w:tr>
      <w:tr>
        <w:trPr>
          <w:tblHeader w:val="false"/>
        </w:trPr>
        <w:tc>
          <w:tcPr>
            <w:tcW w:type="dxa" w:w="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4</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25 Jun 2026</w:t>
            </w:r>
          </w:p>
        </w:tc>
        <w:tc>
          <w:tcPr>
            <w:tcW w:type="dxa" w:w="53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Portal re-observed still exposed / still returning disclosing CSP</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Passive capture</w:t>
            </w:r>
          </w:p>
        </w:tc>
      </w:tr>
      <w:tr>
        <w:trPr>
          <w:tblHeader w:val="false"/>
        </w:trPr>
        <w:tc>
          <w:tcPr>
            <w:tcW w:type="dxa" w:w="600"/>
            <w:shd w:fill="ECECED"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5</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[date]</w:t>
            </w:r>
          </w:p>
        </w:tc>
        <w:tc>
          <w:tcPr>
            <w:tcW w:type="dxa" w:w="536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This report issued</w:t>
            </w:r>
          </w:p>
        </w:tc>
        <w:tc>
          <w:tcPr>
            <w:tcW w:type="dxa" w:w="1700"/>
            <w:shd w:fill="FFFFFF" w:val="clear"/>
            <w:tcMar>
              <w:top w:type="dxa" w:w="70"/>
              <w:left w:type="dxa" w:w="110"/>
              <w:bottom w:type="dxa" w:w="70"/>
              <w:right w:type="dxa" w:w="110"/>
            </w:tcMar>
            <w:vAlign w:val="center"/>
          </w:tcPr>
          <w:p>
            <w:pPr>
              <w:spacing w:after="0" w:line="248"/>
              <w:jc w:val="left"/>
            </w:pPr>
            <w:r>
              <w:rPr>
                <w:b w:val="false"/>
                <w:bCs w:val="false"/>
                <w:color w:val="1A1A1A"/>
                <w:sz w:val="18"/>
                <w:szCs w:val="18"/>
              </w:rPr>
              <w:t xml:space="preserve">Colt / S4Biz</w:t>
            </w:r>
          </w:p>
        </w:tc>
      </w:tr>
    </w:tbl>
    <w:p>
      <w:pPr>
        <w:spacing w:after="120"/>
      </w:pPr>
    </w:p>
    <w:p>
      <w:pPr>
        <w:pBdr>
          <w:top w:val="single" w:color="00D7BD" w:sz="12" w:space="6"/>
        </w:pBdr>
        <w:spacing w:after="40" w:before="120"/>
      </w:pPr>
      <w:r>
        <w:rPr>
          <w:color w:val="5B6470"/>
          <w:sz w:val="17"/>
          <w:szCs w:val="17"/>
        </w:rPr>
        <w:t xml:space="preserve">Prepared by Colt Technology Services — Cyber Advisory, in partnership with S4Biz (Stars4Business).</w:t>
      </w:r>
    </w:p>
    <w:p>
      <w:r>
        <w:rPr>
          <w:color w:val="5B6470"/>
          <w:sz w:val="16"/>
          <w:szCs w:val="16"/>
        </w:rPr>
        <w:t xml:space="preserve">CONFIDENTIAL — Responsible Disclosure / Regulatory Brief · Redevco GmbH · v1.0 · 25 June 2026</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CF" w:sz="4" w:space="4"/>
      </w:pBdr>
      <w:tabs>
        <w:tab w:val="right" w:pos="9360"/>
      </w:tabs>
      <w:spacing w:before="0"/>
    </w:pPr>
    <w:r>
      <w:rPr>
        <w:color w:val="5B6470"/>
        <w:sz w:val="14"/>
        <w:szCs w:val="14"/>
      </w:rPr>
      <w:t xml:space="preserve">Redevco GmbH · Timecard Portal Exposure · v1.0</w:t>
    </w:r>
    <w:r>
      <w:rPr>
        <w:color w:val="5B6470"/>
        <w:sz w:val="14"/>
        <w:szCs w:val="14"/>
      </w:rPr>
      <w:t xml:space="preserve">	Page </w:t>
    </w:r>
    <w:r>
      <w:rPr>
        <w:color w:val="5B6470"/>
        <w:sz w:val="14"/>
        <w:szCs w:val="14"/>
      </w:rPr>
      <w:fldChar w:fldCharType="begin"/>
      <w:instrText xml:space="preserve">PAGE</w:instrText>
      <w:fldChar w:fldCharType="separate"/>
      <w:fldChar w:fldCharType="end"/>
    </w:r>
    <w:r>
      <w:rPr>
        <w:color w:val="5B6470"/>
        <w:sz w:val="14"/>
        <w:szCs w:val="14"/>
      </w:rPr>
      <w:t xml:space="preserve"> of </w:t>
    </w:r>
    <w:r>
      <w:rPr>
        <w:color w:val="5B647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CF" w:sz="4" w:space="4"/>
      </w:pBdr>
      <w:tabs>
        <w:tab w:val="right" w:pos="9360"/>
      </w:tabs>
      <w:spacing w:after="0"/>
    </w:pPr>
    <w:r>
      <w:rPr>
        <w:rFonts w:ascii="Arial" w:cs="Arial" w:eastAsia="Arial" w:hAnsi="Arial"/>
        <w:b/>
        <w:bCs/>
        <w:color w:val="0C544E"/>
        <w:sz w:val="18"/>
        <w:szCs w:val="18"/>
      </w:rPr>
      <w:t xml:space="preserve">colt</w:t>
    </w:r>
    <w:r>
      <w:rPr>
        <w:color w:val="5B6470"/>
        <w:spacing w:val="10"/>
        <w:sz w:val="14"/>
        <w:szCs w:val="14"/>
      </w:rPr>
      <w:t xml:space="preserve">	CONFIDENTIAL — Responsible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D7BD"/>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0C54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D7BD" w:sz="10" w:space="4"/>
      </w:pBdr>
      <w:spacing w:after="160" w:before="280"/>
      <w:outlineLvl w:val="0"/>
    </w:pPr>
    <w:rPr>
      <w:rFonts w:ascii="Arial" w:cs="Arial" w:eastAsia="Arial" w:hAnsi="Arial"/>
      <w:b/>
      <w:bCs/>
      <w:color w:val="0C544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C544E"/>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7494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Redevco Responsible Security Disclosure &amp; Regulatory Exposure Assessment</dc:title>
  <dc:creator>Colt Technology Services — Cyber Advisory</dc:creator>
  <cp:lastModifiedBy>Un-named</cp:lastModifiedBy>
  <cp:revision>1</cp:revision>
  <dcterms:created xsi:type="dcterms:W3CDTF">2026-06-25T15:12:57.351Z</dcterms:created>
  <dcterms:modified xsi:type="dcterms:W3CDTF">2026-06-25T15:12:57.351Z</dcterms:modified>
</cp:coreProperties>
</file>

<file path=docProps/custom.xml><?xml version="1.0" encoding="utf-8"?>
<Properties xmlns="http://schemas.openxmlformats.org/officeDocument/2006/custom-properties" xmlns:vt="http://schemas.openxmlformats.org/officeDocument/2006/docPropsVTypes"/>
</file>