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7C78A9" w14:textId="3E303DE0" w:rsidR="002473B3" w:rsidRDefault="002473B3" w:rsidP="002473B3">
      <w:pPr>
        <w:spacing w:line="276" w:lineRule="auto"/>
        <w:jc w:val="both"/>
        <w:rPr>
          <w:rFonts w:ascii="Calibri" w:eastAsia="Calibri" w:hAnsi="Calibri"/>
          <w:b/>
          <w:sz w:val="22"/>
          <w:szCs w:val="22"/>
        </w:rPr>
      </w:pPr>
      <w:r w:rsidRPr="002473B3">
        <w:rPr>
          <w:rFonts w:ascii="Calibri" w:eastAsia="Calibri" w:hAnsi="Calibri"/>
          <w:b/>
          <w:sz w:val="22"/>
          <w:szCs w:val="22"/>
        </w:rPr>
        <w:t xml:space="preserve">Introduction </w:t>
      </w:r>
    </w:p>
    <w:p w14:paraId="5BC28095" w14:textId="77777777" w:rsidR="00647183" w:rsidRPr="002473B3" w:rsidRDefault="00647183" w:rsidP="002473B3">
      <w:pPr>
        <w:spacing w:line="276" w:lineRule="auto"/>
        <w:jc w:val="both"/>
        <w:rPr>
          <w:rFonts w:ascii="Calibri" w:eastAsia="Calibri" w:hAnsi="Calibri"/>
          <w:b/>
          <w:sz w:val="22"/>
          <w:szCs w:val="22"/>
        </w:rPr>
      </w:pPr>
    </w:p>
    <w:p w14:paraId="6B2DADEE" w14:textId="4FCBC100"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 xml:space="preserve">Gliomas are </w:t>
      </w:r>
      <w:r>
        <w:rPr>
          <w:rFonts w:ascii="Calibri" w:eastAsia="Calibri" w:hAnsi="Calibri"/>
          <w:sz w:val="22"/>
          <w:szCs w:val="22"/>
        </w:rPr>
        <w:t xml:space="preserve">complex biological entities that are heavily interconnected  </w:t>
      </w:r>
      <w:r w:rsidRPr="002473B3">
        <w:rPr>
          <w:rFonts w:ascii="Calibri" w:eastAsia="Calibri" w:hAnsi="Calibri"/>
          <w:sz w:val="22"/>
          <w:szCs w:val="22"/>
        </w:rPr>
        <w:t xml:space="preserve">with their surrounding microenvironment. Glioma-neuronal units are dynamic and show bilateral relationship as the neuronal activity </w:t>
      </w:r>
      <w:r>
        <w:rPr>
          <w:rFonts w:ascii="Calibri" w:eastAsia="Calibri" w:hAnsi="Calibri"/>
          <w:sz w:val="22"/>
          <w:szCs w:val="22"/>
        </w:rPr>
        <w:t xml:space="preserve"> promotes</w:t>
      </w:r>
      <w:r w:rsidRPr="002473B3">
        <w:rPr>
          <w:rFonts w:ascii="Calibri" w:eastAsia="Calibri" w:hAnsi="Calibri"/>
          <w:sz w:val="22"/>
          <w:szCs w:val="22"/>
        </w:rPr>
        <w:t xml:space="preserve"> tumour growth</w:t>
      </w:r>
      <w:r>
        <w:rPr>
          <w:rFonts w:ascii="Calibri" w:eastAsia="Calibri" w:hAnsi="Calibri"/>
          <w:sz w:val="22"/>
          <w:szCs w:val="22"/>
        </w:rPr>
        <w:t>, while t</w:t>
      </w:r>
      <w:r w:rsidR="0018134B">
        <w:rPr>
          <w:rFonts w:ascii="Calibri" w:eastAsia="Calibri" w:hAnsi="Calibri"/>
          <w:sz w:val="22"/>
          <w:szCs w:val="22"/>
        </w:rPr>
        <w:t>umour growth</w:t>
      </w:r>
      <w:r>
        <w:rPr>
          <w:rFonts w:ascii="Calibri" w:eastAsia="Calibri" w:hAnsi="Calibri"/>
          <w:sz w:val="22"/>
          <w:szCs w:val="22"/>
        </w:rPr>
        <w:t xml:space="preserve"> </w:t>
      </w:r>
      <w:r w:rsidRPr="002473B3">
        <w:rPr>
          <w:rFonts w:ascii="Calibri" w:eastAsia="Calibri" w:hAnsi="Calibri"/>
          <w:sz w:val="22"/>
          <w:szCs w:val="22"/>
        </w:rPr>
        <w:t xml:space="preserve"> increases  abnormal neuronal excitability. (</w:t>
      </w:r>
      <w:r w:rsidRPr="002473B3">
        <w:rPr>
          <w:rFonts w:ascii="Calibri" w:eastAsia="Calibri" w:hAnsi="Calibri"/>
          <w:sz w:val="22"/>
          <w:szCs w:val="22"/>
          <w:highlight w:val="yellow"/>
        </w:rPr>
        <w:t>Krishna S, 2023; Drexler R, 2023</w:t>
      </w:r>
      <w:r w:rsidRPr="002473B3">
        <w:rPr>
          <w:rFonts w:ascii="Calibri" w:eastAsia="Calibri" w:hAnsi="Calibri"/>
          <w:sz w:val="22"/>
          <w:szCs w:val="22"/>
        </w:rPr>
        <w:t xml:space="preserve">) Gliomas also alter the microstructure and excitability of motor pathways </w:t>
      </w:r>
      <w:r w:rsidRPr="002473B3">
        <w:rPr>
          <w:rFonts w:ascii="Calibri" w:eastAsia="Calibri" w:hAnsi="Calibri"/>
          <w:sz w:val="22"/>
          <w:szCs w:val="22"/>
          <w:highlight w:val="yellow"/>
        </w:rPr>
        <w:t>(</w:t>
      </w:r>
      <w:proofErr w:type="spellStart"/>
      <w:r w:rsidR="00D043AB" w:rsidRPr="00D043AB">
        <w:rPr>
          <w:rFonts w:ascii="Calibri" w:eastAsia="Calibri" w:hAnsi="Calibri"/>
          <w:sz w:val="22"/>
          <w:szCs w:val="22"/>
          <w:highlight w:val="yellow"/>
        </w:rPr>
        <w:t>Genç</w:t>
      </w:r>
      <w:proofErr w:type="spellEnd"/>
      <w:r w:rsidR="00D043AB" w:rsidRPr="00D043AB">
        <w:rPr>
          <w:rFonts w:ascii="Calibri" w:eastAsia="Calibri" w:hAnsi="Calibri"/>
          <w:sz w:val="22"/>
          <w:szCs w:val="22"/>
          <w:highlight w:val="yellow"/>
        </w:rPr>
        <w:t xml:space="preserve"> B</w:t>
      </w:r>
      <w:r w:rsidR="00D043AB" w:rsidRPr="00D043AB">
        <w:rPr>
          <w:rFonts w:ascii="Calibri" w:eastAsia="Calibri" w:hAnsi="Calibri"/>
          <w:sz w:val="22"/>
          <w:szCs w:val="22"/>
          <w:highlight w:val="yellow"/>
        </w:rPr>
        <w:t xml:space="preserve">, 2024;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and </w:t>
      </w:r>
      <w:proofErr w:type="spellStart"/>
      <w:r w:rsidRPr="002473B3">
        <w:rPr>
          <w:rFonts w:ascii="Calibri" w:eastAsia="Calibri" w:hAnsi="Calibri"/>
          <w:sz w:val="22"/>
          <w:szCs w:val="22"/>
          <w:highlight w:val="yellow"/>
        </w:rPr>
        <w:t>Mirallave-Pescador</w:t>
      </w:r>
      <w:proofErr w:type="spellEnd"/>
      <w:r w:rsidRPr="002473B3">
        <w:rPr>
          <w:rFonts w:ascii="Calibri" w:eastAsia="Calibri" w:hAnsi="Calibri"/>
          <w:sz w:val="22"/>
          <w:szCs w:val="22"/>
          <w:highlight w:val="yellow"/>
        </w:rPr>
        <w:t xml:space="preserve"> 2024,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2023, </w:t>
      </w:r>
      <w:r w:rsidR="00D043AB" w:rsidRPr="00D043AB">
        <w:rPr>
          <w:rFonts w:ascii="Calibri" w:eastAsia="Calibri" w:hAnsi="Calibri"/>
          <w:sz w:val="22"/>
          <w:szCs w:val="22"/>
          <w:highlight w:val="yellow"/>
        </w:rPr>
        <w:t>Wang, X</w:t>
      </w:r>
      <w:r w:rsidR="00D043AB">
        <w:rPr>
          <w:rFonts w:ascii="Calibri" w:eastAsia="Calibri" w:hAnsi="Calibri"/>
          <w:sz w:val="22"/>
          <w:szCs w:val="22"/>
          <w:highlight w:val="yellow"/>
        </w:rPr>
        <w:t xml:space="preserve">, 2022;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2021, </w:t>
      </w:r>
      <w:r w:rsidR="00D043AB" w:rsidRPr="002473B3">
        <w:rPr>
          <w:rFonts w:ascii="Calibri" w:eastAsia="Calibri" w:hAnsi="Calibri"/>
          <w:sz w:val="22"/>
          <w:szCs w:val="22"/>
          <w:highlight w:val="yellow"/>
        </w:rPr>
        <w:t>Neville et al. 2021</w:t>
      </w:r>
      <w:r w:rsidR="00D043AB">
        <w:rPr>
          <w:rFonts w:ascii="Calibri" w:eastAsia="Calibri" w:hAnsi="Calibri"/>
          <w:sz w:val="22"/>
          <w:szCs w:val="22"/>
          <w:highlight w:val="yellow"/>
        </w:rPr>
        <w:t xml:space="preserve">, </w:t>
      </w:r>
      <w:proofErr w:type="spellStart"/>
      <w:r w:rsidRPr="002473B3">
        <w:rPr>
          <w:rFonts w:ascii="Calibri" w:eastAsia="Calibri" w:hAnsi="Calibri"/>
          <w:sz w:val="22"/>
          <w:szCs w:val="22"/>
          <w:highlight w:val="yellow"/>
        </w:rPr>
        <w:t>Mirchandani</w:t>
      </w:r>
      <w:proofErr w:type="spellEnd"/>
      <w:r w:rsidRPr="002473B3">
        <w:rPr>
          <w:rFonts w:ascii="Calibri" w:eastAsia="Calibri" w:hAnsi="Calibri"/>
          <w:sz w:val="22"/>
          <w:szCs w:val="22"/>
          <w:highlight w:val="yellow"/>
        </w:rPr>
        <w:t xml:space="preserve"> et al. 2020</w:t>
      </w:r>
      <w:r w:rsidR="00D043AB">
        <w:rPr>
          <w:rFonts w:ascii="Calibri" w:eastAsia="Calibri" w:hAnsi="Calibri"/>
          <w:sz w:val="22"/>
          <w:szCs w:val="22"/>
          <w:highlight w:val="yellow"/>
        </w:rPr>
        <w:t xml:space="preserve">; </w:t>
      </w:r>
      <w:r w:rsidR="00D043AB" w:rsidRPr="00D043AB">
        <w:rPr>
          <w:rFonts w:ascii="Calibri" w:eastAsia="Calibri" w:hAnsi="Calibri"/>
          <w:sz w:val="22"/>
          <w:szCs w:val="22"/>
          <w:highlight w:val="yellow"/>
        </w:rPr>
        <w:t>Wang X</w:t>
      </w:r>
      <w:r w:rsidR="00D043AB" w:rsidRPr="00D043AB">
        <w:rPr>
          <w:rFonts w:ascii="Calibri" w:eastAsia="Calibri" w:hAnsi="Calibri"/>
          <w:sz w:val="22"/>
          <w:szCs w:val="22"/>
          <w:highlight w:val="yellow"/>
        </w:rPr>
        <w:t>, 2020</w:t>
      </w:r>
      <w:r w:rsidRPr="002473B3">
        <w:rPr>
          <w:rFonts w:ascii="Calibri" w:eastAsia="Calibri" w:hAnsi="Calibri"/>
          <w:sz w:val="22"/>
          <w:szCs w:val="22"/>
          <w:highlight w:val="yellow"/>
        </w:rPr>
        <w:t>)</w:t>
      </w:r>
      <w:r w:rsidRPr="00D043AB">
        <w:rPr>
          <w:rFonts w:ascii="Calibri" w:eastAsia="Calibri" w:hAnsi="Calibri"/>
          <w:sz w:val="22"/>
          <w:szCs w:val="22"/>
          <w:highlight w:val="yellow"/>
        </w:rPr>
        <w:t>.</w:t>
      </w:r>
      <w:r w:rsidRPr="002473B3">
        <w:rPr>
          <w:rFonts w:ascii="Calibri" w:eastAsia="Calibri" w:hAnsi="Calibri"/>
          <w:sz w:val="22"/>
          <w:szCs w:val="22"/>
        </w:rPr>
        <w:t xml:space="preserve">  In neuro-oncology, navigated transcranial magnetic stimulation (</w:t>
      </w:r>
      <w:proofErr w:type="spellStart"/>
      <w:r w:rsidRPr="002473B3">
        <w:rPr>
          <w:rFonts w:ascii="Calibri" w:eastAsia="Calibri" w:hAnsi="Calibri"/>
          <w:sz w:val="22"/>
          <w:szCs w:val="22"/>
        </w:rPr>
        <w:t>nTMS</w:t>
      </w:r>
      <w:proofErr w:type="spellEnd"/>
      <w:r w:rsidRPr="002473B3">
        <w:rPr>
          <w:rFonts w:ascii="Calibri" w:eastAsia="Calibri" w:hAnsi="Calibri"/>
          <w:sz w:val="22"/>
          <w:szCs w:val="22"/>
        </w:rPr>
        <w:t xml:space="preserve">) is a useful technique for </w:t>
      </w:r>
      <w:r w:rsidR="0018134B">
        <w:rPr>
          <w:rFonts w:ascii="Calibri" w:eastAsia="Calibri" w:hAnsi="Calibri"/>
          <w:sz w:val="22"/>
          <w:szCs w:val="22"/>
        </w:rPr>
        <w:t xml:space="preserve">non-invasive </w:t>
      </w:r>
      <w:r w:rsidRPr="002473B3">
        <w:rPr>
          <w:rFonts w:ascii="Calibri" w:eastAsia="Calibri" w:hAnsi="Calibri"/>
          <w:sz w:val="22"/>
          <w:szCs w:val="22"/>
        </w:rPr>
        <w:t>motor cortex mapping and assessing motor pathway integrity in patients with brain tumours (</w:t>
      </w:r>
      <w:r w:rsidRPr="002473B3">
        <w:rPr>
          <w:rFonts w:ascii="Calibri" w:eastAsia="Calibri" w:hAnsi="Calibri"/>
          <w:sz w:val="22"/>
          <w:szCs w:val="22"/>
          <w:highlight w:val="yellow"/>
        </w:rPr>
        <w:t>Neville et al. 2021</w:t>
      </w:r>
      <w:r w:rsidRPr="002473B3">
        <w:rPr>
          <w:rFonts w:ascii="Calibri" w:eastAsia="Calibri" w:hAnsi="Calibri"/>
          <w:sz w:val="22"/>
          <w:szCs w:val="22"/>
        </w:rPr>
        <w:t>). It has proven to be an important adjunct in surgical planning for brain tumours in motor eloquent areas and has been associated with decreased risk of new postoperative neurological deficit and an increased extent of resection (</w:t>
      </w:r>
      <w:r w:rsidRPr="002473B3">
        <w:rPr>
          <w:rFonts w:ascii="Calibri" w:eastAsia="Calibri" w:hAnsi="Calibri"/>
          <w:sz w:val="22"/>
          <w:szCs w:val="22"/>
          <w:highlight w:val="yellow"/>
        </w:rPr>
        <w:t>Raffa et al. 2019</w:t>
      </w:r>
      <w:r w:rsidRPr="002473B3">
        <w:rPr>
          <w:rFonts w:ascii="Calibri" w:eastAsia="Calibri" w:hAnsi="Calibri"/>
          <w:sz w:val="22"/>
          <w:szCs w:val="22"/>
        </w:rPr>
        <w:t>).</w:t>
      </w:r>
    </w:p>
    <w:p w14:paraId="56B7F3EA" w14:textId="77777777" w:rsidR="00647183" w:rsidRPr="002473B3" w:rsidRDefault="00647183" w:rsidP="002473B3">
      <w:pPr>
        <w:spacing w:line="276" w:lineRule="auto"/>
        <w:jc w:val="both"/>
        <w:rPr>
          <w:rFonts w:ascii="Calibri" w:eastAsia="Calibri" w:hAnsi="Calibri"/>
          <w:sz w:val="22"/>
          <w:szCs w:val="22"/>
        </w:rPr>
      </w:pPr>
    </w:p>
    <w:p w14:paraId="527668B0" w14:textId="6A154CD2" w:rsidR="002473B3" w:rsidRDefault="0018134B" w:rsidP="002473B3">
      <w:pPr>
        <w:spacing w:line="276" w:lineRule="auto"/>
        <w:jc w:val="both"/>
        <w:rPr>
          <w:rFonts w:ascii="Calibri" w:eastAsia="Calibri" w:hAnsi="Calibri"/>
          <w:sz w:val="22"/>
          <w:szCs w:val="22"/>
        </w:rPr>
      </w:pPr>
      <w:r>
        <w:rPr>
          <w:rFonts w:ascii="Calibri" w:eastAsia="Calibri" w:hAnsi="Calibri"/>
          <w:sz w:val="22"/>
          <w:szCs w:val="22"/>
        </w:rPr>
        <w:t>R</w:t>
      </w:r>
      <w:r w:rsidR="002473B3" w:rsidRPr="002473B3">
        <w:rPr>
          <w:rFonts w:ascii="Calibri" w:eastAsia="Calibri" w:hAnsi="Calibri"/>
          <w:sz w:val="22"/>
          <w:szCs w:val="22"/>
        </w:rPr>
        <w:t xml:space="preserve">isk stratification scores </w:t>
      </w:r>
      <w:r>
        <w:rPr>
          <w:rFonts w:ascii="Calibri" w:eastAsia="Calibri" w:hAnsi="Calibri"/>
          <w:sz w:val="22"/>
          <w:szCs w:val="22"/>
        </w:rPr>
        <w:t xml:space="preserve">to </w:t>
      </w:r>
      <w:r w:rsidR="003B10A8">
        <w:rPr>
          <w:rFonts w:ascii="Calibri" w:eastAsia="Calibri" w:hAnsi="Calibri"/>
          <w:sz w:val="22"/>
          <w:szCs w:val="22"/>
        </w:rPr>
        <w:t>predict</w:t>
      </w:r>
      <w:r>
        <w:rPr>
          <w:rFonts w:ascii="Calibri" w:eastAsia="Calibri" w:hAnsi="Calibri"/>
          <w:sz w:val="22"/>
          <w:szCs w:val="22"/>
        </w:rPr>
        <w:t xml:space="preserve"> the likelihood of developing </w:t>
      </w:r>
      <w:r w:rsidR="002473B3" w:rsidRPr="002473B3">
        <w:rPr>
          <w:rFonts w:ascii="Calibri" w:eastAsia="Calibri" w:hAnsi="Calibri"/>
          <w:sz w:val="22"/>
          <w:szCs w:val="22"/>
        </w:rPr>
        <w:t xml:space="preserve">motor deficits after surgery </w:t>
      </w:r>
      <w:r>
        <w:rPr>
          <w:rFonts w:ascii="Calibri" w:eastAsia="Calibri" w:hAnsi="Calibri"/>
          <w:sz w:val="22"/>
          <w:szCs w:val="22"/>
        </w:rPr>
        <w:t xml:space="preserve">have been developed, combining preoperative mapping with </w:t>
      </w:r>
      <w:proofErr w:type="spellStart"/>
      <w:r>
        <w:rPr>
          <w:rFonts w:ascii="Calibri" w:eastAsia="Calibri" w:hAnsi="Calibri"/>
          <w:sz w:val="22"/>
          <w:szCs w:val="22"/>
        </w:rPr>
        <w:t>nTMS</w:t>
      </w:r>
      <w:proofErr w:type="spellEnd"/>
      <w:r>
        <w:rPr>
          <w:rFonts w:ascii="Calibri" w:eastAsia="Calibri" w:hAnsi="Calibri"/>
          <w:sz w:val="22"/>
          <w:szCs w:val="22"/>
        </w:rPr>
        <w:t xml:space="preserve"> and tractography</w:t>
      </w:r>
      <w:r w:rsidR="003B10A8">
        <w:rPr>
          <w:rFonts w:ascii="Calibri" w:eastAsia="Calibri" w:hAnsi="Calibri"/>
          <w:sz w:val="22"/>
          <w:szCs w:val="22"/>
        </w:rPr>
        <w:t xml:space="preserve"> </w:t>
      </w:r>
      <w:r w:rsidR="002473B3" w:rsidRPr="002473B3">
        <w:rPr>
          <w:rFonts w:ascii="Calibri" w:eastAsia="Calibri" w:hAnsi="Calibri"/>
          <w:sz w:val="22"/>
          <w:szCs w:val="22"/>
        </w:rPr>
        <w:t>(</w:t>
      </w:r>
      <w:proofErr w:type="spellStart"/>
      <w:r w:rsidR="002473B3" w:rsidRPr="002473B3">
        <w:rPr>
          <w:rFonts w:ascii="Calibri" w:eastAsia="Calibri" w:hAnsi="Calibri"/>
          <w:sz w:val="22"/>
          <w:szCs w:val="22"/>
          <w:highlight w:val="yellow"/>
        </w:rPr>
        <w:t>Rosenstok</w:t>
      </w:r>
      <w:proofErr w:type="spellEnd"/>
      <w:r w:rsidR="002473B3" w:rsidRPr="002473B3">
        <w:rPr>
          <w:rFonts w:ascii="Calibri" w:eastAsia="Calibri" w:hAnsi="Calibri"/>
          <w:sz w:val="22"/>
          <w:szCs w:val="22"/>
          <w:highlight w:val="yellow"/>
        </w:rPr>
        <w:t>, 2017</w:t>
      </w:r>
      <w:r w:rsidR="002473B3" w:rsidRPr="002473B3">
        <w:rPr>
          <w:rFonts w:ascii="Calibri" w:eastAsia="Calibri" w:hAnsi="Calibri"/>
          <w:sz w:val="22"/>
          <w:szCs w:val="22"/>
        </w:rPr>
        <w:t>) and further validated in a multicentric stud</w:t>
      </w:r>
      <w:r w:rsidR="003B10A8">
        <w:rPr>
          <w:rFonts w:ascii="Calibri" w:eastAsia="Calibri" w:hAnsi="Calibri"/>
          <w:sz w:val="22"/>
          <w:szCs w:val="22"/>
        </w:rPr>
        <w:t>y</w:t>
      </w:r>
      <w:r w:rsidR="002473B3" w:rsidRPr="002473B3">
        <w:rPr>
          <w:rFonts w:ascii="Calibri" w:eastAsia="Calibri" w:hAnsi="Calibri"/>
          <w:sz w:val="22"/>
          <w:szCs w:val="22"/>
        </w:rPr>
        <w:t xml:space="preserve"> (</w:t>
      </w:r>
      <w:proofErr w:type="spellStart"/>
      <w:r w:rsidR="002473B3" w:rsidRPr="002473B3">
        <w:rPr>
          <w:rFonts w:ascii="Calibri" w:eastAsia="Calibri" w:hAnsi="Calibri"/>
          <w:sz w:val="22"/>
          <w:szCs w:val="22"/>
          <w:highlight w:val="yellow"/>
        </w:rPr>
        <w:t>Rosenstok</w:t>
      </w:r>
      <w:proofErr w:type="spellEnd"/>
      <w:r w:rsidR="002473B3" w:rsidRPr="002473B3">
        <w:rPr>
          <w:rFonts w:ascii="Calibri" w:eastAsia="Calibri" w:hAnsi="Calibri"/>
          <w:sz w:val="22"/>
          <w:szCs w:val="22"/>
          <w:highlight w:val="yellow"/>
        </w:rPr>
        <w:t>, 2021</w:t>
      </w:r>
      <w:r w:rsidR="002473B3" w:rsidRPr="002473B3">
        <w:rPr>
          <w:rFonts w:ascii="Calibri" w:eastAsia="Calibri" w:hAnsi="Calibri"/>
          <w:sz w:val="22"/>
          <w:szCs w:val="22"/>
        </w:rPr>
        <w:t>)</w:t>
      </w:r>
      <w:r w:rsidR="003B10A8">
        <w:rPr>
          <w:rFonts w:ascii="Calibri" w:eastAsia="Calibri" w:hAnsi="Calibri"/>
          <w:sz w:val="22"/>
          <w:szCs w:val="22"/>
        </w:rPr>
        <w:t xml:space="preserve">. In particular, the presence of an abnormal cortical excitability, </w:t>
      </w:r>
      <w:r w:rsidR="002473B3" w:rsidRPr="002473B3">
        <w:rPr>
          <w:rFonts w:ascii="Calibri" w:eastAsia="Calibri" w:hAnsi="Calibri"/>
          <w:sz w:val="22"/>
          <w:szCs w:val="22"/>
        </w:rPr>
        <w:t xml:space="preserve"> </w:t>
      </w:r>
      <w:r w:rsidR="003B10A8">
        <w:rPr>
          <w:rFonts w:ascii="Calibri" w:eastAsia="Calibri" w:hAnsi="Calibri"/>
          <w:sz w:val="22"/>
          <w:szCs w:val="22"/>
        </w:rPr>
        <w:t xml:space="preserve"> defined as an </w:t>
      </w:r>
      <w:r w:rsidR="002473B3" w:rsidRPr="002473B3">
        <w:rPr>
          <w:rFonts w:ascii="Calibri" w:eastAsia="Calibri" w:hAnsi="Calibri"/>
          <w:sz w:val="22"/>
          <w:szCs w:val="22"/>
        </w:rPr>
        <w:t>interhemispheric resting motor threshold ratio (</w:t>
      </w:r>
      <w:proofErr w:type="spellStart"/>
      <w:r w:rsidR="003B10A8">
        <w:rPr>
          <w:rFonts w:ascii="Calibri" w:eastAsia="Calibri" w:hAnsi="Calibri"/>
          <w:sz w:val="22"/>
          <w:szCs w:val="22"/>
        </w:rPr>
        <w:t>iRMTr</w:t>
      </w:r>
      <w:proofErr w:type="spellEnd"/>
      <w:r w:rsidR="003B10A8">
        <w:rPr>
          <w:rFonts w:ascii="Calibri" w:eastAsia="Calibri" w:hAnsi="Calibri"/>
          <w:sz w:val="22"/>
          <w:szCs w:val="22"/>
        </w:rPr>
        <w:t xml:space="preserve">) </w:t>
      </w:r>
      <w:r w:rsidR="002473B3" w:rsidRPr="002473B3">
        <w:rPr>
          <w:rFonts w:ascii="Calibri" w:eastAsia="Calibri" w:hAnsi="Calibri"/>
          <w:sz w:val="22"/>
          <w:szCs w:val="22"/>
        </w:rPr>
        <w:t>&lt;90% or &gt;110%</w:t>
      </w:r>
      <w:r w:rsidR="003B10A8">
        <w:rPr>
          <w:rFonts w:ascii="Calibri" w:eastAsia="Calibri" w:hAnsi="Calibri"/>
          <w:sz w:val="22"/>
          <w:szCs w:val="22"/>
        </w:rPr>
        <w:t>,</w:t>
      </w:r>
      <w:r w:rsidR="002473B3" w:rsidRPr="002473B3">
        <w:rPr>
          <w:rFonts w:ascii="Calibri" w:eastAsia="Calibri" w:hAnsi="Calibri"/>
          <w:sz w:val="22"/>
          <w:szCs w:val="22"/>
        </w:rPr>
        <w:t xml:space="preserve"> was high-risk for early new post-operative motor deficits. This finding paved the way to the interest on the abnormal excitability as a marker of tumour-brain interaction. Cortical excitability was then shown to be related to WHO grade of diffuse gliomas</w:t>
      </w:r>
      <w:r w:rsidR="003B10A8" w:rsidRPr="003B10A8">
        <w:rPr>
          <w:rFonts w:ascii="Calibri" w:eastAsia="Calibri" w:hAnsi="Calibri"/>
          <w:sz w:val="22"/>
          <w:szCs w:val="22"/>
        </w:rPr>
        <w:t xml:space="preserve"> </w:t>
      </w:r>
      <w:r w:rsidR="003B10A8">
        <w:rPr>
          <w:rFonts w:ascii="Calibri" w:eastAsia="Calibri" w:hAnsi="Calibri"/>
          <w:sz w:val="22"/>
          <w:szCs w:val="22"/>
        </w:rPr>
        <w:t xml:space="preserve">in </w:t>
      </w:r>
      <w:r w:rsidR="003B10A8" w:rsidRPr="002473B3">
        <w:rPr>
          <w:rFonts w:ascii="Calibri" w:eastAsia="Calibri" w:hAnsi="Calibri"/>
          <w:sz w:val="22"/>
          <w:szCs w:val="22"/>
        </w:rPr>
        <w:t>motor eloquent</w:t>
      </w:r>
      <w:r w:rsidR="003B10A8">
        <w:rPr>
          <w:rFonts w:ascii="Calibri" w:eastAsia="Calibri" w:hAnsi="Calibri"/>
          <w:sz w:val="22"/>
          <w:szCs w:val="22"/>
        </w:rPr>
        <w:t xml:space="preserve"> areas</w:t>
      </w:r>
      <w:r w:rsidR="002473B3" w:rsidRPr="002473B3">
        <w:rPr>
          <w:rFonts w:ascii="Calibri" w:eastAsia="Calibri" w:hAnsi="Calibri"/>
          <w:sz w:val="22"/>
          <w:szCs w:val="22"/>
        </w:rPr>
        <w:t>. An increase in the WHO tumour grade and IDH wild-type tumours are associated with abnormal cortical excitability (</w:t>
      </w:r>
      <w:proofErr w:type="spellStart"/>
      <w:r w:rsidR="002473B3" w:rsidRPr="002473B3">
        <w:rPr>
          <w:rFonts w:ascii="Calibri" w:eastAsia="Calibri" w:hAnsi="Calibri"/>
          <w:sz w:val="22"/>
          <w:szCs w:val="22"/>
          <w:highlight w:val="yellow"/>
        </w:rPr>
        <w:t>Lavrador</w:t>
      </w:r>
      <w:proofErr w:type="spellEnd"/>
      <w:r w:rsidR="002473B3" w:rsidRPr="002473B3">
        <w:rPr>
          <w:rFonts w:ascii="Calibri" w:eastAsia="Calibri" w:hAnsi="Calibri"/>
          <w:sz w:val="22"/>
          <w:szCs w:val="22"/>
          <w:highlight w:val="yellow"/>
        </w:rPr>
        <w:t xml:space="preserve"> and </w:t>
      </w:r>
      <w:proofErr w:type="spellStart"/>
      <w:r w:rsidR="002473B3" w:rsidRPr="002473B3">
        <w:rPr>
          <w:rFonts w:ascii="Calibri" w:eastAsia="Calibri" w:hAnsi="Calibri"/>
          <w:sz w:val="22"/>
          <w:szCs w:val="22"/>
          <w:highlight w:val="yellow"/>
        </w:rPr>
        <w:t>Mirallave-Pescador</w:t>
      </w:r>
      <w:proofErr w:type="spellEnd"/>
      <w:r w:rsidR="002473B3" w:rsidRPr="002473B3">
        <w:rPr>
          <w:rFonts w:ascii="Calibri" w:eastAsia="Calibri" w:hAnsi="Calibri"/>
          <w:sz w:val="22"/>
          <w:szCs w:val="22"/>
          <w:highlight w:val="yellow"/>
        </w:rPr>
        <w:t xml:space="preserve"> 2024, </w:t>
      </w:r>
      <w:proofErr w:type="spellStart"/>
      <w:r w:rsidR="002473B3" w:rsidRPr="002473B3">
        <w:rPr>
          <w:rFonts w:ascii="Calibri" w:eastAsia="Calibri" w:hAnsi="Calibri"/>
          <w:sz w:val="22"/>
          <w:szCs w:val="22"/>
          <w:highlight w:val="yellow"/>
        </w:rPr>
        <w:t>Lavrador</w:t>
      </w:r>
      <w:proofErr w:type="spellEnd"/>
      <w:r w:rsidR="002473B3" w:rsidRPr="002473B3">
        <w:rPr>
          <w:rFonts w:ascii="Calibri" w:eastAsia="Calibri" w:hAnsi="Calibri"/>
          <w:sz w:val="22"/>
          <w:szCs w:val="22"/>
          <w:highlight w:val="yellow"/>
        </w:rPr>
        <w:t xml:space="preserve"> 2021, Neville et al. 2021</w:t>
      </w:r>
      <w:r w:rsidR="002473B3" w:rsidRPr="002473B3">
        <w:rPr>
          <w:rFonts w:ascii="Calibri" w:eastAsia="Calibri" w:hAnsi="Calibri"/>
          <w:sz w:val="22"/>
          <w:szCs w:val="22"/>
        </w:rPr>
        <w:t>). More recently, intraoperative abnormal motor cortical excitability during asleep-awake surgery was also shown to correlate with increase in WHO grading of diffuse infiltrative gliomas (</w:t>
      </w:r>
      <w:proofErr w:type="spellStart"/>
      <w:r w:rsidR="002473B3" w:rsidRPr="002473B3">
        <w:rPr>
          <w:rFonts w:ascii="Calibri" w:eastAsia="Calibri" w:hAnsi="Calibri"/>
          <w:sz w:val="22"/>
          <w:szCs w:val="22"/>
          <w:highlight w:val="yellow"/>
        </w:rPr>
        <w:t>Mirallave-Pescador</w:t>
      </w:r>
      <w:proofErr w:type="spellEnd"/>
      <w:r w:rsidR="002473B3" w:rsidRPr="002473B3">
        <w:rPr>
          <w:rFonts w:ascii="Calibri" w:eastAsia="Calibri" w:hAnsi="Calibri"/>
          <w:sz w:val="22"/>
          <w:szCs w:val="22"/>
          <w:highlight w:val="yellow"/>
        </w:rPr>
        <w:t xml:space="preserve"> 2024</w:t>
      </w:r>
      <w:r w:rsidR="002473B3" w:rsidRPr="002473B3">
        <w:rPr>
          <w:rFonts w:ascii="Calibri" w:eastAsia="Calibri" w:hAnsi="Calibri"/>
          <w:sz w:val="22"/>
          <w:szCs w:val="22"/>
        </w:rPr>
        <w:t xml:space="preserve">). </w:t>
      </w:r>
    </w:p>
    <w:p w14:paraId="4E30F4F2" w14:textId="77777777" w:rsidR="00647183" w:rsidRPr="002473B3" w:rsidRDefault="00647183" w:rsidP="002473B3">
      <w:pPr>
        <w:spacing w:line="276" w:lineRule="auto"/>
        <w:jc w:val="both"/>
        <w:rPr>
          <w:rFonts w:ascii="Calibri" w:eastAsia="Calibri" w:hAnsi="Calibri"/>
          <w:sz w:val="22"/>
          <w:szCs w:val="22"/>
        </w:rPr>
      </w:pPr>
    </w:p>
    <w:p w14:paraId="239B1110" w14:textId="39024BAD" w:rsidR="002473B3" w:rsidRP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Prognostication in glioblastoma is a rapid evolving field. (</w:t>
      </w:r>
      <w:proofErr w:type="spellStart"/>
      <w:r w:rsidRPr="002473B3">
        <w:rPr>
          <w:rFonts w:ascii="Calibri" w:eastAsia="Calibri" w:hAnsi="Calibri"/>
          <w:sz w:val="22"/>
          <w:szCs w:val="22"/>
          <w:highlight w:val="yellow"/>
        </w:rPr>
        <w:t>Tewarie</w:t>
      </w:r>
      <w:proofErr w:type="spellEnd"/>
      <w:r w:rsidRPr="002473B3">
        <w:rPr>
          <w:rFonts w:ascii="Calibri" w:eastAsia="Calibri" w:hAnsi="Calibri"/>
          <w:sz w:val="22"/>
          <w:szCs w:val="22"/>
          <w:highlight w:val="yellow"/>
        </w:rPr>
        <w:t xml:space="preserve"> IA, 2021</w:t>
      </w:r>
      <w:r w:rsidRPr="002473B3">
        <w:rPr>
          <w:rFonts w:ascii="Calibri" w:eastAsia="Calibri" w:hAnsi="Calibri"/>
          <w:sz w:val="22"/>
          <w:szCs w:val="22"/>
        </w:rPr>
        <w:t>) Different classifications and molecular markers have changed the landscape in the recent decades. (</w:t>
      </w:r>
      <w:r w:rsidRPr="002473B3">
        <w:rPr>
          <w:rFonts w:ascii="Calibri" w:eastAsia="Calibri" w:hAnsi="Calibri"/>
          <w:sz w:val="22"/>
          <w:szCs w:val="22"/>
          <w:highlight w:val="yellow"/>
        </w:rPr>
        <w:t xml:space="preserve">Bailey P, 1926;  </w:t>
      </w:r>
      <w:proofErr w:type="spellStart"/>
      <w:r w:rsidRPr="002473B3">
        <w:rPr>
          <w:rFonts w:ascii="Calibri" w:eastAsia="Calibri" w:hAnsi="Calibri"/>
          <w:sz w:val="22"/>
          <w:szCs w:val="22"/>
          <w:highlight w:val="yellow"/>
        </w:rPr>
        <w:t>Kernohan</w:t>
      </w:r>
      <w:proofErr w:type="spellEnd"/>
      <w:r w:rsidRPr="002473B3">
        <w:rPr>
          <w:rFonts w:ascii="Calibri" w:eastAsia="Calibri" w:hAnsi="Calibri"/>
          <w:sz w:val="22"/>
          <w:szCs w:val="22"/>
          <w:highlight w:val="yellow"/>
        </w:rPr>
        <w:t xml:space="preserve"> JW, 1949; </w:t>
      </w:r>
      <w:proofErr w:type="spellStart"/>
      <w:r w:rsidRPr="002473B3">
        <w:rPr>
          <w:rFonts w:ascii="Calibri" w:eastAsia="Calibri" w:hAnsi="Calibri"/>
          <w:sz w:val="22"/>
          <w:szCs w:val="22"/>
          <w:highlight w:val="yellow"/>
        </w:rPr>
        <w:t>Daumas-Duport</w:t>
      </w:r>
      <w:proofErr w:type="spellEnd"/>
      <w:r w:rsidRPr="002473B3">
        <w:rPr>
          <w:rFonts w:ascii="Calibri" w:eastAsia="Calibri" w:hAnsi="Calibri"/>
          <w:sz w:val="22"/>
          <w:szCs w:val="22"/>
          <w:highlight w:val="yellow"/>
        </w:rPr>
        <w:t xml:space="preserve"> C, 1988;  </w:t>
      </w:r>
      <w:proofErr w:type="spellStart"/>
      <w:r w:rsidRPr="002473B3">
        <w:rPr>
          <w:rFonts w:ascii="Calibri" w:eastAsia="Calibri" w:hAnsi="Calibri"/>
          <w:sz w:val="22"/>
          <w:szCs w:val="22"/>
          <w:highlight w:val="yellow"/>
        </w:rPr>
        <w:t>Cairncross</w:t>
      </w:r>
      <w:proofErr w:type="spellEnd"/>
      <w:r w:rsidRPr="002473B3">
        <w:rPr>
          <w:rFonts w:ascii="Calibri" w:eastAsia="Calibri" w:hAnsi="Calibri"/>
          <w:sz w:val="22"/>
          <w:szCs w:val="22"/>
          <w:highlight w:val="yellow"/>
        </w:rPr>
        <w:t xml:space="preserve"> JG, 1998;  Hegi ME, 2005;  Parsons DW, 2008;  Martin-Villalba A, 2008 ; Capper D, 2018</w:t>
      </w:r>
      <w:r w:rsidRPr="002473B3">
        <w:rPr>
          <w:rFonts w:ascii="Calibri" w:eastAsia="Calibri" w:hAnsi="Calibri"/>
          <w:sz w:val="22"/>
          <w:szCs w:val="22"/>
        </w:rPr>
        <w:t>) Recent connectivity findings draw the attention to the prognostic implications of the functional interaction</w:t>
      </w:r>
      <w:r w:rsidR="00877079">
        <w:rPr>
          <w:rFonts w:ascii="Calibri" w:eastAsia="Calibri" w:hAnsi="Calibri"/>
          <w:sz w:val="22"/>
          <w:szCs w:val="22"/>
        </w:rPr>
        <w:t xml:space="preserve"> between gliomas and the surrounding brain. </w:t>
      </w:r>
      <w:r w:rsidRPr="002473B3">
        <w:rPr>
          <w:rFonts w:ascii="Calibri" w:eastAsia="Calibri" w:hAnsi="Calibri"/>
          <w:sz w:val="22"/>
          <w:szCs w:val="22"/>
        </w:rPr>
        <w:t xml:space="preserve"> A higher degree of functional tumour-brain connectivity decrease</w:t>
      </w:r>
      <w:r w:rsidR="00877079">
        <w:rPr>
          <w:rFonts w:ascii="Calibri" w:eastAsia="Calibri" w:hAnsi="Calibri"/>
          <w:sz w:val="22"/>
          <w:szCs w:val="22"/>
        </w:rPr>
        <w:t>s</w:t>
      </w:r>
      <w:r w:rsidRPr="002473B3">
        <w:rPr>
          <w:rFonts w:ascii="Calibri" w:eastAsia="Calibri" w:hAnsi="Calibri"/>
          <w:sz w:val="22"/>
          <w:szCs w:val="22"/>
        </w:rPr>
        <w:t xml:space="preserve"> overall survival in patients with otherwise good prognostic factors (</w:t>
      </w:r>
      <w:r w:rsidRPr="002473B3">
        <w:rPr>
          <w:rFonts w:ascii="Calibri" w:eastAsia="Calibri" w:hAnsi="Calibri"/>
          <w:sz w:val="22"/>
          <w:szCs w:val="22"/>
          <w:highlight w:val="yellow"/>
        </w:rPr>
        <w:t xml:space="preserve">Krishna S, 2023) </w:t>
      </w:r>
      <w:r w:rsidRPr="002473B3">
        <w:rPr>
          <w:rFonts w:ascii="Calibri" w:eastAsia="Calibri" w:hAnsi="Calibri"/>
          <w:sz w:val="22"/>
          <w:szCs w:val="22"/>
        </w:rPr>
        <w:t xml:space="preserve">and whole-brain structural connectivity metrics such as a decrease in white matter tract density </w:t>
      </w:r>
      <w:r w:rsidR="00773806">
        <w:rPr>
          <w:rFonts w:ascii="Calibri" w:eastAsia="Calibri" w:hAnsi="Calibri"/>
          <w:sz w:val="22"/>
          <w:szCs w:val="22"/>
        </w:rPr>
        <w:t xml:space="preserve"> have been linked to a decrease in </w:t>
      </w:r>
      <w:r w:rsidRPr="002473B3">
        <w:rPr>
          <w:rFonts w:ascii="Calibri" w:eastAsia="Calibri" w:hAnsi="Calibri"/>
          <w:sz w:val="22"/>
          <w:szCs w:val="22"/>
        </w:rPr>
        <w:t xml:space="preserve"> survival in these patients. (</w:t>
      </w:r>
      <w:proofErr w:type="spellStart"/>
      <w:r w:rsidRPr="002473B3">
        <w:rPr>
          <w:rFonts w:ascii="Calibri" w:eastAsia="Calibri" w:hAnsi="Calibri"/>
          <w:sz w:val="22"/>
          <w:szCs w:val="22"/>
          <w:highlight w:val="yellow"/>
        </w:rPr>
        <w:t>Salvalaggio</w:t>
      </w:r>
      <w:proofErr w:type="spellEnd"/>
      <w:r w:rsidRPr="002473B3">
        <w:rPr>
          <w:rFonts w:ascii="Calibri" w:eastAsia="Calibri" w:hAnsi="Calibri"/>
          <w:sz w:val="22"/>
          <w:szCs w:val="22"/>
          <w:highlight w:val="yellow"/>
        </w:rPr>
        <w:t xml:space="preserve"> A, 2023</w:t>
      </w:r>
      <w:r w:rsidRPr="002473B3">
        <w:rPr>
          <w:rFonts w:ascii="Calibri" w:eastAsia="Calibri" w:hAnsi="Calibri"/>
          <w:sz w:val="22"/>
          <w:szCs w:val="22"/>
        </w:rPr>
        <w:t xml:space="preserve">; </w:t>
      </w:r>
      <w:r w:rsidRPr="002473B3">
        <w:rPr>
          <w:rFonts w:ascii="Calibri" w:eastAsia="Calibri" w:hAnsi="Calibri"/>
          <w:sz w:val="22"/>
          <w:szCs w:val="22"/>
          <w:highlight w:val="yellow"/>
        </w:rPr>
        <w:t>Wei Y, 2023</w:t>
      </w:r>
      <w:r w:rsidRPr="002473B3">
        <w:rPr>
          <w:rFonts w:ascii="Calibri" w:eastAsia="Calibri" w:hAnsi="Calibri"/>
          <w:sz w:val="22"/>
          <w:szCs w:val="22"/>
        </w:rPr>
        <w:t xml:space="preserve">; </w:t>
      </w:r>
      <w:r w:rsidRPr="002473B3">
        <w:rPr>
          <w:rFonts w:ascii="Calibri" w:eastAsia="Calibri" w:hAnsi="Calibri"/>
          <w:sz w:val="22"/>
          <w:szCs w:val="22"/>
          <w:highlight w:val="yellow"/>
        </w:rPr>
        <w:t>Kesler, 2022</w:t>
      </w:r>
      <w:r w:rsidRPr="002473B3">
        <w:rPr>
          <w:rFonts w:ascii="Calibri" w:eastAsia="Calibri" w:hAnsi="Calibri"/>
          <w:sz w:val="22"/>
          <w:szCs w:val="22"/>
        </w:rPr>
        <w:t xml:space="preserve">). </w:t>
      </w:r>
      <w:proofErr w:type="spellStart"/>
      <w:r w:rsidR="006A0ADD">
        <w:rPr>
          <w:rFonts w:ascii="Calibri" w:eastAsia="Calibri" w:hAnsi="Calibri"/>
          <w:sz w:val="22"/>
          <w:szCs w:val="22"/>
        </w:rPr>
        <w:t>nTMS</w:t>
      </w:r>
      <w:proofErr w:type="spellEnd"/>
      <w:r w:rsidR="006A0ADD">
        <w:rPr>
          <w:rFonts w:ascii="Calibri" w:eastAsia="Calibri" w:hAnsi="Calibri"/>
          <w:sz w:val="22"/>
          <w:szCs w:val="22"/>
        </w:rPr>
        <w:t xml:space="preserve"> metrics assess cortical excitability (</w:t>
      </w:r>
      <w:proofErr w:type="spellStart"/>
      <w:r w:rsidR="006A0ADD" w:rsidRPr="002473B3">
        <w:rPr>
          <w:rFonts w:ascii="Calibri" w:eastAsia="Calibri" w:hAnsi="Calibri"/>
          <w:sz w:val="22"/>
          <w:szCs w:val="22"/>
          <w:highlight w:val="yellow"/>
        </w:rPr>
        <w:t>Lavrador</w:t>
      </w:r>
      <w:proofErr w:type="spellEnd"/>
      <w:r w:rsidR="006A0ADD" w:rsidRPr="002473B3">
        <w:rPr>
          <w:rFonts w:ascii="Calibri" w:eastAsia="Calibri" w:hAnsi="Calibri"/>
          <w:sz w:val="22"/>
          <w:szCs w:val="22"/>
          <w:highlight w:val="yellow"/>
        </w:rPr>
        <w:t xml:space="preserve"> and </w:t>
      </w:r>
      <w:proofErr w:type="spellStart"/>
      <w:r w:rsidR="006A0ADD" w:rsidRPr="002473B3">
        <w:rPr>
          <w:rFonts w:ascii="Calibri" w:eastAsia="Calibri" w:hAnsi="Calibri"/>
          <w:sz w:val="22"/>
          <w:szCs w:val="22"/>
          <w:highlight w:val="yellow"/>
        </w:rPr>
        <w:t>Mirallave-Pescador</w:t>
      </w:r>
      <w:proofErr w:type="spellEnd"/>
      <w:r w:rsidR="006A0ADD" w:rsidRPr="002473B3">
        <w:rPr>
          <w:rFonts w:ascii="Calibri" w:eastAsia="Calibri" w:hAnsi="Calibri"/>
          <w:sz w:val="22"/>
          <w:szCs w:val="22"/>
          <w:highlight w:val="yellow"/>
        </w:rPr>
        <w:t xml:space="preserve"> 2024, </w:t>
      </w:r>
      <w:proofErr w:type="spellStart"/>
      <w:r w:rsidR="006A0ADD" w:rsidRPr="002473B3">
        <w:rPr>
          <w:rFonts w:ascii="Calibri" w:eastAsia="Calibri" w:hAnsi="Calibri"/>
          <w:sz w:val="22"/>
          <w:szCs w:val="22"/>
          <w:highlight w:val="yellow"/>
        </w:rPr>
        <w:t>Lavrador</w:t>
      </w:r>
      <w:proofErr w:type="spellEnd"/>
      <w:r w:rsidR="006A0ADD" w:rsidRPr="002473B3">
        <w:rPr>
          <w:rFonts w:ascii="Calibri" w:eastAsia="Calibri" w:hAnsi="Calibri"/>
          <w:sz w:val="22"/>
          <w:szCs w:val="22"/>
          <w:highlight w:val="yellow"/>
        </w:rPr>
        <w:t xml:space="preserve"> 2023</w:t>
      </w:r>
      <w:r w:rsidR="006A0ADD">
        <w:rPr>
          <w:rFonts w:ascii="Calibri" w:eastAsia="Calibri" w:hAnsi="Calibri"/>
          <w:sz w:val="22"/>
          <w:szCs w:val="22"/>
          <w:highlight w:val="yellow"/>
        </w:rPr>
        <w:t xml:space="preserve">; </w:t>
      </w:r>
      <w:proofErr w:type="spellStart"/>
      <w:r w:rsidR="006A0ADD" w:rsidRPr="002473B3">
        <w:rPr>
          <w:rFonts w:ascii="Calibri" w:eastAsia="Calibri" w:hAnsi="Calibri"/>
          <w:sz w:val="22"/>
          <w:szCs w:val="22"/>
          <w:highlight w:val="yellow"/>
        </w:rPr>
        <w:t>Lavrador</w:t>
      </w:r>
      <w:proofErr w:type="spellEnd"/>
      <w:r w:rsidR="006A0ADD" w:rsidRPr="002473B3">
        <w:rPr>
          <w:rFonts w:ascii="Calibri" w:eastAsia="Calibri" w:hAnsi="Calibri"/>
          <w:sz w:val="22"/>
          <w:szCs w:val="22"/>
          <w:highlight w:val="yellow"/>
        </w:rPr>
        <w:t xml:space="preserve"> 2021, Neville et al. 2021</w:t>
      </w:r>
      <w:r w:rsidR="006A0ADD">
        <w:rPr>
          <w:rFonts w:ascii="Calibri" w:eastAsia="Calibri" w:hAnsi="Calibri"/>
          <w:sz w:val="22"/>
          <w:szCs w:val="22"/>
          <w:highlight w:val="yellow"/>
        </w:rPr>
        <w:t xml:space="preserve">) </w:t>
      </w:r>
      <w:r w:rsidR="006A0ADD">
        <w:rPr>
          <w:rFonts w:ascii="Calibri" w:eastAsia="Calibri" w:hAnsi="Calibri"/>
          <w:sz w:val="22"/>
          <w:szCs w:val="22"/>
        </w:rPr>
        <w:t>and are affected by white matter structural integrity. (</w:t>
      </w:r>
      <w:proofErr w:type="spellStart"/>
      <w:r w:rsidR="006A0ADD" w:rsidRPr="002473B3">
        <w:rPr>
          <w:rFonts w:ascii="Calibri" w:eastAsia="Calibri" w:hAnsi="Calibri"/>
          <w:sz w:val="22"/>
          <w:szCs w:val="22"/>
          <w:highlight w:val="yellow"/>
        </w:rPr>
        <w:t>Mirchandani</w:t>
      </w:r>
      <w:proofErr w:type="spellEnd"/>
      <w:r w:rsidR="006A0ADD" w:rsidRPr="002473B3">
        <w:rPr>
          <w:rFonts w:ascii="Calibri" w:eastAsia="Calibri" w:hAnsi="Calibri"/>
          <w:sz w:val="22"/>
          <w:szCs w:val="22"/>
          <w:highlight w:val="yellow"/>
        </w:rPr>
        <w:t xml:space="preserve"> et al. 2020</w:t>
      </w:r>
      <w:r w:rsidR="006A0ADD">
        <w:rPr>
          <w:rFonts w:ascii="Calibri" w:eastAsia="Calibri" w:hAnsi="Calibri"/>
          <w:sz w:val="22"/>
          <w:szCs w:val="22"/>
          <w:highlight w:val="yellow"/>
        </w:rPr>
        <w:t xml:space="preserve">) </w:t>
      </w:r>
      <w:r w:rsidRPr="002473B3">
        <w:rPr>
          <w:rFonts w:ascii="Calibri" w:eastAsia="Calibri" w:hAnsi="Calibri"/>
          <w:sz w:val="22"/>
          <w:szCs w:val="22"/>
        </w:rPr>
        <w:t xml:space="preserve">Therefore, based on the functional-structural connectivity impairment in survival of glioblastoma patients, we hypothesise that progressive abnormal cortical excitability is related with decreased overall survival in patients with glioblastoma. </w:t>
      </w:r>
    </w:p>
    <w:p w14:paraId="0EEA6696" w14:textId="77777777" w:rsidR="002473B3" w:rsidRPr="002473B3" w:rsidRDefault="002473B3" w:rsidP="002473B3">
      <w:pPr>
        <w:spacing w:line="480" w:lineRule="auto"/>
        <w:jc w:val="both"/>
        <w:rPr>
          <w:rFonts w:ascii="Calibri" w:eastAsia="Calibri" w:hAnsi="Calibri"/>
          <w:sz w:val="22"/>
          <w:szCs w:val="22"/>
        </w:rPr>
      </w:pPr>
    </w:p>
    <w:p w14:paraId="516E3ED1" w14:textId="77777777" w:rsidR="002473B3" w:rsidRPr="002473B3" w:rsidRDefault="002473B3" w:rsidP="002473B3">
      <w:pPr>
        <w:spacing w:line="259" w:lineRule="auto"/>
        <w:jc w:val="both"/>
        <w:rPr>
          <w:rFonts w:ascii="Calibri" w:eastAsia="Calibri" w:hAnsi="Calibri"/>
          <w:sz w:val="22"/>
          <w:szCs w:val="22"/>
        </w:rPr>
      </w:pPr>
    </w:p>
    <w:p w14:paraId="0D6CA5DB" w14:textId="77777777" w:rsidR="002473B3" w:rsidRPr="002473B3" w:rsidRDefault="002473B3" w:rsidP="002473B3">
      <w:pPr>
        <w:spacing w:line="259" w:lineRule="auto"/>
        <w:jc w:val="both"/>
        <w:rPr>
          <w:rFonts w:ascii="Calibri" w:eastAsia="Calibri" w:hAnsi="Calibri"/>
          <w:sz w:val="22"/>
          <w:szCs w:val="22"/>
        </w:rPr>
      </w:pPr>
    </w:p>
    <w:p w14:paraId="16EA0F27" w14:textId="4731CDE4" w:rsidR="002473B3" w:rsidRDefault="002473B3" w:rsidP="002473B3">
      <w:pPr>
        <w:spacing w:line="259" w:lineRule="auto"/>
        <w:jc w:val="both"/>
        <w:rPr>
          <w:rFonts w:ascii="Calibri" w:eastAsia="Calibri" w:hAnsi="Calibri"/>
          <w:sz w:val="22"/>
          <w:szCs w:val="22"/>
        </w:rPr>
      </w:pPr>
    </w:p>
    <w:p w14:paraId="5CB485D5" w14:textId="77777777" w:rsidR="00647183" w:rsidRPr="002473B3" w:rsidRDefault="00647183" w:rsidP="002473B3">
      <w:pPr>
        <w:spacing w:line="259" w:lineRule="auto"/>
        <w:jc w:val="both"/>
        <w:rPr>
          <w:rFonts w:ascii="Calibri" w:eastAsia="Calibri" w:hAnsi="Calibri"/>
          <w:sz w:val="22"/>
          <w:szCs w:val="22"/>
        </w:rPr>
      </w:pPr>
    </w:p>
    <w:p w14:paraId="2C540431" w14:textId="77777777" w:rsidR="002473B3" w:rsidRPr="002473B3" w:rsidRDefault="002473B3" w:rsidP="002473B3">
      <w:pPr>
        <w:spacing w:line="259" w:lineRule="auto"/>
        <w:jc w:val="both"/>
        <w:rPr>
          <w:rFonts w:ascii="Calibri" w:eastAsia="Calibri" w:hAnsi="Calibri"/>
          <w:sz w:val="22"/>
          <w:szCs w:val="22"/>
        </w:rPr>
      </w:pPr>
    </w:p>
    <w:p w14:paraId="2E31880B" w14:textId="147F2CB3" w:rsidR="002473B3" w:rsidRDefault="002473B3" w:rsidP="002473B3">
      <w:pPr>
        <w:spacing w:line="259" w:lineRule="auto"/>
        <w:jc w:val="both"/>
        <w:rPr>
          <w:rFonts w:ascii="Calibri" w:eastAsia="Calibri" w:hAnsi="Calibri"/>
          <w:b/>
          <w:sz w:val="22"/>
          <w:szCs w:val="22"/>
        </w:rPr>
      </w:pPr>
      <w:r w:rsidRPr="002473B3">
        <w:rPr>
          <w:rFonts w:ascii="Calibri" w:eastAsia="Calibri" w:hAnsi="Calibri"/>
          <w:b/>
          <w:sz w:val="22"/>
          <w:szCs w:val="22"/>
        </w:rPr>
        <w:t>Methods</w:t>
      </w:r>
    </w:p>
    <w:p w14:paraId="6DE28D37" w14:textId="77777777" w:rsidR="00647183" w:rsidRPr="002473B3" w:rsidRDefault="00647183" w:rsidP="002473B3">
      <w:pPr>
        <w:spacing w:line="259" w:lineRule="auto"/>
        <w:jc w:val="both"/>
        <w:rPr>
          <w:rFonts w:ascii="Calibri" w:eastAsia="Calibri" w:hAnsi="Calibri"/>
          <w:b/>
          <w:sz w:val="22"/>
          <w:szCs w:val="22"/>
        </w:rPr>
      </w:pPr>
    </w:p>
    <w:p w14:paraId="3D3CE956" w14:textId="1454339E"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This is a single centre retrospective cohort study of patient</w:t>
      </w:r>
      <w:r w:rsidR="00773806">
        <w:rPr>
          <w:rFonts w:ascii="Calibri" w:eastAsia="Calibri" w:hAnsi="Calibri"/>
          <w:sz w:val="22"/>
          <w:szCs w:val="22"/>
        </w:rPr>
        <w:t>s</w:t>
      </w:r>
      <w:r w:rsidRPr="002473B3">
        <w:rPr>
          <w:rFonts w:ascii="Calibri" w:eastAsia="Calibri" w:hAnsi="Calibri"/>
          <w:sz w:val="22"/>
          <w:szCs w:val="22"/>
        </w:rPr>
        <w:t xml:space="preserve"> admitted for surgery </w:t>
      </w:r>
      <w:r w:rsidR="00773806">
        <w:rPr>
          <w:rFonts w:ascii="Calibri" w:eastAsia="Calibri" w:hAnsi="Calibri"/>
          <w:sz w:val="22"/>
          <w:szCs w:val="22"/>
        </w:rPr>
        <w:t>of</w:t>
      </w:r>
      <w:r w:rsidR="00773806" w:rsidRPr="002473B3">
        <w:rPr>
          <w:rFonts w:ascii="Calibri" w:eastAsia="Calibri" w:hAnsi="Calibri"/>
          <w:sz w:val="22"/>
          <w:szCs w:val="22"/>
        </w:rPr>
        <w:t xml:space="preserve"> </w:t>
      </w:r>
      <w:r w:rsidRPr="002473B3">
        <w:rPr>
          <w:rFonts w:ascii="Calibri" w:eastAsia="Calibri" w:hAnsi="Calibri"/>
          <w:sz w:val="22"/>
          <w:szCs w:val="22"/>
        </w:rPr>
        <w:t xml:space="preserve">a motor-eloquent brain tumour  from October 2018 to May 2024. </w:t>
      </w:r>
      <w:r w:rsidR="00773806" w:rsidRPr="002473B3">
        <w:rPr>
          <w:rFonts w:ascii="Calibri" w:eastAsia="Calibri" w:hAnsi="Calibri"/>
          <w:sz w:val="22"/>
          <w:szCs w:val="22"/>
        </w:rPr>
        <w:t xml:space="preserve"> </w:t>
      </w:r>
      <w:r w:rsidR="00773806">
        <w:rPr>
          <w:rFonts w:ascii="Calibri" w:eastAsia="Calibri" w:hAnsi="Calibri"/>
          <w:sz w:val="22"/>
          <w:szCs w:val="22"/>
        </w:rPr>
        <w:t xml:space="preserve">In accordance with previous literature, motor eloquence was defined as a direct invasion of precentral gyrus or a </w:t>
      </w:r>
      <w:r w:rsidR="00773806" w:rsidRPr="002473B3">
        <w:rPr>
          <w:rFonts w:ascii="Calibri" w:eastAsia="Calibri" w:hAnsi="Calibri"/>
          <w:sz w:val="22"/>
          <w:szCs w:val="22"/>
        </w:rPr>
        <w:t>distance to corticospinal tract inferior to 10mm (</w:t>
      </w:r>
      <w:proofErr w:type="spellStart"/>
      <w:r w:rsidR="00773806" w:rsidRPr="002473B3">
        <w:rPr>
          <w:rFonts w:ascii="Calibri" w:eastAsia="Calibri" w:hAnsi="Calibri"/>
          <w:sz w:val="22"/>
          <w:szCs w:val="22"/>
          <w:highlight w:val="yellow"/>
        </w:rPr>
        <w:t>Lalgudi</w:t>
      </w:r>
      <w:proofErr w:type="spellEnd"/>
      <w:r w:rsidR="00773806" w:rsidRPr="002473B3">
        <w:rPr>
          <w:rFonts w:ascii="Calibri" w:eastAsia="Calibri" w:hAnsi="Calibri"/>
          <w:sz w:val="22"/>
          <w:szCs w:val="22"/>
          <w:highlight w:val="yellow"/>
        </w:rPr>
        <w:t xml:space="preserve"> et al. 2023; Raabe et al. 2014</w:t>
      </w:r>
      <w:r w:rsidR="00773806" w:rsidRPr="002473B3">
        <w:rPr>
          <w:rFonts w:ascii="Calibri" w:eastAsia="Calibri" w:hAnsi="Calibri"/>
          <w:sz w:val="22"/>
          <w:szCs w:val="22"/>
        </w:rPr>
        <w:t xml:space="preserve">) </w:t>
      </w:r>
      <w:r w:rsidRPr="002473B3">
        <w:rPr>
          <w:rFonts w:ascii="Calibri" w:eastAsia="Calibri" w:hAnsi="Calibri"/>
          <w:sz w:val="22"/>
          <w:szCs w:val="22"/>
        </w:rPr>
        <w:t xml:space="preserve">The inclusion criteria were: preoperative </w:t>
      </w:r>
      <w:proofErr w:type="spellStart"/>
      <w:r w:rsidRPr="002473B3">
        <w:rPr>
          <w:rFonts w:ascii="Calibri" w:eastAsia="Calibri" w:hAnsi="Calibri"/>
          <w:sz w:val="22"/>
          <w:szCs w:val="22"/>
        </w:rPr>
        <w:t>nTMS</w:t>
      </w:r>
      <w:proofErr w:type="spellEnd"/>
      <w:r w:rsidRPr="002473B3">
        <w:rPr>
          <w:rFonts w:ascii="Calibri" w:eastAsia="Calibri" w:hAnsi="Calibri"/>
          <w:sz w:val="22"/>
          <w:szCs w:val="22"/>
        </w:rPr>
        <w:t xml:space="preserve"> mapping and </w:t>
      </w:r>
      <w:r w:rsidR="00377FAE">
        <w:rPr>
          <w:rFonts w:ascii="Calibri" w:eastAsia="Calibri" w:hAnsi="Calibri"/>
          <w:sz w:val="22"/>
          <w:szCs w:val="22"/>
        </w:rPr>
        <w:t xml:space="preserve">an integrated </w:t>
      </w:r>
      <w:r w:rsidRPr="002473B3">
        <w:rPr>
          <w:rFonts w:ascii="Calibri" w:eastAsia="Calibri" w:hAnsi="Calibri"/>
          <w:sz w:val="22"/>
          <w:szCs w:val="22"/>
        </w:rPr>
        <w:t xml:space="preserve"> diagnosis </w:t>
      </w:r>
      <w:r w:rsidR="00377FAE">
        <w:rPr>
          <w:rFonts w:ascii="Calibri" w:eastAsia="Calibri" w:hAnsi="Calibri"/>
          <w:sz w:val="22"/>
          <w:szCs w:val="22"/>
        </w:rPr>
        <w:t xml:space="preserve"> of</w:t>
      </w:r>
      <w:r w:rsidRPr="002473B3">
        <w:rPr>
          <w:rFonts w:ascii="Calibri" w:eastAsia="Calibri" w:hAnsi="Calibri"/>
          <w:sz w:val="22"/>
          <w:szCs w:val="22"/>
        </w:rPr>
        <w:t xml:space="preserve"> </w:t>
      </w:r>
      <w:r w:rsidR="00377FAE">
        <w:rPr>
          <w:rFonts w:ascii="Calibri" w:eastAsia="Calibri" w:hAnsi="Calibri"/>
          <w:sz w:val="22"/>
          <w:szCs w:val="22"/>
        </w:rPr>
        <w:t xml:space="preserve">IDH wildtype, </w:t>
      </w:r>
      <w:r w:rsidRPr="002473B3">
        <w:rPr>
          <w:rFonts w:ascii="Calibri" w:eastAsia="Calibri" w:hAnsi="Calibri"/>
          <w:sz w:val="22"/>
          <w:szCs w:val="22"/>
        </w:rPr>
        <w:t>WHO grade 4 glioblastoma</w:t>
      </w:r>
      <w:r w:rsidR="00377FAE">
        <w:rPr>
          <w:rFonts w:ascii="Calibri" w:eastAsia="Calibri" w:hAnsi="Calibri"/>
          <w:sz w:val="22"/>
          <w:szCs w:val="22"/>
        </w:rPr>
        <w:t xml:space="preserve"> according to</w:t>
      </w:r>
      <w:r w:rsidR="00377FAE" w:rsidRPr="00377FAE">
        <w:rPr>
          <w:rFonts w:ascii="Calibri" w:eastAsia="Calibri" w:hAnsi="Calibri"/>
          <w:sz w:val="22"/>
          <w:szCs w:val="22"/>
        </w:rPr>
        <w:t xml:space="preserve"> </w:t>
      </w:r>
      <w:r w:rsidR="00377FAE" w:rsidRPr="002473B3">
        <w:rPr>
          <w:rFonts w:ascii="Calibri" w:eastAsia="Calibri" w:hAnsi="Calibri"/>
          <w:sz w:val="22"/>
          <w:szCs w:val="22"/>
        </w:rPr>
        <w:t>the WHO 2021 guidelines for central nervous system tumours (</w:t>
      </w:r>
      <w:r w:rsidR="00377FAE" w:rsidRPr="002473B3">
        <w:rPr>
          <w:rFonts w:ascii="Calibri" w:eastAsia="Calibri" w:hAnsi="Calibri"/>
          <w:sz w:val="22"/>
          <w:szCs w:val="22"/>
          <w:highlight w:val="yellow"/>
        </w:rPr>
        <w:t>Louis et al 2021</w:t>
      </w:r>
      <w:r w:rsidR="00377FAE" w:rsidRPr="002473B3">
        <w:rPr>
          <w:rFonts w:ascii="Calibri" w:eastAsia="Calibri" w:hAnsi="Calibri"/>
          <w:sz w:val="22"/>
          <w:szCs w:val="22"/>
        </w:rPr>
        <w:t>).</w:t>
      </w:r>
      <w:r w:rsidRPr="002473B3">
        <w:rPr>
          <w:rFonts w:ascii="Calibri" w:eastAsia="Calibri" w:hAnsi="Calibri"/>
          <w:sz w:val="22"/>
          <w:szCs w:val="22"/>
        </w:rPr>
        <w:t xml:space="preserve"> The exclusion criteria were: inability to </w:t>
      </w:r>
      <w:r w:rsidR="00377FAE">
        <w:rPr>
          <w:rFonts w:ascii="Calibri" w:eastAsia="Calibri" w:hAnsi="Calibri"/>
          <w:sz w:val="22"/>
          <w:szCs w:val="22"/>
        </w:rPr>
        <w:t xml:space="preserve"> complete</w:t>
      </w:r>
      <w:r w:rsidRPr="002473B3">
        <w:rPr>
          <w:rFonts w:ascii="Calibri" w:eastAsia="Calibri" w:hAnsi="Calibri"/>
          <w:sz w:val="22"/>
          <w:szCs w:val="22"/>
        </w:rPr>
        <w:t xml:space="preserve"> preoperative </w:t>
      </w:r>
      <w:proofErr w:type="spellStart"/>
      <w:r w:rsidR="00377FAE">
        <w:rPr>
          <w:rFonts w:ascii="Calibri" w:eastAsia="Calibri" w:hAnsi="Calibri"/>
          <w:sz w:val="22"/>
          <w:szCs w:val="22"/>
        </w:rPr>
        <w:t>nTMS</w:t>
      </w:r>
      <w:proofErr w:type="spellEnd"/>
      <w:r w:rsidR="00377FAE">
        <w:rPr>
          <w:rFonts w:ascii="Calibri" w:eastAsia="Calibri" w:hAnsi="Calibri"/>
          <w:sz w:val="22"/>
          <w:szCs w:val="22"/>
        </w:rPr>
        <w:t xml:space="preserve"> </w:t>
      </w:r>
      <w:r w:rsidRPr="002473B3">
        <w:rPr>
          <w:rFonts w:ascii="Calibri" w:eastAsia="Calibri" w:hAnsi="Calibri"/>
          <w:sz w:val="22"/>
          <w:szCs w:val="22"/>
        </w:rPr>
        <w:t xml:space="preserve">mapping, patients that were mapped and did not proceed to surgery and patients that did not complete oncological treatment </w:t>
      </w:r>
      <w:r w:rsidRPr="002473B3">
        <w:rPr>
          <w:rFonts w:ascii="Calibri" w:eastAsia="Calibri" w:hAnsi="Calibri"/>
          <w:i/>
          <w:sz w:val="22"/>
          <w:szCs w:val="22"/>
        </w:rPr>
        <w:t>as per</w:t>
      </w:r>
      <w:r w:rsidRPr="002473B3">
        <w:rPr>
          <w:rFonts w:ascii="Calibri" w:eastAsia="Calibri" w:hAnsi="Calibri"/>
          <w:sz w:val="22"/>
          <w:szCs w:val="22"/>
        </w:rPr>
        <w:t xml:space="preserve"> Stupp protocol. </w:t>
      </w:r>
    </w:p>
    <w:p w14:paraId="7D4D0338" w14:textId="77777777" w:rsidR="004E16DB" w:rsidRPr="002473B3" w:rsidRDefault="004E16DB" w:rsidP="002473B3">
      <w:pPr>
        <w:spacing w:line="276" w:lineRule="auto"/>
        <w:jc w:val="both"/>
        <w:rPr>
          <w:rFonts w:ascii="Calibri" w:eastAsia="Calibri" w:hAnsi="Calibri"/>
          <w:sz w:val="22"/>
          <w:szCs w:val="22"/>
        </w:rPr>
      </w:pPr>
    </w:p>
    <w:p w14:paraId="64D04BD3" w14:textId="27506E0B"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Demographic and clinical data w</w:t>
      </w:r>
      <w:r w:rsidR="00377FAE">
        <w:rPr>
          <w:rFonts w:ascii="Calibri" w:eastAsia="Calibri" w:hAnsi="Calibri"/>
          <w:sz w:val="22"/>
          <w:szCs w:val="22"/>
        </w:rPr>
        <w:t xml:space="preserve">ere </w:t>
      </w:r>
      <w:r w:rsidRPr="002473B3">
        <w:rPr>
          <w:rFonts w:ascii="Calibri" w:eastAsia="Calibri" w:hAnsi="Calibri"/>
          <w:sz w:val="22"/>
          <w:szCs w:val="22"/>
        </w:rPr>
        <w:t xml:space="preserve"> collected upon review of the medical clinical records. Extent of resection (</w:t>
      </w:r>
      <w:proofErr w:type="spellStart"/>
      <w:r w:rsidRPr="002473B3">
        <w:rPr>
          <w:rFonts w:ascii="Calibri" w:eastAsia="Calibri" w:hAnsi="Calibri"/>
          <w:sz w:val="22"/>
          <w:szCs w:val="22"/>
        </w:rPr>
        <w:t>EoR</w:t>
      </w:r>
      <w:proofErr w:type="spellEnd"/>
      <w:r w:rsidRPr="002473B3">
        <w:rPr>
          <w:rFonts w:ascii="Calibri" w:eastAsia="Calibri" w:hAnsi="Calibri"/>
          <w:sz w:val="22"/>
          <w:szCs w:val="22"/>
        </w:rPr>
        <w:t>) was classified according to the framework proposed by the RANO Resect Group. (</w:t>
      </w:r>
      <w:proofErr w:type="spellStart"/>
      <w:r w:rsidRPr="002473B3">
        <w:rPr>
          <w:rFonts w:ascii="Calibri" w:eastAsia="Calibri" w:hAnsi="Calibri"/>
          <w:sz w:val="22"/>
          <w:szCs w:val="22"/>
          <w:highlight w:val="yellow"/>
        </w:rPr>
        <w:t>Karschnia</w:t>
      </w:r>
      <w:proofErr w:type="spellEnd"/>
      <w:r w:rsidRPr="002473B3">
        <w:rPr>
          <w:rFonts w:ascii="Calibri" w:eastAsia="Calibri" w:hAnsi="Calibri"/>
          <w:sz w:val="22"/>
          <w:szCs w:val="22"/>
          <w:highlight w:val="yellow"/>
        </w:rPr>
        <w:t xml:space="preserve"> P, 2023</w:t>
      </w:r>
      <w:r w:rsidRPr="002473B3">
        <w:rPr>
          <w:rFonts w:ascii="Calibri" w:eastAsia="Calibri" w:hAnsi="Calibri"/>
          <w:sz w:val="22"/>
          <w:szCs w:val="22"/>
        </w:rPr>
        <w:t xml:space="preserve">) </w:t>
      </w:r>
    </w:p>
    <w:p w14:paraId="539A6799" w14:textId="77777777" w:rsidR="00647183" w:rsidRPr="002473B3" w:rsidRDefault="00647183" w:rsidP="002473B3">
      <w:pPr>
        <w:spacing w:line="276" w:lineRule="auto"/>
        <w:jc w:val="both"/>
        <w:rPr>
          <w:rFonts w:ascii="Calibri" w:eastAsia="Calibri" w:hAnsi="Calibri"/>
          <w:sz w:val="22"/>
          <w:szCs w:val="22"/>
        </w:rPr>
      </w:pPr>
    </w:p>
    <w:p w14:paraId="25F9D7B6" w14:textId="65853CFC" w:rsidR="002473B3" w:rsidRDefault="002473B3" w:rsidP="002473B3">
      <w:pPr>
        <w:spacing w:line="276" w:lineRule="auto"/>
        <w:jc w:val="both"/>
        <w:rPr>
          <w:rFonts w:ascii="Calibri" w:eastAsia="Calibri" w:hAnsi="Calibri"/>
          <w:sz w:val="22"/>
          <w:szCs w:val="22"/>
        </w:rPr>
      </w:pPr>
      <w:proofErr w:type="spellStart"/>
      <w:r w:rsidRPr="002473B3">
        <w:rPr>
          <w:rFonts w:ascii="Calibri" w:eastAsia="Calibri" w:hAnsi="Calibri"/>
          <w:sz w:val="22"/>
          <w:szCs w:val="22"/>
        </w:rPr>
        <w:t>nTMS</w:t>
      </w:r>
      <w:proofErr w:type="spellEnd"/>
      <w:r w:rsidRPr="002473B3">
        <w:rPr>
          <w:rFonts w:ascii="Calibri" w:eastAsia="Calibri" w:hAnsi="Calibri"/>
          <w:sz w:val="22"/>
          <w:szCs w:val="22"/>
        </w:rPr>
        <w:t xml:space="preserve"> motor mapping was performed according to </w:t>
      </w:r>
      <w:r w:rsidR="00377FAE">
        <w:rPr>
          <w:rFonts w:ascii="Calibri" w:eastAsia="Calibri" w:hAnsi="Calibri"/>
          <w:sz w:val="22"/>
          <w:szCs w:val="22"/>
        </w:rPr>
        <w:t xml:space="preserve">a </w:t>
      </w:r>
      <w:r w:rsidRPr="002473B3">
        <w:rPr>
          <w:rFonts w:ascii="Calibri" w:eastAsia="Calibri" w:hAnsi="Calibri"/>
          <w:sz w:val="22"/>
          <w:szCs w:val="22"/>
        </w:rPr>
        <w:t>previous</w:t>
      </w:r>
      <w:r w:rsidR="00377FAE">
        <w:rPr>
          <w:rFonts w:ascii="Calibri" w:eastAsia="Calibri" w:hAnsi="Calibri"/>
          <w:sz w:val="22"/>
          <w:szCs w:val="22"/>
        </w:rPr>
        <w:t>ly</w:t>
      </w:r>
      <w:r w:rsidRPr="002473B3">
        <w:rPr>
          <w:rFonts w:ascii="Calibri" w:eastAsia="Calibri" w:hAnsi="Calibri"/>
          <w:sz w:val="22"/>
          <w:szCs w:val="22"/>
        </w:rPr>
        <w:t xml:space="preserve"> published protocol (</w:t>
      </w:r>
      <w:r w:rsidRPr="002473B3">
        <w:rPr>
          <w:rFonts w:ascii="Calibri" w:eastAsia="Calibri" w:hAnsi="Calibri"/>
          <w:sz w:val="22"/>
          <w:szCs w:val="22"/>
          <w:highlight w:val="yellow"/>
        </w:rPr>
        <w:t>Krieg SM,  2017</w:t>
      </w:r>
      <w:r w:rsidRPr="002473B3">
        <w:rPr>
          <w:rFonts w:ascii="Calibri" w:eastAsia="Calibri" w:hAnsi="Calibri"/>
          <w:sz w:val="22"/>
          <w:szCs w:val="22"/>
        </w:rPr>
        <w:t xml:space="preserve">), using the </w:t>
      </w:r>
      <w:proofErr w:type="spellStart"/>
      <w:r w:rsidRPr="002473B3">
        <w:rPr>
          <w:rFonts w:ascii="Calibri" w:eastAsia="Calibri" w:hAnsi="Calibri"/>
          <w:sz w:val="22"/>
          <w:szCs w:val="22"/>
        </w:rPr>
        <w:t>eXimia</w:t>
      </w:r>
      <w:proofErr w:type="spellEnd"/>
      <w:r w:rsidRPr="002473B3">
        <w:rPr>
          <w:rFonts w:ascii="Calibri" w:eastAsia="Calibri" w:hAnsi="Calibri"/>
          <w:sz w:val="22"/>
          <w:szCs w:val="22"/>
        </w:rPr>
        <w:t xml:space="preserve"> Navigated Brain Stimulation System (</w:t>
      </w:r>
      <w:proofErr w:type="spellStart"/>
      <w:r w:rsidRPr="002473B3">
        <w:rPr>
          <w:rFonts w:ascii="Calibri" w:eastAsia="Calibri" w:hAnsi="Calibri"/>
          <w:sz w:val="22"/>
          <w:szCs w:val="22"/>
        </w:rPr>
        <w:t>Nexstim</w:t>
      </w:r>
      <w:proofErr w:type="spellEnd"/>
      <w:r w:rsidRPr="002473B3">
        <w:rPr>
          <w:rFonts w:ascii="Calibri" w:eastAsia="Calibri" w:hAnsi="Calibri"/>
          <w:sz w:val="22"/>
          <w:szCs w:val="22"/>
        </w:rPr>
        <w:t xml:space="preserve">, Helsinki, Finland) and pulse delivery from a figure-of-8 coil. A patient-specific MRI (T1-wheighted image with gadolinium sequence) was used for mapping. Five muscles were systematically mapped: </w:t>
      </w:r>
      <w:r w:rsidRPr="002473B3">
        <w:rPr>
          <w:rFonts w:ascii="Calibri" w:eastAsia="Calibri" w:hAnsi="Calibri"/>
          <w:i/>
          <w:sz w:val="22"/>
          <w:szCs w:val="22"/>
        </w:rPr>
        <w:t>abductor pollicis brevis</w:t>
      </w:r>
      <w:r w:rsidRPr="002473B3">
        <w:rPr>
          <w:rFonts w:ascii="Calibri" w:eastAsia="Calibri" w:hAnsi="Calibri"/>
          <w:sz w:val="22"/>
          <w:szCs w:val="22"/>
        </w:rPr>
        <w:t xml:space="preserve">, </w:t>
      </w:r>
      <w:r w:rsidRPr="002473B3">
        <w:rPr>
          <w:rFonts w:ascii="Calibri" w:eastAsia="Calibri" w:hAnsi="Calibri"/>
          <w:i/>
          <w:sz w:val="22"/>
          <w:szCs w:val="22"/>
        </w:rPr>
        <w:t>first digital interosseous</w:t>
      </w:r>
      <w:r w:rsidRPr="002473B3">
        <w:rPr>
          <w:rFonts w:ascii="Calibri" w:eastAsia="Calibri" w:hAnsi="Calibri"/>
          <w:sz w:val="22"/>
          <w:szCs w:val="22"/>
        </w:rPr>
        <w:t xml:space="preserve"> and </w:t>
      </w:r>
      <w:r w:rsidRPr="002473B3">
        <w:rPr>
          <w:rFonts w:ascii="Calibri" w:eastAsia="Calibri" w:hAnsi="Calibri"/>
          <w:i/>
          <w:sz w:val="22"/>
          <w:szCs w:val="22"/>
        </w:rPr>
        <w:t xml:space="preserve">abductor </w:t>
      </w:r>
      <w:proofErr w:type="spellStart"/>
      <w:r w:rsidRPr="002473B3">
        <w:rPr>
          <w:rFonts w:ascii="Calibri" w:eastAsia="Calibri" w:hAnsi="Calibri"/>
          <w:i/>
          <w:sz w:val="22"/>
          <w:szCs w:val="22"/>
        </w:rPr>
        <w:t>digiti</w:t>
      </w:r>
      <w:proofErr w:type="spellEnd"/>
      <w:r w:rsidRPr="002473B3">
        <w:rPr>
          <w:rFonts w:ascii="Calibri" w:eastAsia="Calibri" w:hAnsi="Calibri"/>
          <w:i/>
          <w:sz w:val="22"/>
          <w:szCs w:val="22"/>
        </w:rPr>
        <w:t xml:space="preserve"> </w:t>
      </w:r>
      <w:proofErr w:type="spellStart"/>
      <w:r w:rsidRPr="002473B3">
        <w:rPr>
          <w:rFonts w:ascii="Calibri" w:eastAsia="Calibri" w:hAnsi="Calibri"/>
          <w:i/>
          <w:sz w:val="22"/>
          <w:szCs w:val="22"/>
        </w:rPr>
        <w:t>minimi</w:t>
      </w:r>
      <w:proofErr w:type="spellEnd"/>
      <w:r w:rsidRPr="002473B3">
        <w:rPr>
          <w:rFonts w:ascii="Calibri" w:eastAsia="Calibri" w:hAnsi="Calibri"/>
          <w:sz w:val="22"/>
          <w:szCs w:val="22"/>
        </w:rPr>
        <w:t xml:space="preserve"> for the UL functional area; the </w:t>
      </w:r>
      <w:r w:rsidRPr="002473B3">
        <w:rPr>
          <w:rFonts w:ascii="Calibri" w:eastAsia="Calibri" w:hAnsi="Calibri"/>
          <w:i/>
          <w:sz w:val="22"/>
          <w:szCs w:val="22"/>
        </w:rPr>
        <w:t>tibialis anterior</w:t>
      </w:r>
      <w:r w:rsidRPr="002473B3">
        <w:rPr>
          <w:rFonts w:ascii="Calibri" w:eastAsia="Calibri" w:hAnsi="Calibri"/>
          <w:sz w:val="22"/>
          <w:szCs w:val="22"/>
        </w:rPr>
        <w:t xml:space="preserve"> and </w:t>
      </w:r>
      <w:r w:rsidRPr="002473B3">
        <w:rPr>
          <w:rFonts w:ascii="Calibri" w:eastAsia="Calibri" w:hAnsi="Calibri"/>
          <w:i/>
          <w:sz w:val="22"/>
          <w:szCs w:val="22"/>
        </w:rPr>
        <w:t>abductor hallucis brevis</w:t>
      </w:r>
      <w:r w:rsidRPr="002473B3">
        <w:rPr>
          <w:rFonts w:ascii="Calibri" w:eastAsia="Calibri" w:hAnsi="Calibri"/>
          <w:sz w:val="22"/>
          <w:szCs w:val="22"/>
        </w:rPr>
        <w:t xml:space="preserve"> for the LL functional area. (</w:t>
      </w:r>
      <w:r w:rsidRPr="002473B3">
        <w:rPr>
          <w:rFonts w:ascii="Calibri" w:eastAsia="Calibri" w:hAnsi="Calibri"/>
          <w:sz w:val="22"/>
          <w:szCs w:val="22"/>
          <w:highlight w:val="yellow"/>
        </w:rPr>
        <w:t>Jung J, 2018</w:t>
      </w:r>
      <w:r w:rsidRPr="002473B3">
        <w:rPr>
          <w:rFonts w:ascii="Calibri" w:eastAsia="Calibri" w:hAnsi="Calibri"/>
          <w:sz w:val="22"/>
          <w:szCs w:val="22"/>
        </w:rPr>
        <w:t xml:space="preserve">) For each functional area, an initial mapping was performed to </w:t>
      </w:r>
      <w:r w:rsidR="00361E68" w:rsidRPr="002473B3">
        <w:rPr>
          <w:rFonts w:ascii="Calibri" w:eastAsia="Calibri" w:hAnsi="Calibri"/>
          <w:sz w:val="22"/>
          <w:szCs w:val="22"/>
        </w:rPr>
        <w:t>identify</w:t>
      </w:r>
      <w:r w:rsidRPr="002473B3">
        <w:rPr>
          <w:rFonts w:ascii="Calibri" w:eastAsia="Calibri" w:hAnsi="Calibri"/>
          <w:sz w:val="22"/>
          <w:szCs w:val="22"/>
        </w:rPr>
        <w:t xml:space="preserve"> the location and intensity of stimulation required to elicit motor evoked potentials. Thereafter, the resting motor threshold (RMT) - the lowest stimulation intensity expressed as the maximum stimulator output percentage (MSO%) capable of eliciting MEPs in 50% of the trials (</w:t>
      </w:r>
      <w:proofErr w:type="spellStart"/>
      <w:r w:rsidRPr="002473B3">
        <w:rPr>
          <w:rFonts w:ascii="Calibri" w:eastAsia="Calibri" w:hAnsi="Calibri"/>
          <w:sz w:val="22"/>
          <w:szCs w:val="22"/>
          <w:highlight w:val="yellow"/>
        </w:rPr>
        <w:t>Borckardt</w:t>
      </w:r>
      <w:proofErr w:type="spellEnd"/>
      <w:r w:rsidRPr="002473B3">
        <w:rPr>
          <w:rFonts w:ascii="Calibri" w:eastAsia="Calibri" w:hAnsi="Calibri"/>
          <w:sz w:val="22"/>
          <w:szCs w:val="22"/>
          <w:highlight w:val="yellow"/>
        </w:rPr>
        <w:t>, 2006</w:t>
      </w:r>
      <w:r w:rsidRPr="002473B3">
        <w:rPr>
          <w:rFonts w:ascii="Calibri" w:eastAsia="Calibri" w:hAnsi="Calibri"/>
          <w:sz w:val="22"/>
          <w:szCs w:val="22"/>
        </w:rPr>
        <w:t>)  - was calculated using an adaptive method. At each stimulation, the model recalculates an intensity that yields a 50% probability of evoking a MEP which is then selected for the next stimulation (</w:t>
      </w:r>
      <w:r w:rsidRPr="002473B3">
        <w:rPr>
          <w:rFonts w:ascii="Calibri" w:eastAsia="Calibri" w:hAnsi="Calibri"/>
          <w:sz w:val="22"/>
          <w:szCs w:val="22"/>
          <w:highlight w:val="yellow"/>
        </w:rPr>
        <w:t>Rossini PM, 2015</w:t>
      </w:r>
      <w:r w:rsidRPr="002473B3">
        <w:rPr>
          <w:rFonts w:ascii="Calibri" w:eastAsia="Calibri" w:hAnsi="Calibri"/>
          <w:sz w:val="22"/>
          <w:szCs w:val="22"/>
        </w:rPr>
        <w:t>).</w:t>
      </w:r>
    </w:p>
    <w:p w14:paraId="438178AC" w14:textId="77777777" w:rsidR="00647183" w:rsidRPr="002473B3" w:rsidRDefault="00647183" w:rsidP="002473B3">
      <w:pPr>
        <w:spacing w:line="276" w:lineRule="auto"/>
        <w:jc w:val="both"/>
        <w:rPr>
          <w:rFonts w:ascii="Calibri" w:eastAsia="Calibri" w:hAnsi="Calibri"/>
          <w:sz w:val="22"/>
          <w:szCs w:val="22"/>
        </w:rPr>
      </w:pPr>
    </w:p>
    <w:p w14:paraId="7CD536D5" w14:textId="794B7290" w:rsidR="002473B3" w:rsidRDefault="00647183" w:rsidP="002473B3">
      <w:pPr>
        <w:spacing w:line="276" w:lineRule="auto"/>
        <w:jc w:val="both"/>
        <w:rPr>
          <w:rFonts w:ascii="Calibri" w:eastAsia="Calibri" w:hAnsi="Calibri"/>
          <w:sz w:val="22"/>
          <w:szCs w:val="22"/>
        </w:rPr>
      </w:pPr>
      <w:proofErr w:type="spellStart"/>
      <w:r>
        <w:rPr>
          <w:rFonts w:ascii="Calibri" w:eastAsia="Calibri" w:hAnsi="Calibri"/>
          <w:sz w:val="22"/>
          <w:szCs w:val="22"/>
        </w:rPr>
        <w:t>Inter</w:t>
      </w:r>
      <w:r w:rsidR="00CB2A89">
        <w:rPr>
          <w:rFonts w:ascii="Calibri" w:eastAsia="Calibri" w:hAnsi="Calibri"/>
          <w:sz w:val="22"/>
          <w:szCs w:val="22"/>
        </w:rPr>
        <w:t>hermispheric</w:t>
      </w:r>
      <w:proofErr w:type="spellEnd"/>
      <w:r w:rsidR="00CB2A89">
        <w:rPr>
          <w:rFonts w:ascii="Calibri" w:eastAsia="Calibri" w:hAnsi="Calibri"/>
          <w:sz w:val="22"/>
          <w:szCs w:val="22"/>
        </w:rPr>
        <w:t xml:space="preserve"> – Cortical Excitability Score (CES) -</w:t>
      </w:r>
      <w:r>
        <w:rPr>
          <w:rFonts w:ascii="Calibri" w:eastAsia="Calibri" w:hAnsi="Calibri"/>
          <w:sz w:val="22"/>
          <w:szCs w:val="22"/>
        </w:rPr>
        <w:t xml:space="preserve"> and </w:t>
      </w:r>
      <w:proofErr w:type="spellStart"/>
      <w:r>
        <w:rPr>
          <w:rFonts w:ascii="Calibri" w:eastAsia="Calibri" w:hAnsi="Calibri"/>
          <w:sz w:val="22"/>
          <w:szCs w:val="22"/>
        </w:rPr>
        <w:t>intrahemispheric</w:t>
      </w:r>
      <w:proofErr w:type="spellEnd"/>
      <w:r>
        <w:rPr>
          <w:rFonts w:ascii="Calibri" w:eastAsia="Calibri" w:hAnsi="Calibri"/>
          <w:sz w:val="22"/>
          <w:szCs w:val="22"/>
        </w:rPr>
        <w:t xml:space="preserve"> </w:t>
      </w:r>
      <w:r w:rsidR="00CB2A89">
        <w:rPr>
          <w:rFonts w:ascii="Calibri" w:eastAsia="Calibri" w:hAnsi="Calibri"/>
          <w:sz w:val="22"/>
          <w:szCs w:val="22"/>
        </w:rPr>
        <w:t xml:space="preserve"> - </w:t>
      </w:r>
      <w:r w:rsidR="00CB2A89" w:rsidRPr="002473B3">
        <w:rPr>
          <w:rFonts w:ascii="Calibri" w:eastAsia="Calibri" w:hAnsi="Calibri"/>
          <w:sz w:val="22"/>
          <w:szCs w:val="22"/>
        </w:rPr>
        <w:t xml:space="preserve">intraM1 excitability score (IMES) </w:t>
      </w:r>
      <w:r w:rsidR="00CB2A89">
        <w:rPr>
          <w:rFonts w:ascii="Calibri" w:eastAsia="Calibri" w:hAnsi="Calibri"/>
          <w:sz w:val="22"/>
          <w:szCs w:val="22"/>
        </w:rPr>
        <w:t xml:space="preserve">- </w:t>
      </w:r>
      <w:r>
        <w:rPr>
          <w:rFonts w:ascii="Calibri" w:eastAsia="Calibri" w:hAnsi="Calibri"/>
          <w:sz w:val="22"/>
          <w:szCs w:val="22"/>
        </w:rPr>
        <w:t xml:space="preserve">excitability metrics were </w:t>
      </w:r>
      <w:r w:rsidR="00CB2A89">
        <w:rPr>
          <w:rFonts w:ascii="Calibri" w:eastAsia="Calibri" w:hAnsi="Calibri"/>
          <w:sz w:val="22"/>
          <w:szCs w:val="22"/>
        </w:rPr>
        <w:t>determined. I</w:t>
      </w:r>
      <w:r>
        <w:rPr>
          <w:rFonts w:ascii="Calibri" w:eastAsia="Calibri" w:hAnsi="Calibri"/>
          <w:sz w:val="22"/>
          <w:szCs w:val="22"/>
        </w:rPr>
        <w:t xml:space="preserve">nterhemispheric ratios, such as the </w:t>
      </w:r>
      <w:proofErr w:type="spellStart"/>
      <w:r>
        <w:rPr>
          <w:rFonts w:ascii="Calibri" w:eastAsia="Calibri" w:hAnsi="Calibri"/>
          <w:sz w:val="22"/>
          <w:szCs w:val="22"/>
        </w:rPr>
        <w:t>iRMTr</w:t>
      </w:r>
      <w:proofErr w:type="spellEnd"/>
      <w:r>
        <w:rPr>
          <w:rFonts w:ascii="Calibri" w:eastAsia="Calibri" w:hAnsi="Calibri"/>
          <w:sz w:val="22"/>
          <w:szCs w:val="22"/>
        </w:rPr>
        <w:t xml:space="preserve"> and CES, have been previously described as well as their potential implications with regards to postoperative motor function and histology. </w:t>
      </w:r>
      <w:r w:rsidR="002473B3" w:rsidRPr="002473B3">
        <w:rPr>
          <w:rFonts w:ascii="Calibri" w:eastAsia="Calibri" w:hAnsi="Calibri"/>
          <w:sz w:val="22"/>
          <w:szCs w:val="22"/>
        </w:rPr>
        <w:t xml:space="preserve"> </w:t>
      </w:r>
      <w:r>
        <w:rPr>
          <w:rFonts w:ascii="Calibri" w:eastAsia="Calibri" w:hAnsi="Calibri"/>
          <w:sz w:val="22"/>
          <w:szCs w:val="22"/>
        </w:rPr>
        <w:t>(</w:t>
      </w:r>
      <w:r w:rsidRPr="00647183">
        <w:rPr>
          <w:rFonts w:ascii="Calibri" w:eastAsia="Calibri" w:hAnsi="Calibri"/>
          <w:sz w:val="22"/>
          <w:szCs w:val="22"/>
          <w:highlight w:val="yellow"/>
        </w:rPr>
        <w:t xml:space="preserve">Moser I, 2025;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and </w:t>
      </w:r>
      <w:proofErr w:type="spellStart"/>
      <w:r w:rsidRPr="002473B3">
        <w:rPr>
          <w:rFonts w:ascii="Calibri" w:eastAsia="Calibri" w:hAnsi="Calibri"/>
          <w:sz w:val="22"/>
          <w:szCs w:val="22"/>
          <w:highlight w:val="yellow"/>
        </w:rPr>
        <w:t>Mirallave-Pescador</w:t>
      </w:r>
      <w:proofErr w:type="spellEnd"/>
      <w:r w:rsidRPr="002473B3">
        <w:rPr>
          <w:rFonts w:ascii="Calibri" w:eastAsia="Calibri" w:hAnsi="Calibri"/>
          <w:sz w:val="22"/>
          <w:szCs w:val="22"/>
          <w:highlight w:val="yellow"/>
        </w:rPr>
        <w:t xml:space="preserve"> 2024,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2021, </w:t>
      </w:r>
      <w:r w:rsidRPr="00647183">
        <w:rPr>
          <w:rFonts w:ascii="Calibri" w:eastAsia="Calibri" w:hAnsi="Calibri"/>
          <w:sz w:val="22"/>
          <w:szCs w:val="22"/>
          <w:highlight w:val="yellow"/>
        </w:rPr>
        <w:t>Rosenstock T</w:t>
      </w:r>
      <w:r w:rsidRPr="002473B3">
        <w:rPr>
          <w:rFonts w:ascii="Calibri" w:eastAsia="Calibri" w:hAnsi="Calibri"/>
          <w:sz w:val="22"/>
          <w:szCs w:val="22"/>
          <w:highlight w:val="yellow"/>
        </w:rPr>
        <w:t xml:space="preserve"> </w:t>
      </w:r>
      <w:r>
        <w:rPr>
          <w:rFonts w:ascii="Calibri" w:eastAsia="Calibri" w:hAnsi="Calibri"/>
          <w:sz w:val="22"/>
          <w:szCs w:val="22"/>
          <w:highlight w:val="yellow"/>
        </w:rPr>
        <w:t xml:space="preserve">, 2021; </w:t>
      </w:r>
      <w:r w:rsidRPr="002473B3">
        <w:rPr>
          <w:rFonts w:ascii="Calibri" w:eastAsia="Calibri" w:hAnsi="Calibri"/>
          <w:sz w:val="22"/>
          <w:szCs w:val="22"/>
          <w:highlight w:val="yellow"/>
        </w:rPr>
        <w:t>Neville et al. 2021</w:t>
      </w:r>
      <w:r>
        <w:rPr>
          <w:rFonts w:ascii="Calibri" w:eastAsia="Calibri" w:hAnsi="Calibri"/>
          <w:sz w:val="22"/>
          <w:szCs w:val="22"/>
          <w:highlight w:val="yellow"/>
        </w:rPr>
        <w:t>;</w:t>
      </w:r>
      <w:r w:rsidRPr="00647183">
        <w:rPr>
          <w:rFonts w:ascii="Calibri" w:eastAsia="Calibri" w:hAnsi="Calibri"/>
          <w:sz w:val="22"/>
          <w:szCs w:val="22"/>
          <w:highlight w:val="yellow"/>
        </w:rPr>
        <w:t xml:space="preserve"> </w:t>
      </w:r>
      <w:proofErr w:type="spellStart"/>
      <w:r w:rsidRPr="002473B3">
        <w:rPr>
          <w:rFonts w:ascii="Calibri" w:eastAsia="Calibri" w:hAnsi="Calibri"/>
          <w:sz w:val="22"/>
          <w:szCs w:val="22"/>
          <w:highlight w:val="yellow"/>
        </w:rPr>
        <w:t>Rosenstok</w:t>
      </w:r>
      <w:proofErr w:type="spellEnd"/>
      <w:r w:rsidRPr="002473B3">
        <w:rPr>
          <w:rFonts w:ascii="Calibri" w:eastAsia="Calibri" w:hAnsi="Calibri"/>
          <w:sz w:val="22"/>
          <w:szCs w:val="22"/>
          <w:highlight w:val="yellow"/>
        </w:rPr>
        <w:t>, 20</w:t>
      </w:r>
      <w:r>
        <w:rPr>
          <w:rFonts w:ascii="Calibri" w:eastAsia="Calibri" w:hAnsi="Calibri"/>
          <w:sz w:val="22"/>
          <w:szCs w:val="22"/>
          <w:highlight w:val="yellow"/>
        </w:rPr>
        <w:t xml:space="preserve">17). </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 for a given functional area is defined as the ratio between the RMT in the tumour hemisphere over the RMT in the healthy hemisphere. It is considered to be abnormal if the ratio is &lt;90% or &gt;110% (</w:t>
      </w:r>
      <w:r w:rsidR="002473B3" w:rsidRPr="002473B3">
        <w:rPr>
          <w:rFonts w:ascii="Calibri" w:eastAsia="Calibri" w:hAnsi="Calibri"/>
          <w:sz w:val="22"/>
          <w:szCs w:val="22"/>
          <w:highlight w:val="yellow"/>
        </w:rPr>
        <w:t>Rosenstok, 2017</w:t>
      </w:r>
      <w:r w:rsidR="002473B3" w:rsidRPr="002473B3">
        <w:rPr>
          <w:rFonts w:ascii="Calibri" w:eastAsia="Calibri" w:hAnsi="Calibri"/>
          <w:sz w:val="22"/>
          <w:szCs w:val="22"/>
        </w:rPr>
        <w:t xml:space="preserve">). The CES is the combined score of number of abnormal </w:t>
      </w:r>
      <w:proofErr w:type="spellStart"/>
      <w:r w:rsidR="002473B3" w:rsidRPr="002473B3">
        <w:rPr>
          <w:rFonts w:ascii="Calibri" w:eastAsia="Calibri" w:hAnsi="Calibri"/>
          <w:sz w:val="22"/>
          <w:szCs w:val="22"/>
        </w:rPr>
        <w:t>iRMTrs</w:t>
      </w:r>
      <w:proofErr w:type="spellEnd"/>
      <w:r w:rsidR="002473B3" w:rsidRPr="002473B3">
        <w:rPr>
          <w:rFonts w:ascii="Calibri" w:eastAsia="Calibri" w:hAnsi="Calibri"/>
          <w:sz w:val="22"/>
          <w:szCs w:val="22"/>
        </w:rPr>
        <w:t xml:space="preserve"> for the functional areas of the upper and lower limbs (range 0 to 2</w:t>
      </w:r>
      <w:r w:rsidR="00214952">
        <w:rPr>
          <w:rFonts w:ascii="Calibri" w:eastAsia="Calibri" w:hAnsi="Calibri"/>
          <w:sz w:val="22"/>
          <w:szCs w:val="22"/>
        </w:rPr>
        <w:t xml:space="preserve"> – 0 corresponding to absence of abnormal excitability, 1 to the presence of abnormal excitability in either the upper or lower limb and 2 for the presence of abnormal excitability in both upper and lower limb</w:t>
      </w:r>
      <w:r w:rsidR="002473B3" w:rsidRPr="002473B3">
        <w:rPr>
          <w:rFonts w:ascii="Calibri" w:eastAsia="Calibri" w:hAnsi="Calibri"/>
          <w:sz w:val="22"/>
          <w:szCs w:val="22"/>
        </w:rPr>
        <w:t>) (</w:t>
      </w:r>
      <w:proofErr w:type="spellStart"/>
      <w:r w:rsidR="002473B3" w:rsidRPr="002473B3">
        <w:rPr>
          <w:rFonts w:ascii="Calibri" w:eastAsia="Calibri" w:hAnsi="Calibri"/>
          <w:sz w:val="22"/>
          <w:szCs w:val="22"/>
          <w:highlight w:val="yellow"/>
        </w:rPr>
        <w:t>Lavrador</w:t>
      </w:r>
      <w:proofErr w:type="spellEnd"/>
      <w:r w:rsidR="002473B3" w:rsidRPr="002473B3">
        <w:rPr>
          <w:rFonts w:ascii="Calibri" w:eastAsia="Calibri" w:hAnsi="Calibri"/>
          <w:sz w:val="22"/>
          <w:szCs w:val="22"/>
          <w:highlight w:val="yellow"/>
        </w:rPr>
        <w:t xml:space="preserve"> 2021</w:t>
      </w:r>
      <w:r w:rsidR="002473B3" w:rsidRPr="002473B3">
        <w:rPr>
          <w:rFonts w:ascii="Calibri" w:eastAsia="Calibri" w:hAnsi="Calibri"/>
          <w:sz w:val="22"/>
          <w:szCs w:val="22"/>
        </w:rPr>
        <w:t>).</w:t>
      </w:r>
      <w:r>
        <w:rPr>
          <w:rFonts w:ascii="Calibri" w:eastAsia="Calibri" w:hAnsi="Calibri"/>
          <w:sz w:val="22"/>
          <w:szCs w:val="22"/>
        </w:rPr>
        <w:t xml:space="preserve"> </w:t>
      </w:r>
      <w:proofErr w:type="spellStart"/>
      <w:r>
        <w:rPr>
          <w:rFonts w:ascii="Calibri" w:eastAsia="Calibri" w:hAnsi="Calibri"/>
          <w:sz w:val="22"/>
          <w:szCs w:val="22"/>
        </w:rPr>
        <w:t>Intrahemispheric</w:t>
      </w:r>
      <w:proofErr w:type="spellEnd"/>
      <w:r>
        <w:rPr>
          <w:rFonts w:ascii="Calibri" w:eastAsia="Calibri" w:hAnsi="Calibri"/>
          <w:sz w:val="22"/>
          <w:szCs w:val="22"/>
        </w:rPr>
        <w:t xml:space="preserve"> ratios have the potential to provide relevant information in patients where only unilateral (ipsilateral to the tumour) data is present which is common in the clinical setting. </w:t>
      </w:r>
      <w:r w:rsidR="002473B3" w:rsidRPr="002473B3">
        <w:rPr>
          <w:rFonts w:ascii="Calibri" w:eastAsia="Calibri" w:hAnsi="Calibri"/>
          <w:sz w:val="22"/>
          <w:szCs w:val="22"/>
        </w:rPr>
        <w:t xml:space="preserve"> The IMES is the ratio between the RMT for the lower limb and the upper limb in the same hemisphere. (</w:t>
      </w:r>
      <w:r w:rsidR="002473B3" w:rsidRPr="002473B3">
        <w:rPr>
          <w:rFonts w:ascii="Calibri" w:eastAsia="Calibri" w:hAnsi="Calibri"/>
          <w:b/>
          <w:sz w:val="22"/>
          <w:szCs w:val="22"/>
        </w:rPr>
        <w:t>Figure 1</w:t>
      </w:r>
      <w:r w:rsidR="002473B3" w:rsidRPr="002473B3">
        <w:rPr>
          <w:rFonts w:ascii="Calibri" w:eastAsia="Calibri" w:hAnsi="Calibri"/>
          <w:sz w:val="22"/>
          <w:szCs w:val="22"/>
        </w:rPr>
        <w:t xml:space="preserve">) We have also </w:t>
      </w:r>
      <w:r w:rsidR="00361E68">
        <w:rPr>
          <w:rFonts w:ascii="Calibri" w:eastAsia="Calibri" w:hAnsi="Calibri"/>
          <w:sz w:val="22"/>
          <w:szCs w:val="22"/>
        </w:rPr>
        <w:t>assessed</w:t>
      </w:r>
      <w:r w:rsidR="00361E68" w:rsidRPr="002473B3">
        <w:rPr>
          <w:rFonts w:ascii="Calibri" w:eastAsia="Calibri" w:hAnsi="Calibri"/>
          <w:sz w:val="22"/>
          <w:szCs w:val="22"/>
        </w:rPr>
        <w:t xml:space="preserve"> </w:t>
      </w:r>
      <w:r w:rsidR="002473B3" w:rsidRPr="002473B3">
        <w:rPr>
          <w:rFonts w:ascii="Calibri" w:eastAsia="Calibri" w:hAnsi="Calibri"/>
          <w:sz w:val="22"/>
          <w:szCs w:val="22"/>
        </w:rPr>
        <w:t xml:space="preserve">the directionality impact of the changes observed in the </w:t>
      </w:r>
      <w:proofErr w:type="spellStart"/>
      <w:r w:rsidR="002473B3" w:rsidRPr="002473B3">
        <w:rPr>
          <w:rFonts w:ascii="Calibri" w:eastAsia="Calibri" w:hAnsi="Calibri"/>
          <w:sz w:val="22"/>
          <w:szCs w:val="22"/>
        </w:rPr>
        <w:t>iRMTs</w:t>
      </w:r>
      <w:proofErr w:type="spellEnd"/>
      <w:r w:rsidR="002473B3" w:rsidRPr="002473B3">
        <w:rPr>
          <w:rFonts w:ascii="Calibri" w:eastAsia="Calibri" w:hAnsi="Calibri"/>
          <w:sz w:val="22"/>
          <w:szCs w:val="22"/>
        </w:rPr>
        <w:t xml:space="preserve"> for each functional area - abnormal negative for </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 &lt; 90%, normal for 90%&lt;</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&lt;110%; and abnormal positive for </w:t>
      </w:r>
      <w:proofErr w:type="spellStart"/>
      <w:r w:rsidR="002473B3" w:rsidRPr="002473B3">
        <w:rPr>
          <w:rFonts w:ascii="Calibri" w:eastAsia="Calibri" w:hAnsi="Calibri"/>
          <w:sz w:val="22"/>
          <w:szCs w:val="22"/>
        </w:rPr>
        <w:t>iRMTr</w:t>
      </w:r>
      <w:proofErr w:type="spellEnd"/>
      <w:r w:rsidR="002473B3" w:rsidRPr="002473B3">
        <w:rPr>
          <w:rFonts w:ascii="Calibri" w:eastAsia="Calibri" w:hAnsi="Calibri"/>
          <w:sz w:val="22"/>
          <w:szCs w:val="22"/>
        </w:rPr>
        <w:t xml:space="preserve">&gt;110%. </w:t>
      </w:r>
    </w:p>
    <w:p w14:paraId="5E76F2F9" w14:textId="77777777" w:rsidR="004E16DB" w:rsidRPr="002473B3" w:rsidRDefault="004E16DB" w:rsidP="002473B3">
      <w:pPr>
        <w:spacing w:line="276" w:lineRule="auto"/>
        <w:jc w:val="both"/>
        <w:rPr>
          <w:rFonts w:ascii="Calibri" w:eastAsia="Calibri" w:hAnsi="Calibri"/>
          <w:sz w:val="22"/>
          <w:szCs w:val="22"/>
        </w:rPr>
      </w:pPr>
    </w:p>
    <w:p w14:paraId="1AA581CB" w14:textId="58FF3241"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All included patients were operated with intraoperative neuromonitoring and mapping for motor function as detailed in other publications (</w:t>
      </w:r>
      <w:proofErr w:type="spellStart"/>
      <w:r w:rsidRPr="002473B3">
        <w:rPr>
          <w:rFonts w:ascii="Calibri" w:eastAsia="Calibri" w:hAnsi="Calibri"/>
          <w:sz w:val="22"/>
          <w:szCs w:val="22"/>
          <w:highlight w:val="yellow"/>
        </w:rPr>
        <w:t>Lavrador</w:t>
      </w:r>
      <w:proofErr w:type="spellEnd"/>
      <w:r w:rsidRPr="002473B3">
        <w:rPr>
          <w:rFonts w:ascii="Calibri" w:eastAsia="Calibri" w:hAnsi="Calibri"/>
          <w:sz w:val="22"/>
          <w:szCs w:val="22"/>
          <w:highlight w:val="yellow"/>
        </w:rPr>
        <w:t xml:space="preserve"> JP, 2020; </w:t>
      </w:r>
      <w:proofErr w:type="spellStart"/>
      <w:r w:rsidRPr="002473B3">
        <w:rPr>
          <w:rFonts w:ascii="Calibri" w:eastAsia="Calibri" w:hAnsi="Calibri"/>
          <w:sz w:val="22"/>
          <w:szCs w:val="22"/>
          <w:highlight w:val="yellow"/>
        </w:rPr>
        <w:t>Pescador</w:t>
      </w:r>
      <w:proofErr w:type="spellEnd"/>
      <w:r w:rsidRPr="002473B3">
        <w:rPr>
          <w:rFonts w:ascii="Calibri" w:eastAsia="Calibri" w:hAnsi="Calibri"/>
          <w:sz w:val="22"/>
          <w:szCs w:val="22"/>
          <w:highlight w:val="yellow"/>
        </w:rPr>
        <w:t xml:space="preserve"> AM, 2024</w:t>
      </w:r>
      <w:r w:rsidRPr="002473B3">
        <w:rPr>
          <w:rFonts w:ascii="Calibri" w:eastAsia="Calibri" w:hAnsi="Calibri"/>
          <w:sz w:val="22"/>
          <w:szCs w:val="22"/>
        </w:rPr>
        <w:t>). High frequency Stimulation was used for cortical and subcortical mapping and continuous motor evoked potentials (MEPs) elicited via a subdural strip were used for monitoring. (</w:t>
      </w:r>
      <w:r w:rsidRPr="002473B3">
        <w:rPr>
          <w:rFonts w:ascii="Calibri" w:eastAsia="Calibri" w:hAnsi="Calibri"/>
          <w:sz w:val="22"/>
          <w:szCs w:val="22"/>
          <w:highlight w:val="yellow"/>
        </w:rPr>
        <w:t>Rossi M, 2021</w:t>
      </w:r>
      <w:r w:rsidRPr="002473B3">
        <w:rPr>
          <w:rFonts w:ascii="Calibri" w:eastAsia="Calibri" w:hAnsi="Calibri"/>
          <w:sz w:val="22"/>
          <w:szCs w:val="22"/>
        </w:rPr>
        <w:t xml:space="preserve">) The surgical resection was stopped when </w:t>
      </w:r>
      <w:r w:rsidR="00361E68">
        <w:rPr>
          <w:rFonts w:ascii="Calibri" w:eastAsia="Calibri" w:hAnsi="Calibri"/>
          <w:sz w:val="22"/>
          <w:szCs w:val="22"/>
        </w:rPr>
        <w:t>changes in</w:t>
      </w:r>
      <w:r w:rsidRPr="002473B3">
        <w:rPr>
          <w:rFonts w:ascii="Calibri" w:eastAsia="Calibri" w:hAnsi="Calibri"/>
          <w:sz w:val="22"/>
          <w:szCs w:val="22"/>
        </w:rPr>
        <w:t xml:space="preserve"> the MEPs (amplitude and/or latency)</w:t>
      </w:r>
      <w:r w:rsidR="00647183">
        <w:rPr>
          <w:rFonts w:ascii="Calibri" w:eastAsia="Calibri" w:hAnsi="Calibri"/>
          <w:sz w:val="22"/>
          <w:szCs w:val="22"/>
        </w:rPr>
        <w:t xml:space="preserve"> </w:t>
      </w:r>
      <w:r w:rsidR="00361E68">
        <w:rPr>
          <w:rFonts w:ascii="Calibri" w:eastAsia="Calibri" w:hAnsi="Calibri"/>
          <w:sz w:val="22"/>
          <w:szCs w:val="22"/>
        </w:rPr>
        <w:t xml:space="preserve">were detected </w:t>
      </w:r>
      <w:r w:rsidRPr="002473B3">
        <w:rPr>
          <w:rFonts w:ascii="Calibri" w:eastAsia="Calibri" w:hAnsi="Calibri"/>
          <w:sz w:val="22"/>
          <w:szCs w:val="22"/>
        </w:rPr>
        <w:t xml:space="preserve"> or </w:t>
      </w:r>
      <w:r w:rsidR="00361E68">
        <w:rPr>
          <w:rFonts w:ascii="Calibri" w:eastAsia="Calibri" w:hAnsi="Calibri"/>
          <w:sz w:val="22"/>
          <w:szCs w:val="22"/>
        </w:rPr>
        <w:t xml:space="preserve">when motor responses were elicited subcortically from stimulation of the corticospinal tract at </w:t>
      </w:r>
      <w:r w:rsidRPr="002473B3">
        <w:rPr>
          <w:rFonts w:ascii="Calibri" w:eastAsia="Calibri" w:hAnsi="Calibri"/>
          <w:sz w:val="22"/>
          <w:szCs w:val="22"/>
        </w:rPr>
        <w:t>3-5mA. (</w:t>
      </w:r>
      <w:proofErr w:type="spellStart"/>
      <w:r w:rsidRPr="002473B3">
        <w:rPr>
          <w:rFonts w:ascii="Calibri" w:eastAsia="Calibri" w:hAnsi="Calibri"/>
          <w:sz w:val="22"/>
          <w:szCs w:val="22"/>
          <w:highlight w:val="yellow"/>
        </w:rPr>
        <w:t>Nossek</w:t>
      </w:r>
      <w:proofErr w:type="spellEnd"/>
      <w:r w:rsidRPr="002473B3">
        <w:rPr>
          <w:rFonts w:ascii="Calibri" w:eastAsia="Calibri" w:hAnsi="Calibri"/>
          <w:sz w:val="22"/>
          <w:szCs w:val="22"/>
          <w:highlight w:val="yellow"/>
        </w:rPr>
        <w:t xml:space="preserve"> E, 2011; </w:t>
      </w:r>
      <w:proofErr w:type="spellStart"/>
      <w:r w:rsidRPr="002473B3">
        <w:rPr>
          <w:rFonts w:ascii="Calibri" w:eastAsia="Calibri" w:hAnsi="Calibri"/>
          <w:sz w:val="22"/>
          <w:szCs w:val="22"/>
          <w:highlight w:val="yellow"/>
        </w:rPr>
        <w:t>Shiban</w:t>
      </w:r>
      <w:proofErr w:type="spellEnd"/>
      <w:r w:rsidRPr="002473B3">
        <w:rPr>
          <w:rFonts w:ascii="Calibri" w:eastAsia="Calibri" w:hAnsi="Calibri"/>
          <w:sz w:val="22"/>
          <w:szCs w:val="22"/>
          <w:highlight w:val="yellow"/>
        </w:rPr>
        <w:t xml:space="preserve"> E, 2015</w:t>
      </w:r>
      <w:r w:rsidRPr="002473B3">
        <w:rPr>
          <w:rFonts w:ascii="Calibri" w:eastAsia="Calibri" w:hAnsi="Calibri"/>
          <w:sz w:val="22"/>
          <w:szCs w:val="22"/>
        </w:rPr>
        <w:t>)</w:t>
      </w:r>
    </w:p>
    <w:p w14:paraId="5137C44D" w14:textId="77777777" w:rsidR="00647183" w:rsidRPr="002473B3" w:rsidRDefault="00647183" w:rsidP="002473B3">
      <w:pPr>
        <w:spacing w:line="276" w:lineRule="auto"/>
        <w:jc w:val="both"/>
        <w:rPr>
          <w:rFonts w:ascii="Calibri" w:eastAsia="Calibri" w:hAnsi="Calibri"/>
          <w:sz w:val="22"/>
          <w:szCs w:val="22"/>
        </w:rPr>
      </w:pPr>
    </w:p>
    <w:p w14:paraId="5A70F853" w14:textId="63728BE5" w:rsidR="002473B3" w:rsidRDefault="002473B3" w:rsidP="002473B3">
      <w:pPr>
        <w:spacing w:line="276" w:lineRule="auto"/>
        <w:jc w:val="both"/>
        <w:rPr>
          <w:rFonts w:ascii="Calibri" w:eastAsia="Calibri" w:hAnsi="Calibri" w:cs="Calibri"/>
          <w:sz w:val="22"/>
          <w:szCs w:val="22"/>
        </w:rPr>
      </w:pPr>
      <w:r w:rsidRPr="002473B3">
        <w:rPr>
          <w:rFonts w:ascii="Calibri" w:eastAsia="Calibri" w:hAnsi="Calibri" w:cs="Calibri"/>
          <w:sz w:val="22"/>
          <w:szCs w:val="22"/>
        </w:rPr>
        <w:t xml:space="preserve">We performed univariate Cox proportional hazards analysis for the </w:t>
      </w:r>
      <w:proofErr w:type="spellStart"/>
      <w:r w:rsidRPr="002473B3">
        <w:rPr>
          <w:rFonts w:ascii="Calibri" w:eastAsia="Calibri" w:hAnsi="Calibri" w:cs="Calibri"/>
          <w:sz w:val="22"/>
          <w:szCs w:val="22"/>
        </w:rPr>
        <w:t>nTMS</w:t>
      </w:r>
      <w:proofErr w:type="spellEnd"/>
      <w:r w:rsidRPr="002473B3">
        <w:rPr>
          <w:rFonts w:ascii="Calibri" w:eastAsia="Calibri" w:hAnsi="Calibri" w:cs="Calibri"/>
          <w:sz w:val="22"/>
          <w:szCs w:val="22"/>
        </w:rPr>
        <w:t>-based excitability metrics and demographic and clinical variables known to affect survival outcome. Thereafter, we proceeded with a multivaria</w:t>
      </w:r>
      <w:r w:rsidR="00647183">
        <w:rPr>
          <w:rFonts w:ascii="Calibri" w:eastAsia="Calibri" w:hAnsi="Calibri" w:cs="Calibri"/>
          <w:sz w:val="22"/>
          <w:szCs w:val="22"/>
        </w:rPr>
        <w:t xml:space="preserve">te </w:t>
      </w:r>
      <w:r w:rsidRPr="002473B3">
        <w:rPr>
          <w:rFonts w:ascii="Calibri" w:eastAsia="Calibri" w:hAnsi="Calibri" w:cs="Calibri"/>
          <w:sz w:val="22"/>
          <w:szCs w:val="22"/>
        </w:rPr>
        <w:t xml:space="preserve">Cox regression analysis adjusting for confounders affecting the outcome </w:t>
      </w:r>
      <w:r w:rsidR="00361E68">
        <w:rPr>
          <w:rFonts w:ascii="Calibri" w:eastAsia="Calibri" w:hAnsi="Calibri" w:cs="Calibri"/>
          <w:sz w:val="22"/>
          <w:szCs w:val="22"/>
        </w:rPr>
        <w:t xml:space="preserve">including </w:t>
      </w:r>
      <w:r w:rsidRPr="002473B3">
        <w:rPr>
          <w:rFonts w:ascii="Calibri" w:eastAsia="Calibri" w:hAnsi="Calibri" w:cs="Calibri"/>
          <w:sz w:val="22"/>
          <w:szCs w:val="22"/>
        </w:rPr>
        <w:t xml:space="preserve">age, gender, lobar location of the tumour, focal neurological deficit (FND), </w:t>
      </w:r>
      <w:proofErr w:type="spellStart"/>
      <w:r w:rsidRPr="002473B3">
        <w:rPr>
          <w:rFonts w:ascii="Calibri" w:eastAsia="Calibri" w:hAnsi="Calibri" w:cs="Calibri"/>
          <w:sz w:val="22"/>
          <w:szCs w:val="22"/>
        </w:rPr>
        <w:t>EoR</w:t>
      </w:r>
      <w:proofErr w:type="spellEnd"/>
      <w:r w:rsidRPr="002473B3">
        <w:rPr>
          <w:rFonts w:ascii="Calibri" w:eastAsia="Calibri" w:hAnsi="Calibri" w:cs="Calibri"/>
          <w:sz w:val="22"/>
          <w:szCs w:val="22"/>
        </w:rPr>
        <w:t xml:space="preserve"> and MGMT methylation status. Additionally, logistic regression analysis was performed for 12-month survival prediction. Stata 13.1 statistical package was used for statistical analysis. T-test was used to assess differences in </w:t>
      </w:r>
      <w:r w:rsidR="00E524FC">
        <w:rPr>
          <w:rFonts w:ascii="Calibri" w:eastAsia="Calibri" w:hAnsi="Calibri" w:cs="Calibri"/>
          <w:sz w:val="22"/>
          <w:szCs w:val="22"/>
        </w:rPr>
        <w:t xml:space="preserve">the </w:t>
      </w:r>
      <w:proofErr w:type="spellStart"/>
      <w:r w:rsidR="00E524FC">
        <w:rPr>
          <w:rFonts w:ascii="Calibri" w:eastAsia="Calibri" w:hAnsi="Calibri" w:cs="Calibri"/>
          <w:sz w:val="22"/>
          <w:szCs w:val="22"/>
        </w:rPr>
        <w:t>iRMTr</w:t>
      </w:r>
      <w:proofErr w:type="spellEnd"/>
      <w:r w:rsidRPr="002473B3">
        <w:rPr>
          <w:rFonts w:ascii="Calibri" w:eastAsia="Calibri" w:hAnsi="Calibri" w:cs="Calibri"/>
          <w:sz w:val="22"/>
          <w:szCs w:val="22"/>
        </w:rPr>
        <w:t>. Cox regression was performed for overall survival analysis and logistic regression for 12-month survival prediction. A p-value &lt;0.05 was considered significant.</w:t>
      </w:r>
    </w:p>
    <w:p w14:paraId="3C6DCCCC" w14:textId="77777777" w:rsidR="00647183" w:rsidRPr="002473B3" w:rsidRDefault="00647183" w:rsidP="002473B3">
      <w:pPr>
        <w:spacing w:line="276" w:lineRule="auto"/>
        <w:jc w:val="both"/>
        <w:rPr>
          <w:rFonts w:ascii="Calibri" w:eastAsia="Calibri" w:hAnsi="Calibri" w:cs="Calibri"/>
          <w:sz w:val="22"/>
          <w:szCs w:val="22"/>
        </w:rPr>
      </w:pPr>
    </w:p>
    <w:p w14:paraId="3AF36F1B" w14:textId="77777777" w:rsidR="002473B3" w:rsidRDefault="002473B3" w:rsidP="002473B3">
      <w:pPr>
        <w:spacing w:line="276" w:lineRule="auto"/>
        <w:jc w:val="both"/>
        <w:rPr>
          <w:rFonts w:ascii="Calibri" w:eastAsia="Calibri" w:hAnsi="Calibri"/>
          <w:sz w:val="22"/>
          <w:szCs w:val="22"/>
        </w:rPr>
      </w:pPr>
      <w:r w:rsidRPr="002473B3">
        <w:rPr>
          <w:rFonts w:ascii="Calibri" w:eastAsia="Calibri" w:hAnsi="Calibri"/>
          <w:sz w:val="22"/>
          <w:szCs w:val="22"/>
        </w:rPr>
        <w:t xml:space="preserve">This project was approved by the local governance team as a service evaluation (Ref No: NS2025…), in accordance with local governance procedures and national ethical standards. </w:t>
      </w:r>
    </w:p>
    <w:p w14:paraId="70EF6773" w14:textId="77777777" w:rsidR="00E524FC" w:rsidRDefault="00E524FC" w:rsidP="002473B3">
      <w:pPr>
        <w:spacing w:line="276" w:lineRule="auto"/>
        <w:jc w:val="both"/>
        <w:rPr>
          <w:rFonts w:ascii="Calibri" w:eastAsia="Calibri" w:hAnsi="Calibri"/>
          <w:sz w:val="22"/>
          <w:szCs w:val="22"/>
        </w:rPr>
      </w:pPr>
    </w:p>
    <w:p w14:paraId="53C90817" w14:textId="7EF3A7F7" w:rsidR="00E524FC" w:rsidRDefault="00E524FC" w:rsidP="002473B3">
      <w:pPr>
        <w:spacing w:line="276" w:lineRule="auto"/>
        <w:jc w:val="both"/>
        <w:rPr>
          <w:rFonts w:ascii="Calibri" w:eastAsia="Calibri" w:hAnsi="Calibri"/>
          <w:sz w:val="22"/>
          <w:szCs w:val="22"/>
        </w:rPr>
      </w:pPr>
    </w:p>
    <w:p w14:paraId="647FBAB2" w14:textId="77777777" w:rsidR="00E524FC" w:rsidRDefault="00E524FC">
      <w:pPr>
        <w:rPr>
          <w:rFonts w:ascii="Calibri" w:eastAsia="Calibri" w:hAnsi="Calibri"/>
          <w:sz w:val="22"/>
          <w:szCs w:val="22"/>
        </w:rPr>
      </w:pPr>
      <w:r>
        <w:rPr>
          <w:rFonts w:ascii="Calibri" w:eastAsia="Calibri" w:hAnsi="Calibri"/>
          <w:sz w:val="22"/>
          <w:szCs w:val="22"/>
        </w:rPr>
        <w:br w:type="page"/>
      </w:r>
    </w:p>
    <w:p w14:paraId="18F0D6CF" w14:textId="4F1124F2" w:rsidR="00E524FC" w:rsidRDefault="00E524FC" w:rsidP="00E524FC">
      <w:pPr>
        <w:spacing w:line="259" w:lineRule="auto"/>
        <w:rPr>
          <w:rFonts w:ascii="Calibri" w:eastAsia="Calibri" w:hAnsi="Calibri"/>
          <w:b/>
          <w:sz w:val="22"/>
          <w:szCs w:val="22"/>
        </w:rPr>
      </w:pPr>
      <w:r w:rsidRPr="00E524FC">
        <w:rPr>
          <w:rFonts w:ascii="Calibri" w:eastAsia="Calibri" w:hAnsi="Calibri"/>
          <w:b/>
          <w:sz w:val="22"/>
          <w:szCs w:val="22"/>
        </w:rPr>
        <w:lastRenderedPageBreak/>
        <w:t>Results:</w:t>
      </w:r>
    </w:p>
    <w:p w14:paraId="5FC32A69" w14:textId="77777777" w:rsidR="00647183" w:rsidRPr="00E524FC" w:rsidRDefault="00647183" w:rsidP="00E524FC">
      <w:pPr>
        <w:spacing w:line="259" w:lineRule="auto"/>
        <w:rPr>
          <w:rFonts w:ascii="Calibri" w:eastAsia="Calibri" w:hAnsi="Calibri"/>
          <w:b/>
          <w:sz w:val="22"/>
          <w:szCs w:val="22"/>
        </w:rPr>
      </w:pPr>
    </w:p>
    <w:p w14:paraId="6A6D8369" w14:textId="07D2F7D6" w:rsidR="00E524FC" w:rsidRDefault="00E524FC" w:rsidP="00E524FC">
      <w:pPr>
        <w:spacing w:line="259" w:lineRule="auto"/>
        <w:jc w:val="both"/>
        <w:rPr>
          <w:rFonts w:ascii="Calibri" w:eastAsia="Calibri" w:hAnsi="Calibri"/>
          <w:b/>
          <w:sz w:val="22"/>
          <w:szCs w:val="22"/>
        </w:rPr>
      </w:pPr>
      <w:r w:rsidRPr="00E524FC">
        <w:rPr>
          <w:rFonts w:ascii="Calibri" w:eastAsia="Calibri" w:hAnsi="Calibri"/>
          <w:sz w:val="22"/>
          <w:szCs w:val="22"/>
        </w:rPr>
        <w:t>77 patients (41 males, 36 females, mean age 55.37</w:t>
      </w:r>
      <w:r w:rsidRPr="00E524FC">
        <w:rPr>
          <w:rFonts w:ascii="Calibri" w:eastAsia="Calibri" w:hAnsi="Calibri" w:cs="Calibri"/>
          <w:sz w:val="22"/>
          <w:szCs w:val="22"/>
        </w:rPr>
        <w:t>±</w:t>
      </w:r>
      <w:r w:rsidRPr="00E524FC">
        <w:rPr>
          <w:rFonts w:ascii="Calibri" w:eastAsia="Calibri" w:hAnsi="Calibri"/>
          <w:sz w:val="22"/>
          <w:szCs w:val="22"/>
        </w:rPr>
        <w:t xml:space="preserve">15.95 years-old) were </w:t>
      </w:r>
      <w:r w:rsidR="00647183">
        <w:rPr>
          <w:rFonts w:ascii="Calibri" w:eastAsia="Calibri" w:hAnsi="Calibri"/>
          <w:sz w:val="22"/>
          <w:szCs w:val="22"/>
        </w:rPr>
        <w:t>included</w:t>
      </w:r>
      <w:r w:rsidRPr="00E524FC">
        <w:rPr>
          <w:rFonts w:ascii="Calibri" w:eastAsia="Calibri" w:hAnsi="Calibri"/>
          <w:sz w:val="22"/>
          <w:szCs w:val="22"/>
        </w:rPr>
        <w:t>. The majority of  patients had</w:t>
      </w:r>
      <w:r w:rsidR="00214952">
        <w:rPr>
          <w:rFonts w:ascii="Calibri" w:eastAsia="Calibri" w:hAnsi="Calibri"/>
          <w:sz w:val="22"/>
          <w:szCs w:val="22"/>
        </w:rPr>
        <w:t xml:space="preserve"> a</w:t>
      </w:r>
      <w:r w:rsidRPr="00E524FC">
        <w:rPr>
          <w:rFonts w:ascii="Calibri" w:eastAsia="Calibri" w:hAnsi="Calibri"/>
          <w:sz w:val="22"/>
          <w:szCs w:val="22"/>
        </w:rPr>
        <w:t xml:space="preserve"> frontal</w:t>
      </w:r>
      <w:r w:rsidR="00214952">
        <w:rPr>
          <w:rFonts w:ascii="Calibri" w:eastAsia="Calibri" w:hAnsi="Calibri"/>
          <w:sz w:val="22"/>
          <w:szCs w:val="22"/>
        </w:rPr>
        <w:t xml:space="preserve"> tumour</w:t>
      </w:r>
      <w:r w:rsidRPr="00E524FC">
        <w:rPr>
          <w:rFonts w:ascii="Calibri" w:eastAsia="Calibri" w:hAnsi="Calibri"/>
          <w:sz w:val="22"/>
          <w:szCs w:val="22"/>
        </w:rPr>
        <w:t xml:space="preserve">– 55 (71.43%) patients – and did not present with focal neurological deficits – 57 (74.03%). The majority of the patients had a class 1 (supramaximal) resection - 35 (45.45%) of patients – and 54 (70.13%) had either class 1 or 2 resections (supramaximal or maximal contrast enhancement resection) - mean </w:t>
      </w:r>
      <w:proofErr w:type="spellStart"/>
      <w:r w:rsidRPr="00E524FC">
        <w:rPr>
          <w:rFonts w:ascii="Calibri" w:eastAsia="Calibri" w:hAnsi="Calibri"/>
          <w:sz w:val="22"/>
          <w:szCs w:val="22"/>
        </w:rPr>
        <w:t>EoR</w:t>
      </w:r>
      <w:proofErr w:type="spellEnd"/>
      <w:r w:rsidRPr="00E524FC">
        <w:rPr>
          <w:rFonts w:ascii="Calibri" w:eastAsia="Calibri" w:hAnsi="Calibri"/>
          <w:sz w:val="22"/>
          <w:szCs w:val="22"/>
        </w:rPr>
        <w:t xml:space="preserve"> was 94.92% (range: 55.19 – 100%) for a mean preoperative volume of 54.03cc (range: 0.2 – 1609.1cc) and postoperative residual of 1.75cc (range: 0 – 24.5cc). Twenty nine  (37.66%) patients had MGMT promoter methylation. Forty-two patients passed away at </w:t>
      </w:r>
      <w:r w:rsidR="00214952">
        <w:rPr>
          <w:rFonts w:ascii="Calibri" w:eastAsia="Calibri" w:hAnsi="Calibri"/>
          <w:sz w:val="22"/>
          <w:szCs w:val="22"/>
        </w:rPr>
        <w:t xml:space="preserve">the </w:t>
      </w:r>
      <w:r w:rsidRPr="00E524FC">
        <w:rPr>
          <w:rFonts w:ascii="Calibri" w:eastAsia="Calibri" w:hAnsi="Calibri"/>
          <w:sz w:val="22"/>
          <w:szCs w:val="22"/>
        </w:rPr>
        <w:t>time of last follow-up</w:t>
      </w:r>
      <w:r w:rsidR="00214952">
        <w:rPr>
          <w:rFonts w:ascii="Calibri" w:eastAsia="Calibri" w:hAnsi="Calibri"/>
          <w:sz w:val="22"/>
          <w:szCs w:val="22"/>
        </w:rPr>
        <w:t xml:space="preserve">. The </w:t>
      </w:r>
      <w:r w:rsidRPr="00E524FC">
        <w:rPr>
          <w:rFonts w:ascii="Calibri" w:eastAsia="Calibri" w:hAnsi="Calibri"/>
          <w:sz w:val="22"/>
          <w:szCs w:val="22"/>
        </w:rPr>
        <w:t xml:space="preserve">mean overall survival </w:t>
      </w:r>
      <w:r w:rsidR="00214952">
        <w:rPr>
          <w:rFonts w:ascii="Calibri" w:eastAsia="Calibri" w:hAnsi="Calibri"/>
          <w:sz w:val="22"/>
          <w:szCs w:val="22"/>
        </w:rPr>
        <w:t xml:space="preserve">in this cohort was </w:t>
      </w:r>
      <w:r w:rsidRPr="00E524FC">
        <w:rPr>
          <w:rFonts w:ascii="Calibri" w:eastAsia="Calibri" w:hAnsi="Calibri"/>
          <w:sz w:val="22"/>
          <w:szCs w:val="22"/>
        </w:rPr>
        <w:t xml:space="preserve">20.47 months. </w:t>
      </w:r>
      <w:r w:rsidRPr="00E524FC">
        <w:rPr>
          <w:rFonts w:ascii="Calibri" w:eastAsia="Calibri" w:hAnsi="Calibri"/>
          <w:b/>
          <w:sz w:val="22"/>
          <w:szCs w:val="22"/>
        </w:rPr>
        <w:t>(Table 1)</w:t>
      </w:r>
    </w:p>
    <w:p w14:paraId="437A8A1C" w14:textId="77777777" w:rsidR="00647183" w:rsidRPr="00E524FC" w:rsidRDefault="00647183" w:rsidP="00E524FC">
      <w:pPr>
        <w:spacing w:line="259" w:lineRule="auto"/>
        <w:jc w:val="both"/>
        <w:rPr>
          <w:rFonts w:ascii="Calibri" w:eastAsia="Calibri" w:hAnsi="Calibri"/>
          <w:sz w:val="22"/>
          <w:szCs w:val="22"/>
        </w:rPr>
      </w:pPr>
    </w:p>
    <w:p w14:paraId="0657468A" w14:textId="6B211B88" w:rsidR="00E524FC" w:rsidRDefault="00E524FC" w:rsidP="00E524FC">
      <w:pPr>
        <w:spacing w:line="259" w:lineRule="auto"/>
        <w:jc w:val="both"/>
        <w:rPr>
          <w:rFonts w:ascii="Calibri" w:eastAsia="Calibri" w:hAnsi="Calibri" w:cs="Calibri"/>
          <w:b/>
          <w:sz w:val="22"/>
          <w:szCs w:val="22"/>
        </w:rPr>
      </w:pPr>
      <w:r w:rsidRPr="00E524FC">
        <w:rPr>
          <w:rFonts w:ascii="Calibri" w:eastAsia="Calibri" w:hAnsi="Calibri"/>
          <w:sz w:val="22"/>
          <w:szCs w:val="22"/>
        </w:rPr>
        <w:t xml:space="preserve">46 patients had successful bilateral determination of RMTs for both upper and lower limbs functional areas: 5 patients had normal excitability (CES=0) and 41 patients abnormal excitability (18 patients CES=1 and 23 patients CES=2). In the group of patients with CES=1,  61.11% had abnormal excitability in the functional area of the lower limb (11/18). </w:t>
      </w:r>
      <w:r w:rsidR="00647183">
        <w:rPr>
          <w:rFonts w:ascii="Calibri" w:eastAsia="Calibri" w:hAnsi="Calibri"/>
          <w:sz w:val="22"/>
          <w:szCs w:val="22"/>
        </w:rPr>
        <w:t xml:space="preserve">Regardless the above mentioned interhemispheric variability at individual level, in this cohort there </w:t>
      </w:r>
      <w:r w:rsidRPr="00E524FC">
        <w:rPr>
          <w:rFonts w:ascii="Calibri" w:eastAsia="Calibri" w:hAnsi="Calibri"/>
          <w:sz w:val="22"/>
          <w:szCs w:val="22"/>
        </w:rPr>
        <w:t xml:space="preserve">was no significant difference between the RMT for the upper and lower limbs between the tumour and healthy hemispheres </w:t>
      </w:r>
      <w:r w:rsidR="00647183">
        <w:rPr>
          <w:rFonts w:ascii="Calibri" w:eastAsia="Calibri" w:hAnsi="Calibri"/>
          <w:sz w:val="22"/>
          <w:szCs w:val="22"/>
        </w:rPr>
        <w:t xml:space="preserve">at group level </w:t>
      </w:r>
      <w:r w:rsidRPr="00E524FC">
        <w:rPr>
          <w:rFonts w:ascii="Calibri" w:eastAsia="Calibri" w:hAnsi="Calibri"/>
          <w:sz w:val="22"/>
          <w:szCs w:val="22"/>
        </w:rPr>
        <w:t>(upper limbs: RMT tumour side = 36.19</w:t>
      </w:r>
      <w:r w:rsidRPr="00E524FC">
        <w:rPr>
          <w:rFonts w:ascii="Calibri" w:eastAsia="Calibri" w:hAnsi="Calibri" w:cs="Calibri"/>
          <w:sz w:val="22"/>
          <w:szCs w:val="22"/>
        </w:rPr>
        <w:t>±</w:t>
      </w:r>
      <w:r w:rsidRPr="00E524FC">
        <w:rPr>
          <w:rFonts w:ascii="Calibri" w:eastAsia="Calibri" w:hAnsi="Calibri"/>
          <w:sz w:val="22"/>
          <w:szCs w:val="22"/>
        </w:rPr>
        <w:t xml:space="preserve">10.32% </w:t>
      </w:r>
      <w:r w:rsidRPr="00E524FC">
        <w:rPr>
          <w:rFonts w:ascii="Calibri" w:eastAsia="Calibri" w:hAnsi="Calibri"/>
          <w:i/>
          <w:sz w:val="22"/>
          <w:szCs w:val="22"/>
        </w:rPr>
        <w:t>versus</w:t>
      </w:r>
      <w:r w:rsidRPr="00E524FC">
        <w:rPr>
          <w:rFonts w:ascii="Calibri" w:eastAsia="Calibri" w:hAnsi="Calibri"/>
          <w:sz w:val="22"/>
          <w:szCs w:val="22"/>
        </w:rPr>
        <w:t xml:space="preserve"> RMT healthy side = 35.66</w:t>
      </w:r>
      <w:r w:rsidRPr="00E524FC">
        <w:rPr>
          <w:rFonts w:ascii="Calibri" w:eastAsia="Calibri" w:hAnsi="Calibri" w:cs="Calibri"/>
          <w:sz w:val="22"/>
          <w:szCs w:val="22"/>
        </w:rPr>
        <w:t xml:space="preserve">±7.33, p=0.6108; </w:t>
      </w:r>
      <w:r w:rsidRPr="00E524FC">
        <w:rPr>
          <w:rFonts w:ascii="Calibri" w:eastAsia="Calibri" w:hAnsi="Calibri"/>
          <w:sz w:val="22"/>
          <w:szCs w:val="22"/>
        </w:rPr>
        <w:t>lower limbs: RMT tumour side = 55.28</w:t>
      </w:r>
      <w:r w:rsidRPr="00E524FC">
        <w:rPr>
          <w:rFonts w:ascii="Calibri" w:eastAsia="Calibri" w:hAnsi="Calibri" w:cs="Calibri"/>
          <w:sz w:val="22"/>
          <w:szCs w:val="22"/>
        </w:rPr>
        <w:t>±</w:t>
      </w:r>
      <w:r w:rsidRPr="00E524FC">
        <w:rPr>
          <w:rFonts w:ascii="Calibri" w:eastAsia="Calibri" w:hAnsi="Calibri"/>
          <w:sz w:val="22"/>
          <w:szCs w:val="22"/>
        </w:rPr>
        <w:t xml:space="preserve">15.07% </w:t>
      </w:r>
      <w:r w:rsidRPr="00E524FC">
        <w:rPr>
          <w:rFonts w:ascii="Calibri" w:eastAsia="Calibri" w:hAnsi="Calibri"/>
          <w:i/>
          <w:sz w:val="22"/>
          <w:szCs w:val="22"/>
        </w:rPr>
        <w:t>versus</w:t>
      </w:r>
      <w:r w:rsidRPr="00E524FC">
        <w:rPr>
          <w:rFonts w:ascii="Calibri" w:eastAsia="Calibri" w:hAnsi="Calibri"/>
          <w:sz w:val="22"/>
          <w:szCs w:val="22"/>
        </w:rPr>
        <w:t xml:space="preserve"> RMT healthy side = 58.89</w:t>
      </w:r>
      <w:r w:rsidRPr="00E524FC">
        <w:rPr>
          <w:rFonts w:ascii="Calibri" w:eastAsia="Calibri" w:hAnsi="Calibri" w:cs="Calibri"/>
          <w:sz w:val="22"/>
          <w:szCs w:val="22"/>
        </w:rPr>
        <w:t xml:space="preserve">±15.82, p=0.1070). </w:t>
      </w:r>
      <w:r w:rsidRPr="00E524FC">
        <w:rPr>
          <w:rFonts w:ascii="Calibri" w:eastAsia="Calibri" w:hAnsi="Calibri" w:cs="Calibri"/>
          <w:b/>
          <w:sz w:val="22"/>
          <w:szCs w:val="22"/>
        </w:rPr>
        <w:t>(Figure 2)</w:t>
      </w:r>
      <w:r w:rsidRPr="00E524FC">
        <w:rPr>
          <w:rFonts w:ascii="Calibri" w:eastAsia="Calibri" w:hAnsi="Calibri" w:cs="Calibri"/>
          <w:sz w:val="22"/>
          <w:szCs w:val="22"/>
        </w:rPr>
        <w:t xml:space="preserve"> Only the RMT LL on the tumour hemisphere was influenced by preoperative and tumour-related variables – decreases with an increase in the preoperative tumour volume (p=0.005) and it is lower in the MGMT promotor methylated tumours (p=0.049). </w:t>
      </w:r>
      <w:r w:rsidR="00CB2A89">
        <w:rPr>
          <w:rFonts w:ascii="Calibri" w:eastAsia="Calibri" w:hAnsi="Calibri" w:cs="Calibri"/>
          <w:sz w:val="22"/>
          <w:szCs w:val="22"/>
        </w:rPr>
        <w:t xml:space="preserve">IMES and CES had no impact </w:t>
      </w:r>
      <w:r w:rsidRPr="00E524FC">
        <w:rPr>
          <w:rFonts w:ascii="Calibri" w:eastAsia="Calibri" w:hAnsi="Calibri" w:cs="Calibri"/>
          <w:sz w:val="22"/>
          <w:szCs w:val="22"/>
        </w:rPr>
        <w:t xml:space="preserve">on </w:t>
      </w:r>
      <w:proofErr w:type="spellStart"/>
      <w:r w:rsidRPr="00E524FC">
        <w:rPr>
          <w:rFonts w:ascii="Calibri" w:eastAsia="Calibri" w:hAnsi="Calibri" w:cs="Calibri"/>
          <w:sz w:val="22"/>
          <w:szCs w:val="22"/>
        </w:rPr>
        <w:t>EoR</w:t>
      </w:r>
      <w:proofErr w:type="spellEnd"/>
      <w:r w:rsidRPr="00E524FC">
        <w:rPr>
          <w:rFonts w:ascii="Calibri" w:eastAsia="Calibri" w:hAnsi="Calibri" w:cs="Calibri"/>
          <w:sz w:val="22"/>
          <w:szCs w:val="22"/>
        </w:rPr>
        <w:t xml:space="preserve"> or were influenced by the preoperative demographic or clinical variables (p&gt;0.05 for all variables in both outcomes). </w:t>
      </w:r>
      <w:r w:rsidRPr="00E524FC">
        <w:rPr>
          <w:rFonts w:ascii="Calibri" w:eastAsia="Calibri" w:hAnsi="Calibri" w:cs="Calibri"/>
          <w:b/>
          <w:sz w:val="22"/>
          <w:szCs w:val="22"/>
        </w:rPr>
        <w:t xml:space="preserve">(Supplementary Material 1) </w:t>
      </w:r>
    </w:p>
    <w:p w14:paraId="7238CB0F" w14:textId="77777777" w:rsidR="00647183" w:rsidRPr="00E524FC" w:rsidRDefault="00647183" w:rsidP="00E524FC">
      <w:pPr>
        <w:spacing w:line="259" w:lineRule="auto"/>
        <w:jc w:val="both"/>
        <w:rPr>
          <w:rFonts w:ascii="Calibri" w:eastAsia="Calibri" w:hAnsi="Calibri" w:cs="Calibri"/>
          <w:sz w:val="22"/>
          <w:szCs w:val="22"/>
        </w:rPr>
      </w:pPr>
    </w:p>
    <w:p w14:paraId="5D39C51E" w14:textId="67BF1269" w:rsidR="00E524FC" w:rsidRDefault="00E524FC" w:rsidP="00E524FC">
      <w:pPr>
        <w:spacing w:line="259" w:lineRule="auto"/>
        <w:jc w:val="both"/>
        <w:rPr>
          <w:rFonts w:ascii="Calibri" w:eastAsia="Calibri" w:hAnsi="Calibri"/>
          <w:b/>
          <w:bCs/>
          <w:sz w:val="22"/>
          <w:szCs w:val="22"/>
        </w:rPr>
      </w:pPr>
      <w:r w:rsidRPr="00E524FC">
        <w:rPr>
          <w:rFonts w:ascii="Calibri" w:eastAsia="Calibri" w:hAnsi="Calibri"/>
          <w:sz w:val="22"/>
          <w:szCs w:val="22"/>
        </w:rPr>
        <w:t xml:space="preserve">The univariate analysis concluded that lower IMES </w:t>
      </w:r>
      <w:r w:rsidR="00CB2A89">
        <w:rPr>
          <w:rFonts w:ascii="Calibri" w:eastAsia="Calibri" w:hAnsi="Calibri"/>
          <w:sz w:val="22"/>
          <w:szCs w:val="22"/>
        </w:rPr>
        <w:t xml:space="preserve">in the tumour hemisphere </w:t>
      </w:r>
      <w:r w:rsidRPr="00E524FC">
        <w:rPr>
          <w:rFonts w:ascii="Calibri" w:eastAsia="Calibri" w:hAnsi="Calibri"/>
          <w:sz w:val="22"/>
          <w:szCs w:val="22"/>
        </w:rPr>
        <w:t>(HR=0.31, p=0.027)</w:t>
      </w:r>
      <w:r w:rsidR="00CB2A89">
        <w:rPr>
          <w:rFonts w:ascii="Calibri" w:eastAsia="Calibri" w:hAnsi="Calibri"/>
          <w:sz w:val="22"/>
          <w:szCs w:val="22"/>
        </w:rPr>
        <w:t xml:space="preserve"> a</w:t>
      </w:r>
      <w:r w:rsidRPr="00E524FC">
        <w:rPr>
          <w:rFonts w:ascii="Calibri" w:eastAsia="Calibri" w:hAnsi="Calibri"/>
          <w:sz w:val="22"/>
          <w:szCs w:val="22"/>
        </w:rPr>
        <w:t xml:space="preserve">nd higher CES (HR=2.10, p=0.043) are associated with worse OS. No correlation between excitability TMS-driven metrics and OS were identified in the healthy hemisphere. </w:t>
      </w:r>
      <w:r w:rsidRPr="00E524FC">
        <w:rPr>
          <w:rFonts w:ascii="Calibri" w:eastAsia="Calibri" w:hAnsi="Calibri"/>
          <w:b/>
          <w:bCs/>
          <w:sz w:val="22"/>
          <w:szCs w:val="22"/>
        </w:rPr>
        <w:t>(Figure 3)</w:t>
      </w:r>
      <w:r w:rsidRPr="00E524FC">
        <w:rPr>
          <w:rFonts w:ascii="Calibri" w:eastAsia="Calibri" w:hAnsi="Calibri"/>
          <w:sz w:val="22"/>
          <w:szCs w:val="22"/>
        </w:rPr>
        <w:t xml:space="preserve"> </w:t>
      </w:r>
      <w:r w:rsidRPr="00E524FC">
        <w:rPr>
          <w:rFonts w:ascii="Calibri" w:eastAsia="Calibri" w:hAnsi="Calibri" w:cs="Calibri"/>
          <w:sz w:val="22"/>
          <w:szCs w:val="22"/>
        </w:rPr>
        <w:t xml:space="preserve">An adjusted Cox regression analysis of the excitability metrics was performed adjusting for known risk factors (MGMT promoter methylation, age group, gender, </w:t>
      </w:r>
      <w:proofErr w:type="spellStart"/>
      <w:r w:rsidRPr="00E524FC">
        <w:rPr>
          <w:rFonts w:ascii="Calibri" w:eastAsia="Calibri" w:hAnsi="Calibri" w:cs="Calibri"/>
          <w:sz w:val="22"/>
          <w:szCs w:val="22"/>
        </w:rPr>
        <w:t>EoR</w:t>
      </w:r>
      <w:proofErr w:type="spellEnd"/>
      <w:r w:rsidRPr="00E524FC">
        <w:rPr>
          <w:rFonts w:ascii="Calibri" w:eastAsia="Calibri" w:hAnsi="Calibri" w:cs="Calibri"/>
          <w:sz w:val="22"/>
          <w:szCs w:val="22"/>
        </w:rPr>
        <w:t xml:space="preserve"> and focal neurological deficit). CES (HR=2.52, p=0.031) and IMES (HR=0.15, p=0.003) remained statistically significant for overall survival. For 12-month survival prediction using logistic regression, CES (OR=0.35, p=0.038) and IMES (OR=1.89, p=0.069) demonstrated independent prognostic value.</w:t>
      </w:r>
      <w:r w:rsidRPr="00E524FC">
        <w:rPr>
          <w:rFonts w:ascii="Calibri" w:eastAsia="Calibri" w:hAnsi="Calibri"/>
          <w:b/>
          <w:bCs/>
          <w:sz w:val="22"/>
          <w:szCs w:val="22"/>
        </w:rPr>
        <w:t xml:space="preserve"> (Table 2)</w:t>
      </w:r>
    </w:p>
    <w:p w14:paraId="4EDC9120" w14:textId="77777777" w:rsidR="00647183" w:rsidRPr="00E524FC" w:rsidRDefault="00647183" w:rsidP="00E524FC">
      <w:pPr>
        <w:spacing w:line="259" w:lineRule="auto"/>
        <w:jc w:val="both"/>
        <w:rPr>
          <w:rFonts w:ascii="Calibri" w:eastAsia="Calibri" w:hAnsi="Calibri"/>
          <w:i/>
          <w:iCs/>
          <w:sz w:val="22"/>
          <w:szCs w:val="22"/>
        </w:rPr>
      </w:pPr>
    </w:p>
    <w:p w14:paraId="78A323EC" w14:textId="069F8127" w:rsidR="00647183" w:rsidRDefault="00E524FC" w:rsidP="00E524FC">
      <w:pPr>
        <w:spacing w:line="259" w:lineRule="auto"/>
        <w:jc w:val="both"/>
        <w:rPr>
          <w:rFonts w:ascii="Calibri" w:eastAsia="Calibri" w:hAnsi="Calibri" w:cs="Calibri"/>
          <w:sz w:val="22"/>
          <w:szCs w:val="22"/>
        </w:rPr>
      </w:pPr>
      <w:r w:rsidRPr="00E524FC">
        <w:rPr>
          <w:rFonts w:ascii="Calibri" w:eastAsia="Calibri" w:hAnsi="Calibri" w:cs="Calibri"/>
          <w:sz w:val="22"/>
          <w:szCs w:val="22"/>
        </w:rPr>
        <w:t xml:space="preserve">For 12-month survival prediction, multivariable logistic regression analysis was performed. In the clinical-only model (n=75), age was the sole significant predictor (OR 0.96 per year, 95% CI 0.93-0.99, p=0.042; C-statistic 0.72). The addition of </w:t>
      </w:r>
      <w:proofErr w:type="spellStart"/>
      <w:r w:rsidRPr="00E524FC">
        <w:rPr>
          <w:rFonts w:ascii="Calibri" w:eastAsia="Calibri" w:hAnsi="Calibri" w:cs="Calibri"/>
          <w:sz w:val="22"/>
          <w:szCs w:val="22"/>
        </w:rPr>
        <w:t>nTMS</w:t>
      </w:r>
      <w:proofErr w:type="spellEnd"/>
      <w:r w:rsidRPr="00E524FC">
        <w:rPr>
          <w:rFonts w:ascii="Calibri" w:eastAsia="Calibri" w:hAnsi="Calibri" w:cs="Calibri"/>
          <w:sz w:val="22"/>
          <w:szCs w:val="22"/>
        </w:rPr>
        <w:t xml:space="preserve"> metrics in patients with bilateral mapping (n=46) significantly improved model discrimination (C-statistic 0.81, p=0.041). In this enhanced model, CES emerged as a significant independent predictor (OR 0.35 per unit increase, 95% CI 0.13-0.94, p=0.038), with IMES showing a strong trend (OR 1.89 per 0.1 increase, 95% CI 0.95-3.76, p=0.069). This represents an 18.5% net reclassification improvement for 12-month survival prediction</w:t>
      </w:r>
      <w:r w:rsidR="00647183">
        <w:rPr>
          <w:rFonts w:ascii="Calibri" w:eastAsia="Calibri" w:hAnsi="Calibri" w:cs="Calibri"/>
          <w:sz w:val="22"/>
          <w:szCs w:val="22"/>
        </w:rPr>
        <w:t>.</w:t>
      </w:r>
      <w:r w:rsidR="006A0ADD">
        <w:rPr>
          <w:rFonts w:ascii="Calibri" w:eastAsia="Calibri" w:hAnsi="Calibri" w:cs="Calibri"/>
          <w:sz w:val="22"/>
          <w:szCs w:val="22"/>
        </w:rPr>
        <w:t xml:space="preserve"> </w:t>
      </w:r>
      <w:r w:rsidR="006A0ADD" w:rsidRPr="006A0ADD">
        <w:rPr>
          <w:rFonts w:ascii="Calibri" w:eastAsia="Calibri" w:hAnsi="Calibri" w:cs="Calibri"/>
          <w:b/>
          <w:color w:val="FF0000"/>
          <w:sz w:val="22"/>
          <w:szCs w:val="22"/>
        </w:rPr>
        <w:t>(</w:t>
      </w:r>
      <w:proofErr w:type="spellStart"/>
      <w:r w:rsidR="006A0ADD" w:rsidRPr="006A0ADD">
        <w:rPr>
          <w:rFonts w:ascii="Calibri" w:eastAsia="Calibri" w:hAnsi="Calibri" w:cs="Calibri"/>
          <w:b/>
          <w:color w:val="FF0000"/>
          <w:sz w:val="22"/>
          <w:szCs w:val="22"/>
        </w:rPr>
        <w:t>Feras</w:t>
      </w:r>
      <w:proofErr w:type="spellEnd"/>
      <w:r w:rsidR="006A0ADD" w:rsidRPr="006A0ADD">
        <w:rPr>
          <w:rFonts w:ascii="Calibri" w:eastAsia="Calibri" w:hAnsi="Calibri" w:cs="Calibri"/>
          <w:b/>
          <w:color w:val="FF0000"/>
          <w:sz w:val="22"/>
          <w:szCs w:val="22"/>
        </w:rPr>
        <w:t xml:space="preserve"> to write again with the updated model. Please update the Table)</w:t>
      </w:r>
    </w:p>
    <w:p w14:paraId="0C4BF774" w14:textId="7EC22219" w:rsidR="00E524FC" w:rsidRPr="00E524FC" w:rsidRDefault="00E524FC" w:rsidP="00E524FC">
      <w:pPr>
        <w:spacing w:line="259" w:lineRule="auto"/>
        <w:jc w:val="both"/>
        <w:rPr>
          <w:rFonts w:ascii="Calibri" w:eastAsia="Calibri" w:hAnsi="Calibri"/>
          <w:i/>
          <w:iCs/>
          <w:sz w:val="22"/>
          <w:szCs w:val="22"/>
        </w:rPr>
      </w:pPr>
      <w:r w:rsidRPr="00E524FC">
        <w:rPr>
          <w:rFonts w:ascii="Calibri" w:eastAsia="Calibri" w:hAnsi="Calibri"/>
          <w:b/>
          <w:bCs/>
          <w:sz w:val="22"/>
          <w:szCs w:val="22"/>
        </w:rPr>
        <w:t xml:space="preserve"> </w:t>
      </w:r>
    </w:p>
    <w:p w14:paraId="5960D1AA" w14:textId="494D310E" w:rsidR="00E524FC" w:rsidRDefault="006A0ADD" w:rsidP="00E524FC">
      <w:pPr>
        <w:spacing w:line="259" w:lineRule="auto"/>
        <w:jc w:val="both"/>
        <w:rPr>
          <w:rFonts w:ascii="Calibri" w:eastAsia="Calibri" w:hAnsi="Calibri"/>
          <w:b/>
          <w:sz w:val="22"/>
          <w:szCs w:val="22"/>
        </w:rPr>
      </w:pPr>
      <w:r>
        <w:rPr>
          <w:rFonts w:ascii="Calibri" w:eastAsia="Calibri" w:hAnsi="Calibri"/>
          <w:sz w:val="22"/>
          <w:szCs w:val="22"/>
        </w:rPr>
        <w:t xml:space="preserve">After evaluating the direction of the effect of the </w:t>
      </w:r>
      <w:proofErr w:type="spellStart"/>
      <w:r>
        <w:rPr>
          <w:rFonts w:ascii="Calibri" w:eastAsia="Calibri" w:hAnsi="Calibri"/>
          <w:sz w:val="22"/>
          <w:szCs w:val="22"/>
        </w:rPr>
        <w:t>intrahemispheric</w:t>
      </w:r>
      <w:proofErr w:type="spellEnd"/>
      <w:r>
        <w:rPr>
          <w:rFonts w:ascii="Calibri" w:eastAsia="Calibri" w:hAnsi="Calibri"/>
          <w:sz w:val="22"/>
          <w:szCs w:val="22"/>
        </w:rPr>
        <w:t xml:space="preserve"> excitability with the IMES and given the impact of the abnormal interhemispheric excitability proven by the CES,  w</w:t>
      </w:r>
      <w:r w:rsidR="00E524FC" w:rsidRPr="00E524FC">
        <w:rPr>
          <w:rFonts w:ascii="Calibri" w:eastAsia="Calibri" w:hAnsi="Calibri"/>
          <w:sz w:val="22"/>
          <w:szCs w:val="22"/>
        </w:rPr>
        <w:t xml:space="preserve">e investigated the effect of the abnormal excitability direction in the </w:t>
      </w:r>
      <w:proofErr w:type="spellStart"/>
      <w:r w:rsidR="00E524FC" w:rsidRPr="00E524FC">
        <w:rPr>
          <w:rFonts w:ascii="Calibri" w:eastAsia="Calibri" w:hAnsi="Calibri"/>
          <w:sz w:val="22"/>
          <w:szCs w:val="22"/>
        </w:rPr>
        <w:t>iRMTr</w:t>
      </w:r>
      <w:proofErr w:type="spellEnd"/>
      <w:r w:rsidR="00E524FC" w:rsidRPr="00E524FC">
        <w:rPr>
          <w:rFonts w:ascii="Calibri" w:eastAsia="Calibri" w:hAnsi="Calibri"/>
          <w:sz w:val="22"/>
          <w:szCs w:val="22"/>
        </w:rPr>
        <w:t xml:space="preserve"> calculation for each functional area and the OS. </w:t>
      </w:r>
      <w:r w:rsidR="00E524FC" w:rsidRPr="00E524FC">
        <w:rPr>
          <w:rFonts w:ascii="Calibri" w:eastAsia="Calibri" w:hAnsi="Calibri"/>
          <w:sz w:val="22"/>
          <w:szCs w:val="22"/>
        </w:rPr>
        <w:lastRenderedPageBreak/>
        <w:t xml:space="preserve">Abnormal Negative </w:t>
      </w:r>
      <w:proofErr w:type="spellStart"/>
      <w:r w:rsidR="00E524FC" w:rsidRPr="00E524FC">
        <w:rPr>
          <w:rFonts w:ascii="Calibri" w:eastAsia="Calibri" w:hAnsi="Calibri"/>
          <w:sz w:val="22"/>
          <w:szCs w:val="22"/>
        </w:rPr>
        <w:t>iRMTrLL</w:t>
      </w:r>
      <w:proofErr w:type="spellEnd"/>
      <w:r w:rsidR="00E524FC" w:rsidRPr="00E524FC">
        <w:rPr>
          <w:rFonts w:ascii="Calibri" w:eastAsia="Calibri" w:hAnsi="Calibri"/>
          <w:sz w:val="22"/>
          <w:szCs w:val="22"/>
        </w:rPr>
        <w:t xml:space="preserve"> was related to a significant worse overall survival when compared with Abnormal Positive (p=0.028). A similar effect was not observed for the upper limbs. </w:t>
      </w:r>
      <w:r w:rsidR="00E524FC" w:rsidRPr="00E524FC">
        <w:rPr>
          <w:rFonts w:ascii="Calibri" w:eastAsia="Calibri" w:hAnsi="Calibri"/>
          <w:b/>
          <w:sz w:val="22"/>
          <w:szCs w:val="22"/>
        </w:rPr>
        <w:t xml:space="preserve">(Figure 4) </w:t>
      </w:r>
    </w:p>
    <w:p w14:paraId="6D16E89C" w14:textId="77777777" w:rsidR="00647183" w:rsidRPr="00E524FC" w:rsidRDefault="00647183" w:rsidP="00E524FC">
      <w:pPr>
        <w:spacing w:line="259" w:lineRule="auto"/>
        <w:jc w:val="both"/>
        <w:rPr>
          <w:rFonts w:ascii="Calibri" w:eastAsia="Calibri" w:hAnsi="Calibri"/>
          <w:b/>
          <w:sz w:val="22"/>
          <w:szCs w:val="22"/>
        </w:rPr>
      </w:pPr>
    </w:p>
    <w:p w14:paraId="3F6557E4" w14:textId="27D59B90" w:rsidR="006A0ADD" w:rsidRDefault="00E524FC" w:rsidP="00E524FC">
      <w:pPr>
        <w:spacing w:line="259" w:lineRule="auto"/>
        <w:jc w:val="both"/>
        <w:rPr>
          <w:rFonts w:ascii="Calibri" w:eastAsia="Calibri" w:hAnsi="Calibri"/>
          <w:sz w:val="22"/>
          <w:szCs w:val="22"/>
        </w:rPr>
      </w:pPr>
      <w:r w:rsidRPr="00E524FC">
        <w:rPr>
          <w:rFonts w:ascii="Calibri" w:eastAsia="Calibri" w:hAnsi="Calibri"/>
          <w:sz w:val="22"/>
          <w:szCs w:val="22"/>
        </w:rPr>
        <w:t xml:space="preserve">The prognostic implications of each excitability metric differs according to the demographics, preoperative features, surgical outcomes and molecular characteristics. </w:t>
      </w:r>
      <w:r w:rsidR="006A0ADD">
        <w:rPr>
          <w:rFonts w:ascii="Calibri" w:eastAsia="Calibri" w:hAnsi="Calibri"/>
          <w:sz w:val="22"/>
          <w:szCs w:val="22"/>
        </w:rPr>
        <w:t xml:space="preserve">All the above mentioned excitability metrics – IMES, CES and </w:t>
      </w:r>
      <w:proofErr w:type="spellStart"/>
      <w:r w:rsidR="006A0ADD">
        <w:rPr>
          <w:rFonts w:ascii="Calibri" w:eastAsia="Calibri" w:hAnsi="Calibri"/>
          <w:sz w:val="22"/>
          <w:szCs w:val="22"/>
        </w:rPr>
        <w:t>iRMTrLL</w:t>
      </w:r>
      <w:proofErr w:type="spellEnd"/>
      <w:r w:rsidR="006A0ADD">
        <w:rPr>
          <w:rFonts w:ascii="Calibri" w:eastAsia="Calibri" w:hAnsi="Calibri"/>
          <w:sz w:val="22"/>
          <w:szCs w:val="22"/>
        </w:rPr>
        <w:t xml:space="preserve"> Directionality – were significant in frontal lobe location tumours. In elderly patients (&gt;65 years old) and in those with no focal neurological deficit, both IMES and the </w:t>
      </w:r>
      <w:proofErr w:type="spellStart"/>
      <w:r w:rsidR="006A0ADD">
        <w:rPr>
          <w:rFonts w:ascii="Calibri" w:eastAsia="Calibri" w:hAnsi="Calibri"/>
          <w:sz w:val="22"/>
          <w:szCs w:val="22"/>
        </w:rPr>
        <w:t>iRMTrLL</w:t>
      </w:r>
      <w:proofErr w:type="spellEnd"/>
      <w:r w:rsidR="006A0ADD">
        <w:rPr>
          <w:rFonts w:ascii="Calibri" w:eastAsia="Calibri" w:hAnsi="Calibri"/>
          <w:sz w:val="22"/>
          <w:szCs w:val="22"/>
        </w:rPr>
        <w:t xml:space="preserve"> Directionality</w:t>
      </w:r>
      <w:r w:rsidR="006A0ADD">
        <w:rPr>
          <w:rFonts w:ascii="Calibri" w:eastAsia="Calibri" w:hAnsi="Calibri"/>
          <w:sz w:val="22"/>
          <w:szCs w:val="22"/>
        </w:rPr>
        <w:t xml:space="preserve"> were significant determinants of prognosis whereas in patients with MGMT promotor methylation, both CES and  </w:t>
      </w:r>
      <w:proofErr w:type="spellStart"/>
      <w:r w:rsidR="006A0ADD">
        <w:rPr>
          <w:rFonts w:ascii="Calibri" w:eastAsia="Calibri" w:hAnsi="Calibri"/>
          <w:sz w:val="22"/>
          <w:szCs w:val="22"/>
        </w:rPr>
        <w:t>iRMTrLL</w:t>
      </w:r>
      <w:proofErr w:type="spellEnd"/>
      <w:r w:rsidR="006A0ADD">
        <w:rPr>
          <w:rFonts w:ascii="Calibri" w:eastAsia="Calibri" w:hAnsi="Calibri"/>
          <w:sz w:val="22"/>
          <w:szCs w:val="22"/>
        </w:rPr>
        <w:t xml:space="preserve"> Directionality</w:t>
      </w:r>
      <w:r w:rsidR="006A0ADD">
        <w:rPr>
          <w:rFonts w:ascii="Calibri" w:eastAsia="Calibri" w:hAnsi="Calibri"/>
          <w:sz w:val="22"/>
          <w:szCs w:val="22"/>
        </w:rPr>
        <w:t xml:space="preserve"> were significant. Lastly, only IMES was related with the prognosis in male patients (none of these metrics were proven significant according to the different groups of extent of resection). </w:t>
      </w:r>
      <w:r w:rsidR="006A0ADD" w:rsidRPr="006A0ADD">
        <w:rPr>
          <w:rFonts w:ascii="Calibri" w:eastAsia="Calibri" w:hAnsi="Calibri"/>
          <w:b/>
          <w:sz w:val="22"/>
          <w:szCs w:val="22"/>
        </w:rPr>
        <w:t>(</w:t>
      </w:r>
      <w:r w:rsidR="006A0ADD">
        <w:rPr>
          <w:rFonts w:ascii="Calibri" w:eastAsia="Calibri" w:hAnsi="Calibri"/>
          <w:b/>
          <w:sz w:val="22"/>
          <w:szCs w:val="22"/>
        </w:rPr>
        <w:t>Table</w:t>
      </w:r>
      <w:r w:rsidR="006A0ADD" w:rsidRPr="006A0ADD">
        <w:rPr>
          <w:rFonts w:ascii="Calibri" w:eastAsia="Calibri" w:hAnsi="Calibri"/>
          <w:b/>
          <w:sz w:val="22"/>
          <w:szCs w:val="22"/>
        </w:rPr>
        <w:t xml:space="preserve"> 3)</w:t>
      </w:r>
      <w:r w:rsidR="006A0ADD">
        <w:rPr>
          <w:rFonts w:ascii="Calibri" w:eastAsia="Calibri" w:hAnsi="Calibri"/>
          <w:sz w:val="22"/>
          <w:szCs w:val="22"/>
        </w:rPr>
        <w:t xml:space="preserve"> </w:t>
      </w:r>
    </w:p>
    <w:p w14:paraId="011282CA" w14:textId="4B3C9EFD" w:rsidR="00647183" w:rsidRPr="00E524FC" w:rsidRDefault="00647183" w:rsidP="00E524FC">
      <w:pPr>
        <w:spacing w:line="259" w:lineRule="auto"/>
        <w:jc w:val="both"/>
        <w:rPr>
          <w:rFonts w:ascii="Calibri" w:eastAsia="Calibri" w:hAnsi="Calibri"/>
          <w:b/>
          <w:sz w:val="22"/>
          <w:szCs w:val="22"/>
        </w:rPr>
      </w:pPr>
    </w:p>
    <w:p w14:paraId="4098C966" w14:textId="77777777" w:rsidR="00E524FC" w:rsidRPr="00E524FC" w:rsidRDefault="00E524FC" w:rsidP="00E524FC">
      <w:pPr>
        <w:spacing w:line="259" w:lineRule="auto"/>
        <w:jc w:val="both"/>
        <w:rPr>
          <w:rFonts w:ascii="Calibri" w:eastAsia="Calibri" w:hAnsi="Calibri" w:cs="Calibri"/>
          <w:sz w:val="22"/>
          <w:szCs w:val="22"/>
        </w:rPr>
      </w:pPr>
      <w:r w:rsidRPr="00E524FC">
        <w:rPr>
          <w:rFonts w:ascii="Calibri" w:eastAsia="Calibri" w:hAnsi="Calibri" w:cs="Calibri"/>
          <w:sz w:val="22"/>
          <w:szCs w:val="22"/>
        </w:rPr>
        <w:t xml:space="preserve">Based on these logistic regression results, we developed an interactive </w:t>
      </w:r>
      <w:proofErr w:type="spellStart"/>
      <w:r w:rsidRPr="00E524FC">
        <w:rPr>
          <w:rFonts w:ascii="Calibri" w:eastAsia="Calibri" w:hAnsi="Calibri" w:cs="Calibri"/>
          <w:sz w:val="22"/>
          <w:szCs w:val="22"/>
        </w:rPr>
        <w:t>nTMS</w:t>
      </w:r>
      <w:proofErr w:type="spellEnd"/>
      <w:r w:rsidRPr="00E524FC">
        <w:rPr>
          <w:rFonts w:ascii="Calibri" w:eastAsia="Calibri" w:hAnsi="Calibri" w:cs="Calibri"/>
          <w:sz w:val="22"/>
          <w:szCs w:val="22"/>
        </w:rPr>
        <w:t>-based GBM Survival Prediction Calculator (available at [</w:t>
      </w:r>
      <w:proofErr w:type="spellStart"/>
      <w:r w:rsidRPr="00E524FC">
        <w:rPr>
          <w:rFonts w:ascii="Calibri" w:eastAsia="Calibri" w:hAnsi="Calibri"/>
          <w:sz w:val="22"/>
          <w:szCs w:val="22"/>
        </w:rPr>
        <w:fldChar w:fldCharType="begin"/>
      </w:r>
      <w:r w:rsidRPr="00E524FC">
        <w:rPr>
          <w:rFonts w:ascii="Calibri" w:eastAsia="Calibri" w:hAnsi="Calibri"/>
          <w:sz w:val="22"/>
          <w:szCs w:val="22"/>
        </w:rPr>
        <w:instrText>HYPERLINK "https://tms-sepia.vercel.app/" \h</w:instrText>
      </w:r>
      <w:r w:rsidRPr="00E524FC">
        <w:rPr>
          <w:rFonts w:ascii="Calibri" w:eastAsia="Calibri" w:hAnsi="Calibri"/>
          <w:sz w:val="22"/>
          <w:szCs w:val="22"/>
        </w:rPr>
        <w:fldChar w:fldCharType="separate"/>
      </w:r>
      <w:r w:rsidRPr="00E524FC">
        <w:rPr>
          <w:rFonts w:ascii="Calibri" w:eastAsia="Calibri" w:hAnsi="Calibri" w:cs="Calibri"/>
          <w:color w:val="0000FF"/>
          <w:sz w:val="22"/>
          <w:szCs w:val="22"/>
          <w:u w:val="single"/>
        </w:rPr>
        <w:t>nTMS</w:t>
      </w:r>
      <w:proofErr w:type="spellEnd"/>
      <w:r w:rsidRPr="00E524FC">
        <w:rPr>
          <w:rFonts w:ascii="Calibri" w:eastAsia="Calibri" w:hAnsi="Calibri" w:cs="Calibri"/>
          <w:color w:val="0000FF"/>
          <w:sz w:val="22"/>
          <w:szCs w:val="22"/>
          <w:u w:val="single"/>
        </w:rPr>
        <w:t>-based GBM Survival Prediction Calculator</w:t>
      </w:r>
      <w:r w:rsidRPr="00E524FC">
        <w:rPr>
          <w:rFonts w:ascii="Calibri" w:eastAsia="Calibri" w:hAnsi="Calibri"/>
          <w:sz w:val="22"/>
          <w:szCs w:val="22"/>
        </w:rPr>
        <w:fldChar w:fldCharType="end"/>
      </w:r>
      <w:r w:rsidRPr="00E524FC">
        <w:rPr>
          <w:rFonts w:ascii="Calibri" w:eastAsia="Calibri" w:hAnsi="Calibri" w:cs="Calibri"/>
          <w:sz w:val="22"/>
          <w:szCs w:val="22"/>
        </w:rPr>
        <w:t xml:space="preserve">]) that integrates cortical excitability metrics with clinical risk factors for 12-month survival prediction. The calculator implements the validated multivariable model (C-statistic 0.81) and provides real-time risk stratification for </w:t>
      </w:r>
      <w:commentRangeStart w:id="0"/>
      <w:r w:rsidRPr="00E524FC">
        <w:rPr>
          <w:rFonts w:ascii="Calibri" w:eastAsia="Calibri" w:hAnsi="Calibri" w:cs="Calibri"/>
          <w:sz w:val="22"/>
          <w:szCs w:val="22"/>
        </w:rPr>
        <w:t xml:space="preserve">clinical decision-making. </w:t>
      </w:r>
      <w:r w:rsidRPr="00E524FC">
        <w:rPr>
          <w:rFonts w:ascii="Calibri" w:eastAsia="Calibri" w:hAnsi="Calibri" w:cs="Calibri"/>
          <w:b/>
          <w:bCs/>
          <w:sz w:val="22"/>
          <w:szCs w:val="22"/>
        </w:rPr>
        <w:t>(Figure 5)</w:t>
      </w:r>
      <w:commentRangeEnd w:id="0"/>
      <w:r w:rsidR="00F4098A">
        <w:rPr>
          <w:rStyle w:val="CommentReference"/>
        </w:rPr>
        <w:commentReference w:id="0"/>
      </w:r>
    </w:p>
    <w:p w14:paraId="436B1AE5" w14:textId="77777777" w:rsidR="00E524FC" w:rsidRPr="002473B3" w:rsidRDefault="00E524FC" w:rsidP="002473B3">
      <w:pPr>
        <w:spacing w:line="276" w:lineRule="auto"/>
        <w:jc w:val="both"/>
        <w:rPr>
          <w:rFonts w:ascii="Calibri" w:eastAsia="Calibri" w:hAnsi="Calibri"/>
          <w:sz w:val="22"/>
          <w:szCs w:val="22"/>
        </w:rPr>
      </w:pPr>
    </w:p>
    <w:p w14:paraId="62750B18" w14:textId="4F63C728" w:rsidR="002473B3" w:rsidRDefault="002473B3"/>
    <w:p w14:paraId="41DC3607" w14:textId="381184FB" w:rsidR="00D043AB" w:rsidRDefault="00D043AB"/>
    <w:p w14:paraId="1327743E" w14:textId="6BA326F1" w:rsidR="00D043AB" w:rsidRDefault="00D043AB"/>
    <w:p w14:paraId="26ACA7FD" w14:textId="67F3D073" w:rsidR="00D043AB" w:rsidRDefault="00D043AB" w:rsidP="00D043AB">
      <w:pPr>
        <w:rPr>
          <w:rFonts w:ascii="Helvetica Neue" w:hAnsi="Helvetica Neue"/>
          <w:color w:val="222222"/>
          <w:shd w:val="clear" w:color="auto" w:fill="FFFFFF"/>
        </w:rPr>
      </w:pPr>
      <w:r w:rsidRPr="00D043AB">
        <w:rPr>
          <w:rFonts w:ascii="Helvetica Neue" w:hAnsi="Helvetica Neue"/>
          <w:color w:val="222222"/>
          <w:shd w:val="clear" w:color="auto" w:fill="FFFFFF"/>
        </w:rPr>
        <w:t>Wang, X., Zhou, C., Wang, Y. </w:t>
      </w:r>
      <w:r w:rsidRPr="00D043AB">
        <w:rPr>
          <w:rFonts w:ascii="Helvetica Neue" w:hAnsi="Helvetica Neue"/>
          <w:i/>
          <w:iCs/>
          <w:color w:val="222222"/>
          <w:shd w:val="clear" w:color="auto" w:fill="FFFFFF"/>
        </w:rPr>
        <w:t>et al.</w:t>
      </w:r>
      <w:r w:rsidRPr="00D043AB">
        <w:rPr>
          <w:rFonts w:ascii="Helvetica Neue" w:hAnsi="Helvetica Neue"/>
          <w:color w:val="222222"/>
          <w:shd w:val="clear" w:color="auto" w:fill="FFFFFF"/>
        </w:rPr>
        <w:t xml:space="preserve"> Microstructural changes of white matter </w:t>
      </w:r>
      <w:proofErr w:type="spellStart"/>
      <w:r w:rsidRPr="00D043AB">
        <w:rPr>
          <w:rFonts w:ascii="Helvetica Neue" w:hAnsi="Helvetica Neue"/>
          <w:color w:val="222222"/>
          <w:shd w:val="clear" w:color="auto" w:fill="FFFFFF"/>
        </w:rPr>
        <w:t>fiber</w:t>
      </w:r>
      <w:proofErr w:type="spellEnd"/>
      <w:r w:rsidRPr="00D043AB">
        <w:rPr>
          <w:rFonts w:ascii="Helvetica Neue" w:hAnsi="Helvetica Neue"/>
          <w:color w:val="222222"/>
          <w:shd w:val="clear" w:color="auto" w:fill="FFFFFF"/>
        </w:rPr>
        <w:t xml:space="preserve"> tracts induced by insular glioma revealed by tract-based spatial statistics and automatic </w:t>
      </w:r>
      <w:proofErr w:type="spellStart"/>
      <w:r w:rsidRPr="00D043AB">
        <w:rPr>
          <w:rFonts w:ascii="Helvetica Neue" w:hAnsi="Helvetica Neue"/>
          <w:color w:val="222222"/>
          <w:shd w:val="clear" w:color="auto" w:fill="FFFFFF"/>
        </w:rPr>
        <w:t>fiber</w:t>
      </w:r>
      <w:proofErr w:type="spellEnd"/>
      <w:r w:rsidRPr="00D043AB">
        <w:rPr>
          <w:rFonts w:ascii="Helvetica Neue" w:hAnsi="Helvetica Neue"/>
          <w:color w:val="222222"/>
          <w:shd w:val="clear" w:color="auto" w:fill="FFFFFF"/>
        </w:rPr>
        <w:t xml:space="preserve"> quantification. </w:t>
      </w:r>
      <w:r w:rsidRPr="00D043AB">
        <w:rPr>
          <w:rFonts w:ascii="Helvetica Neue" w:hAnsi="Helvetica Neue"/>
          <w:i/>
          <w:iCs/>
          <w:color w:val="222222"/>
          <w:shd w:val="clear" w:color="auto" w:fill="FFFFFF"/>
        </w:rPr>
        <w:t>Sci Rep</w:t>
      </w:r>
      <w:r w:rsidRPr="00D043AB">
        <w:rPr>
          <w:rFonts w:ascii="Helvetica Neue" w:hAnsi="Helvetica Neue"/>
          <w:color w:val="222222"/>
          <w:shd w:val="clear" w:color="auto" w:fill="FFFFFF"/>
        </w:rPr>
        <w:t> </w:t>
      </w:r>
      <w:r w:rsidRPr="00D043AB">
        <w:rPr>
          <w:rFonts w:ascii="Helvetica Neue" w:hAnsi="Helvetica Neue"/>
          <w:b/>
          <w:bCs/>
          <w:color w:val="222222"/>
          <w:shd w:val="clear" w:color="auto" w:fill="FFFFFF"/>
        </w:rPr>
        <w:t>12</w:t>
      </w:r>
      <w:r w:rsidRPr="00D043AB">
        <w:rPr>
          <w:rFonts w:ascii="Helvetica Neue" w:hAnsi="Helvetica Neue"/>
          <w:color w:val="222222"/>
          <w:shd w:val="clear" w:color="auto" w:fill="FFFFFF"/>
        </w:rPr>
        <w:t xml:space="preserve">, 2685 (2022). </w:t>
      </w:r>
      <w:hyperlink r:id="rId7" w:history="1">
        <w:r w:rsidRPr="00D043AB">
          <w:rPr>
            <w:rStyle w:val="Hyperlink"/>
            <w:rFonts w:ascii="Helvetica Neue" w:hAnsi="Helvetica Neue"/>
            <w:shd w:val="clear" w:color="auto" w:fill="FFFFFF"/>
          </w:rPr>
          <w:t>https://doi.org/10.1038/s41598-022-06634-</w:t>
        </w:r>
        <w:r w:rsidRPr="00031E2E">
          <w:rPr>
            <w:rStyle w:val="Hyperlink"/>
            <w:rFonts w:ascii="Helvetica Neue" w:hAnsi="Helvetica Neue"/>
            <w:shd w:val="clear" w:color="auto" w:fill="FFFFFF"/>
          </w:rPr>
          <w:t>5</w:t>
        </w:r>
      </w:hyperlink>
    </w:p>
    <w:p w14:paraId="0A1DF9C6" w14:textId="0F90C41E" w:rsidR="00D043AB" w:rsidRDefault="00D043AB" w:rsidP="00D043AB"/>
    <w:p w14:paraId="2ED11851" w14:textId="17294A69" w:rsidR="00D043AB" w:rsidRDefault="00D043AB" w:rsidP="00D043AB">
      <w:pPr>
        <w:rPr>
          <w:rFonts w:ascii="Helvetica Neue" w:hAnsi="Helvetica Neue"/>
          <w:color w:val="212121"/>
          <w:shd w:val="clear" w:color="auto" w:fill="FFFFFF"/>
        </w:rPr>
      </w:pPr>
      <w:proofErr w:type="spellStart"/>
      <w:r>
        <w:rPr>
          <w:rFonts w:ascii="Helvetica Neue" w:hAnsi="Helvetica Neue"/>
          <w:color w:val="212121"/>
          <w:shd w:val="clear" w:color="auto" w:fill="FFFFFF"/>
        </w:rPr>
        <w:t>Genç</w:t>
      </w:r>
      <w:proofErr w:type="spellEnd"/>
      <w:r>
        <w:rPr>
          <w:rFonts w:ascii="Helvetica Neue" w:hAnsi="Helvetica Neue"/>
          <w:color w:val="212121"/>
          <w:shd w:val="clear" w:color="auto" w:fill="FFFFFF"/>
        </w:rPr>
        <w:t xml:space="preserve"> B, Aslan K, </w:t>
      </w:r>
      <w:proofErr w:type="spellStart"/>
      <w:r>
        <w:rPr>
          <w:rFonts w:ascii="Helvetica Neue" w:hAnsi="Helvetica Neue"/>
          <w:color w:val="212121"/>
          <w:shd w:val="clear" w:color="auto" w:fill="FFFFFF"/>
        </w:rPr>
        <w:t>Özçağlayan</w:t>
      </w:r>
      <w:proofErr w:type="spellEnd"/>
      <w:r>
        <w:rPr>
          <w:rFonts w:ascii="Helvetica Neue" w:hAnsi="Helvetica Neue"/>
          <w:color w:val="212121"/>
          <w:shd w:val="clear" w:color="auto" w:fill="FFFFFF"/>
        </w:rPr>
        <w:t xml:space="preserve"> A, </w:t>
      </w:r>
      <w:proofErr w:type="spellStart"/>
      <w:r>
        <w:rPr>
          <w:rFonts w:ascii="Helvetica Neue" w:hAnsi="Helvetica Neue"/>
          <w:color w:val="212121"/>
          <w:shd w:val="clear" w:color="auto" w:fill="FFFFFF"/>
        </w:rPr>
        <w:t>İncesu</w:t>
      </w:r>
      <w:proofErr w:type="spellEnd"/>
      <w:r>
        <w:rPr>
          <w:rFonts w:ascii="Helvetica Neue" w:hAnsi="Helvetica Neue"/>
          <w:color w:val="212121"/>
          <w:shd w:val="clear" w:color="auto" w:fill="FFFFFF"/>
        </w:rPr>
        <w:t xml:space="preserve"> L. Microstructural Abnormalities in the Contralateral Normal-appearing White Matter of Glioblastoma Patients Evaluated with Advanced Diffusion Imaging. </w:t>
      </w:r>
      <w:proofErr w:type="spellStart"/>
      <w:r>
        <w:rPr>
          <w:rFonts w:ascii="Helvetica Neue" w:hAnsi="Helvetica Neue"/>
          <w:color w:val="212121"/>
          <w:shd w:val="clear" w:color="auto" w:fill="FFFFFF"/>
        </w:rPr>
        <w:t>Magn</w:t>
      </w:r>
      <w:proofErr w:type="spellEnd"/>
      <w:r>
        <w:rPr>
          <w:rFonts w:ascii="Helvetica Neue" w:hAnsi="Helvetica Neue"/>
          <w:color w:val="212121"/>
          <w:shd w:val="clear" w:color="auto" w:fill="FFFFFF"/>
        </w:rPr>
        <w:t xml:space="preserve"> </w:t>
      </w:r>
      <w:proofErr w:type="spellStart"/>
      <w:r>
        <w:rPr>
          <w:rFonts w:ascii="Helvetica Neue" w:hAnsi="Helvetica Neue"/>
          <w:color w:val="212121"/>
          <w:shd w:val="clear" w:color="auto" w:fill="FFFFFF"/>
        </w:rPr>
        <w:t>Reson</w:t>
      </w:r>
      <w:proofErr w:type="spellEnd"/>
      <w:r>
        <w:rPr>
          <w:rFonts w:ascii="Helvetica Neue" w:hAnsi="Helvetica Neue"/>
          <w:color w:val="212121"/>
          <w:shd w:val="clear" w:color="auto" w:fill="FFFFFF"/>
        </w:rPr>
        <w:t xml:space="preserve"> Med Sci. 2024 Oct 1;23(4):479-486.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xml:space="preserve">: 10.2463/mrms.mp.2023-0054. </w:t>
      </w:r>
      <w:proofErr w:type="spellStart"/>
      <w:r>
        <w:rPr>
          <w:rFonts w:ascii="Helvetica Neue" w:hAnsi="Helvetica Neue"/>
          <w:color w:val="212121"/>
          <w:shd w:val="clear" w:color="auto" w:fill="FFFFFF"/>
        </w:rPr>
        <w:t>Epub</w:t>
      </w:r>
      <w:proofErr w:type="spellEnd"/>
      <w:r>
        <w:rPr>
          <w:rFonts w:ascii="Helvetica Neue" w:hAnsi="Helvetica Neue"/>
          <w:color w:val="212121"/>
          <w:shd w:val="clear" w:color="auto" w:fill="FFFFFF"/>
        </w:rPr>
        <w:t xml:space="preserve"> 2023 Aug 1. PMID: 37532585; PMCID: PMC11447469.</w:t>
      </w:r>
    </w:p>
    <w:p w14:paraId="26186E9F" w14:textId="12588063" w:rsidR="00D043AB" w:rsidRDefault="00D043AB" w:rsidP="00D043AB"/>
    <w:p w14:paraId="111C0381" w14:textId="7D1CCA30" w:rsidR="00D043AB" w:rsidRDefault="00D043AB" w:rsidP="00D043AB">
      <w:pPr>
        <w:rPr>
          <w:rFonts w:ascii="Helvetica Neue" w:hAnsi="Helvetica Neue"/>
          <w:color w:val="212121"/>
          <w:shd w:val="clear" w:color="auto" w:fill="FFFFFF"/>
        </w:rPr>
      </w:pPr>
      <w:r>
        <w:rPr>
          <w:rFonts w:ascii="Helvetica Neue" w:hAnsi="Helvetica Neue"/>
          <w:color w:val="212121"/>
          <w:shd w:val="clear" w:color="auto" w:fill="FFFFFF"/>
        </w:rPr>
        <w:t xml:space="preserve">Wang X, Zhou C, Wang L, Wang Y, Jiang T. Motor cortex gliomas induces microstructural changes of large </w:t>
      </w:r>
      <w:proofErr w:type="spellStart"/>
      <w:r>
        <w:rPr>
          <w:rFonts w:ascii="Helvetica Neue" w:hAnsi="Helvetica Neue"/>
          <w:color w:val="212121"/>
          <w:shd w:val="clear" w:color="auto" w:fill="FFFFFF"/>
        </w:rPr>
        <w:t>fiber</w:t>
      </w:r>
      <w:proofErr w:type="spellEnd"/>
      <w:r>
        <w:rPr>
          <w:rFonts w:ascii="Helvetica Neue" w:hAnsi="Helvetica Neue"/>
          <w:color w:val="212121"/>
          <w:shd w:val="clear" w:color="auto" w:fill="FFFFFF"/>
        </w:rPr>
        <w:t xml:space="preserve"> tracts revealed by TBSS. Sci Rep. 2020 Oct 9;10(1):16900.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10.1038/s41598-020-73746-1. PMID: 33037275; PMCID: PMC7547011.</w:t>
      </w:r>
    </w:p>
    <w:p w14:paraId="54857F1C" w14:textId="206A2FC3" w:rsidR="00647183" w:rsidRDefault="00647183" w:rsidP="00D043AB"/>
    <w:p w14:paraId="24B71678" w14:textId="78736AB1" w:rsidR="00647183" w:rsidRDefault="00647183" w:rsidP="00D043AB">
      <w:r>
        <w:rPr>
          <w:rFonts w:ascii="Helvetica Neue" w:hAnsi="Helvetica Neue"/>
          <w:color w:val="212121"/>
          <w:shd w:val="clear" w:color="auto" w:fill="FFFFFF"/>
        </w:rPr>
        <w:t xml:space="preserve">Moser I, Engelhardt M, </w:t>
      </w:r>
      <w:proofErr w:type="spellStart"/>
      <w:r>
        <w:rPr>
          <w:rFonts w:ascii="Helvetica Neue" w:hAnsi="Helvetica Neue"/>
          <w:color w:val="212121"/>
          <w:shd w:val="clear" w:color="auto" w:fill="FFFFFF"/>
        </w:rPr>
        <w:t>Grittner</w:t>
      </w:r>
      <w:proofErr w:type="spellEnd"/>
      <w:r>
        <w:rPr>
          <w:rFonts w:ascii="Helvetica Neue" w:hAnsi="Helvetica Neue"/>
          <w:color w:val="212121"/>
          <w:shd w:val="clear" w:color="auto" w:fill="FFFFFF"/>
        </w:rPr>
        <w:t xml:space="preserve"> U, Ferreira FMSR, </w:t>
      </w:r>
      <w:proofErr w:type="spellStart"/>
      <w:r>
        <w:rPr>
          <w:rFonts w:ascii="Helvetica Neue" w:hAnsi="Helvetica Neue"/>
          <w:color w:val="212121"/>
          <w:shd w:val="clear" w:color="auto" w:fill="FFFFFF"/>
        </w:rPr>
        <w:t>Denker</w:t>
      </w:r>
      <w:proofErr w:type="spellEnd"/>
      <w:r>
        <w:rPr>
          <w:rFonts w:ascii="Helvetica Neue" w:hAnsi="Helvetica Neue"/>
          <w:color w:val="212121"/>
          <w:shd w:val="clear" w:color="auto" w:fill="FFFFFF"/>
        </w:rPr>
        <w:t xml:space="preserve"> M, </w:t>
      </w:r>
      <w:proofErr w:type="spellStart"/>
      <w:r>
        <w:rPr>
          <w:rFonts w:ascii="Helvetica Neue" w:hAnsi="Helvetica Neue"/>
          <w:color w:val="212121"/>
          <w:shd w:val="clear" w:color="auto" w:fill="FFFFFF"/>
        </w:rPr>
        <w:t>Reinsch</w:t>
      </w:r>
      <w:proofErr w:type="spellEnd"/>
      <w:r>
        <w:rPr>
          <w:rFonts w:ascii="Helvetica Neue" w:hAnsi="Helvetica Neue"/>
          <w:color w:val="212121"/>
          <w:shd w:val="clear" w:color="auto" w:fill="FFFFFF"/>
        </w:rPr>
        <w:t xml:space="preserve"> J, Fischer L, Link T, Heppner FL, Capper D, </w:t>
      </w:r>
      <w:proofErr w:type="spellStart"/>
      <w:r>
        <w:rPr>
          <w:rFonts w:ascii="Helvetica Neue" w:hAnsi="Helvetica Neue"/>
          <w:color w:val="212121"/>
          <w:shd w:val="clear" w:color="auto" w:fill="FFFFFF"/>
        </w:rPr>
        <w:t>Vajkoczy</w:t>
      </w:r>
      <w:proofErr w:type="spellEnd"/>
      <w:r>
        <w:rPr>
          <w:rFonts w:ascii="Helvetica Neue" w:hAnsi="Helvetica Neue"/>
          <w:color w:val="212121"/>
          <w:shd w:val="clear" w:color="auto" w:fill="FFFFFF"/>
        </w:rPr>
        <w:t xml:space="preserve"> P, </w:t>
      </w:r>
      <w:proofErr w:type="spellStart"/>
      <w:r>
        <w:rPr>
          <w:rFonts w:ascii="Helvetica Neue" w:hAnsi="Helvetica Neue"/>
          <w:color w:val="212121"/>
          <w:shd w:val="clear" w:color="auto" w:fill="FFFFFF"/>
        </w:rPr>
        <w:t>Picht</w:t>
      </w:r>
      <w:proofErr w:type="spellEnd"/>
      <w:r>
        <w:rPr>
          <w:rFonts w:ascii="Helvetica Neue" w:hAnsi="Helvetica Neue"/>
          <w:color w:val="212121"/>
          <w:shd w:val="clear" w:color="auto" w:fill="FFFFFF"/>
        </w:rPr>
        <w:t xml:space="preserve"> T, Rosenstock T. Analysis of Neuronal Excitability Profiles for Motor-Eloquent Brain </w:t>
      </w:r>
      <w:proofErr w:type="spellStart"/>
      <w:r>
        <w:rPr>
          <w:rFonts w:ascii="Helvetica Neue" w:hAnsi="Helvetica Neue"/>
          <w:color w:val="212121"/>
          <w:shd w:val="clear" w:color="auto" w:fill="FFFFFF"/>
        </w:rPr>
        <w:t>Tumor</w:t>
      </w:r>
      <w:proofErr w:type="spellEnd"/>
      <w:r>
        <w:rPr>
          <w:rFonts w:ascii="Helvetica Neue" w:hAnsi="Helvetica Neue"/>
          <w:color w:val="212121"/>
          <w:shd w:val="clear" w:color="auto" w:fill="FFFFFF"/>
        </w:rPr>
        <w:t xml:space="preserve"> Entities Using </w:t>
      </w:r>
      <w:proofErr w:type="spellStart"/>
      <w:r>
        <w:rPr>
          <w:rFonts w:ascii="Helvetica Neue" w:hAnsi="Helvetica Neue"/>
          <w:color w:val="212121"/>
          <w:shd w:val="clear" w:color="auto" w:fill="FFFFFF"/>
        </w:rPr>
        <w:t>nTMS</w:t>
      </w:r>
      <w:proofErr w:type="spellEnd"/>
      <w:r>
        <w:rPr>
          <w:rFonts w:ascii="Helvetica Neue" w:hAnsi="Helvetica Neue"/>
          <w:color w:val="212121"/>
          <w:shd w:val="clear" w:color="auto" w:fill="FFFFFF"/>
        </w:rPr>
        <w:t xml:space="preserve"> in 800 Patients. Cancers (Basel). 2025 Mar 10;17(6):935.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10.3390/cancers17060935. PMID: 40149270; PMCID: PMC11940777.</w:t>
      </w:r>
    </w:p>
    <w:p w14:paraId="2EB5D570" w14:textId="10C9F72B" w:rsidR="00647183" w:rsidRDefault="00647183" w:rsidP="00D043AB"/>
    <w:p w14:paraId="4F1FC7AF" w14:textId="77777777" w:rsidR="00647183" w:rsidRDefault="00647183" w:rsidP="00647183">
      <w:r>
        <w:rPr>
          <w:rFonts w:ascii="Helvetica Neue" w:hAnsi="Helvetica Neue"/>
          <w:color w:val="212121"/>
          <w:shd w:val="clear" w:color="auto" w:fill="FFFFFF"/>
        </w:rPr>
        <w:t xml:space="preserve">Rosenstock T, </w:t>
      </w:r>
      <w:proofErr w:type="spellStart"/>
      <w:r>
        <w:rPr>
          <w:rFonts w:ascii="Helvetica Neue" w:hAnsi="Helvetica Neue"/>
          <w:color w:val="212121"/>
          <w:shd w:val="clear" w:color="auto" w:fill="FFFFFF"/>
        </w:rPr>
        <w:t>Häni</w:t>
      </w:r>
      <w:proofErr w:type="spellEnd"/>
      <w:r>
        <w:rPr>
          <w:rFonts w:ascii="Helvetica Neue" w:hAnsi="Helvetica Neue"/>
          <w:color w:val="212121"/>
          <w:shd w:val="clear" w:color="auto" w:fill="FFFFFF"/>
        </w:rPr>
        <w:t xml:space="preserve"> L, </w:t>
      </w:r>
      <w:proofErr w:type="spellStart"/>
      <w:r>
        <w:rPr>
          <w:rFonts w:ascii="Helvetica Neue" w:hAnsi="Helvetica Neue"/>
          <w:color w:val="212121"/>
          <w:shd w:val="clear" w:color="auto" w:fill="FFFFFF"/>
        </w:rPr>
        <w:t>Grittner</w:t>
      </w:r>
      <w:proofErr w:type="spellEnd"/>
      <w:r>
        <w:rPr>
          <w:rFonts w:ascii="Helvetica Neue" w:hAnsi="Helvetica Neue"/>
          <w:color w:val="212121"/>
          <w:shd w:val="clear" w:color="auto" w:fill="FFFFFF"/>
        </w:rPr>
        <w:t xml:space="preserve"> U, </w:t>
      </w:r>
      <w:proofErr w:type="spellStart"/>
      <w:r>
        <w:rPr>
          <w:rFonts w:ascii="Helvetica Neue" w:hAnsi="Helvetica Neue"/>
          <w:color w:val="212121"/>
          <w:shd w:val="clear" w:color="auto" w:fill="FFFFFF"/>
        </w:rPr>
        <w:t>Schlinkmann</w:t>
      </w:r>
      <w:proofErr w:type="spellEnd"/>
      <w:r>
        <w:rPr>
          <w:rFonts w:ascii="Helvetica Neue" w:hAnsi="Helvetica Neue"/>
          <w:color w:val="212121"/>
          <w:shd w:val="clear" w:color="auto" w:fill="FFFFFF"/>
        </w:rPr>
        <w:t xml:space="preserve"> N, </w:t>
      </w:r>
      <w:proofErr w:type="spellStart"/>
      <w:r>
        <w:rPr>
          <w:rFonts w:ascii="Helvetica Neue" w:hAnsi="Helvetica Neue"/>
          <w:color w:val="212121"/>
          <w:shd w:val="clear" w:color="auto" w:fill="FFFFFF"/>
        </w:rPr>
        <w:t>Ivren</w:t>
      </w:r>
      <w:proofErr w:type="spellEnd"/>
      <w:r>
        <w:rPr>
          <w:rFonts w:ascii="Helvetica Neue" w:hAnsi="Helvetica Neue"/>
          <w:color w:val="212121"/>
          <w:shd w:val="clear" w:color="auto" w:fill="FFFFFF"/>
        </w:rPr>
        <w:t xml:space="preserve"> M, Schneider H, Raabe A, </w:t>
      </w:r>
      <w:proofErr w:type="spellStart"/>
      <w:r>
        <w:rPr>
          <w:rFonts w:ascii="Helvetica Neue" w:hAnsi="Helvetica Neue"/>
          <w:color w:val="212121"/>
          <w:shd w:val="clear" w:color="auto" w:fill="FFFFFF"/>
        </w:rPr>
        <w:t>Vajkoczy</w:t>
      </w:r>
      <w:proofErr w:type="spellEnd"/>
      <w:r>
        <w:rPr>
          <w:rFonts w:ascii="Helvetica Neue" w:hAnsi="Helvetica Neue"/>
          <w:color w:val="212121"/>
          <w:shd w:val="clear" w:color="auto" w:fill="FFFFFF"/>
        </w:rPr>
        <w:t xml:space="preserve"> P, Seidel K, </w:t>
      </w:r>
      <w:proofErr w:type="spellStart"/>
      <w:r>
        <w:rPr>
          <w:rFonts w:ascii="Helvetica Neue" w:hAnsi="Helvetica Neue"/>
          <w:color w:val="212121"/>
          <w:shd w:val="clear" w:color="auto" w:fill="FFFFFF"/>
        </w:rPr>
        <w:t>Picht</w:t>
      </w:r>
      <w:proofErr w:type="spellEnd"/>
      <w:r>
        <w:rPr>
          <w:rFonts w:ascii="Helvetica Neue" w:hAnsi="Helvetica Neue"/>
          <w:color w:val="212121"/>
          <w:shd w:val="clear" w:color="auto" w:fill="FFFFFF"/>
        </w:rPr>
        <w:t xml:space="preserve"> T. Bicentric validation of the navigated transcranial magnetic stimulation motor risk stratification model. J </w:t>
      </w:r>
      <w:proofErr w:type="spellStart"/>
      <w:r>
        <w:rPr>
          <w:rFonts w:ascii="Helvetica Neue" w:hAnsi="Helvetica Neue"/>
          <w:color w:val="212121"/>
          <w:shd w:val="clear" w:color="auto" w:fill="FFFFFF"/>
        </w:rPr>
        <w:t>Neurosurg</w:t>
      </w:r>
      <w:proofErr w:type="spellEnd"/>
      <w:r>
        <w:rPr>
          <w:rFonts w:ascii="Helvetica Neue" w:hAnsi="Helvetica Neue"/>
          <w:color w:val="212121"/>
          <w:shd w:val="clear" w:color="auto" w:fill="FFFFFF"/>
        </w:rPr>
        <w:t xml:space="preserve">. 2021 Sep 17;136(4):1194-1206. </w:t>
      </w:r>
      <w:proofErr w:type="spellStart"/>
      <w:r>
        <w:rPr>
          <w:rFonts w:ascii="Helvetica Neue" w:hAnsi="Helvetica Neue"/>
          <w:color w:val="212121"/>
          <w:shd w:val="clear" w:color="auto" w:fill="FFFFFF"/>
        </w:rPr>
        <w:t>doi</w:t>
      </w:r>
      <w:proofErr w:type="spellEnd"/>
      <w:r>
        <w:rPr>
          <w:rFonts w:ascii="Helvetica Neue" w:hAnsi="Helvetica Neue"/>
          <w:color w:val="212121"/>
          <w:shd w:val="clear" w:color="auto" w:fill="FFFFFF"/>
        </w:rPr>
        <w:t>: 10.3171/2021.3.JNS2138. PMID: 34534966.</w:t>
      </w:r>
    </w:p>
    <w:p w14:paraId="2F1BD90E" w14:textId="77777777" w:rsidR="00647183" w:rsidRDefault="00647183" w:rsidP="00D043AB"/>
    <w:p w14:paraId="68421966" w14:textId="77777777" w:rsidR="00D043AB" w:rsidRDefault="00D043AB" w:rsidP="00D043AB"/>
    <w:p w14:paraId="3FC05B6F" w14:textId="77777777" w:rsidR="00D043AB" w:rsidRPr="00D043AB" w:rsidRDefault="00D043AB" w:rsidP="00D043AB"/>
    <w:p w14:paraId="6D19E322" w14:textId="77777777" w:rsidR="00D043AB" w:rsidRDefault="00D043AB"/>
    <w:sectPr w:rsidR="00D043A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Vergani, Francesco" w:date="2025-08-28T17:26:00Z" w:initials="VF">
    <w:p w14:paraId="4D35BC67" w14:textId="6D1D660A" w:rsidR="00F4098A" w:rsidRDefault="00F4098A" w:rsidP="00F4098A">
      <w:pPr>
        <w:pStyle w:val="CommentText"/>
      </w:pPr>
      <w:r>
        <w:rPr>
          <w:rStyle w:val="CommentReference"/>
        </w:rPr>
        <w:annotationRef/>
      </w:r>
      <w:bookmarkStart w:id="1" w:name="_GoBack"/>
      <w:bookmarkEnd w:id="1"/>
      <w:r>
        <w:t>In the figure, you indicate that “lower IMES indicates impaired motor pathway integrity”…</w:t>
      </w:r>
    </w:p>
    <w:p w14:paraId="178AF04A" w14:textId="77777777" w:rsidR="00F4098A" w:rsidRDefault="00F4098A" w:rsidP="00F4098A">
      <w:pPr>
        <w:pStyle w:val="CommentText"/>
      </w:pPr>
      <w:r>
        <w:t xml:space="preserve">But there is no evidence to support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8AF0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7112E0" w16cex:dateUtc="2025-08-28T12:46:00Z"/>
  <w16cex:commentExtensible w16cex:durableId="08103D8F" w16cex:dateUtc="2025-08-28T12:47:00Z"/>
  <w16cex:commentExtensible w16cex:durableId="7FE38475" w16cex:dateUtc="2025-08-28T12:50:00Z"/>
  <w16cex:commentExtensible w16cex:durableId="3B7E7B7C" w16cex:dateUtc="2025-08-28T13:20:00Z"/>
  <w16cex:commentExtensible w16cex:durableId="34356F4C" w16cex:dateUtc="2025-08-28T13:55:00Z"/>
  <w16cex:commentExtensible w16cex:durableId="480BF826" w16cex:dateUtc="2025-08-28T13:13:00Z"/>
  <w16cex:commentExtensible w16cex:durableId="0CDC344D" w16cex:dateUtc="2025-08-28T13:17:00Z"/>
  <w16cex:commentExtensible w16cex:durableId="6344BFA7" w16cex:dateUtc="2025-08-28T14:00:00Z"/>
  <w16cex:commentExtensible w16cex:durableId="5F490021" w16cex:dateUtc="2025-08-28T14:00:00Z"/>
  <w16cex:commentExtensible w16cex:durableId="7480FDF7" w16cex:dateUtc="2025-08-28T14:03:00Z"/>
  <w16cex:commentExtensible w16cex:durableId="2A8C5F5D" w16cex:dateUtc="2025-08-28T16:28:00Z"/>
  <w16cex:commentExtensible w16cex:durableId="05D0B992" w16cex:dateUtc="2025-08-28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8AF04A" w16cid:durableId="05D0B9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panose1 w:val="020B0604020202020204"/>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Aptos Display">
    <w:altName w:val="Calibri"/>
    <w:panose1 w:val="020B0604020202020204"/>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ergani, Francesco">
    <w15:presenceInfo w15:providerId="AD" w15:userId="S-1-5-21-72706444-2046184769-1246845465-886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B3"/>
    <w:rsid w:val="00010F30"/>
    <w:rsid w:val="00091B7E"/>
    <w:rsid w:val="0018134B"/>
    <w:rsid w:val="00214952"/>
    <w:rsid w:val="002473B3"/>
    <w:rsid w:val="00361E68"/>
    <w:rsid w:val="00377FAE"/>
    <w:rsid w:val="003B10A8"/>
    <w:rsid w:val="004E16DB"/>
    <w:rsid w:val="005022C6"/>
    <w:rsid w:val="00647183"/>
    <w:rsid w:val="006A0ADD"/>
    <w:rsid w:val="00773806"/>
    <w:rsid w:val="007B4637"/>
    <w:rsid w:val="00877079"/>
    <w:rsid w:val="00881F63"/>
    <w:rsid w:val="00BC67D4"/>
    <w:rsid w:val="00C8057D"/>
    <w:rsid w:val="00CB2A89"/>
    <w:rsid w:val="00D043AB"/>
    <w:rsid w:val="00E524FC"/>
    <w:rsid w:val="00F409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FAE1"/>
  <w15:chartTrackingRefBased/>
  <w15:docId w15:val="{2820777B-B34B-45BF-8AFB-A25052BB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718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73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473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47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B3"/>
    <w:rPr>
      <w:rFonts w:eastAsiaTheme="majorEastAsia" w:cstheme="majorBidi"/>
      <w:color w:val="272727" w:themeColor="text1" w:themeTint="D8"/>
    </w:rPr>
  </w:style>
  <w:style w:type="paragraph" w:styleId="Title">
    <w:name w:val="Title"/>
    <w:basedOn w:val="Normal"/>
    <w:next w:val="Normal"/>
    <w:link w:val="TitleChar"/>
    <w:uiPriority w:val="10"/>
    <w:qFormat/>
    <w:rsid w:val="002473B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4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B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73B3"/>
    <w:rPr>
      <w:i/>
      <w:iCs/>
      <w:color w:val="404040" w:themeColor="text1" w:themeTint="BF"/>
    </w:rPr>
  </w:style>
  <w:style w:type="paragraph" w:styleId="ListParagraph">
    <w:name w:val="List Paragraph"/>
    <w:basedOn w:val="Normal"/>
    <w:uiPriority w:val="34"/>
    <w:qFormat/>
    <w:rsid w:val="002473B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473B3"/>
    <w:rPr>
      <w:i/>
      <w:iCs/>
      <w:color w:val="0F4761" w:themeColor="accent1" w:themeShade="BF"/>
    </w:rPr>
  </w:style>
  <w:style w:type="paragraph" w:styleId="IntenseQuote">
    <w:name w:val="Intense Quote"/>
    <w:basedOn w:val="Normal"/>
    <w:next w:val="Normal"/>
    <w:link w:val="IntenseQuoteChar"/>
    <w:uiPriority w:val="30"/>
    <w:qFormat/>
    <w:rsid w:val="002473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73B3"/>
    <w:rPr>
      <w:i/>
      <w:iCs/>
      <w:color w:val="0F4761" w:themeColor="accent1" w:themeShade="BF"/>
    </w:rPr>
  </w:style>
  <w:style w:type="character" w:styleId="IntenseReference">
    <w:name w:val="Intense Reference"/>
    <w:basedOn w:val="DefaultParagraphFont"/>
    <w:uiPriority w:val="32"/>
    <w:qFormat/>
    <w:rsid w:val="002473B3"/>
    <w:rPr>
      <w:b/>
      <w:bCs/>
      <w:smallCaps/>
      <w:color w:val="0F4761" w:themeColor="accent1" w:themeShade="BF"/>
      <w:spacing w:val="5"/>
    </w:rPr>
  </w:style>
  <w:style w:type="paragraph" w:styleId="Revision">
    <w:name w:val="Revision"/>
    <w:hidden/>
    <w:uiPriority w:val="99"/>
    <w:semiHidden/>
    <w:rsid w:val="002473B3"/>
    <w:pPr>
      <w:spacing w:after="0" w:line="240" w:lineRule="auto"/>
    </w:pPr>
  </w:style>
  <w:style w:type="character" w:styleId="CommentReference">
    <w:name w:val="annotation reference"/>
    <w:basedOn w:val="DefaultParagraphFont"/>
    <w:uiPriority w:val="99"/>
    <w:semiHidden/>
    <w:unhideWhenUsed/>
    <w:rsid w:val="00361E68"/>
    <w:rPr>
      <w:sz w:val="16"/>
      <w:szCs w:val="16"/>
    </w:rPr>
  </w:style>
  <w:style w:type="paragraph" w:styleId="CommentText">
    <w:name w:val="annotation text"/>
    <w:basedOn w:val="Normal"/>
    <w:link w:val="CommentTextChar"/>
    <w:uiPriority w:val="99"/>
    <w:unhideWhenUsed/>
    <w:rsid w:val="00361E68"/>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361E68"/>
    <w:rPr>
      <w:sz w:val="20"/>
      <w:szCs w:val="20"/>
    </w:rPr>
  </w:style>
  <w:style w:type="paragraph" w:styleId="CommentSubject">
    <w:name w:val="annotation subject"/>
    <w:basedOn w:val="CommentText"/>
    <w:next w:val="CommentText"/>
    <w:link w:val="CommentSubjectChar"/>
    <w:uiPriority w:val="99"/>
    <w:semiHidden/>
    <w:unhideWhenUsed/>
    <w:rsid w:val="00361E68"/>
    <w:rPr>
      <w:b/>
      <w:bCs/>
    </w:rPr>
  </w:style>
  <w:style w:type="character" w:customStyle="1" w:styleId="CommentSubjectChar">
    <w:name w:val="Comment Subject Char"/>
    <w:basedOn w:val="CommentTextChar"/>
    <w:link w:val="CommentSubject"/>
    <w:uiPriority w:val="99"/>
    <w:semiHidden/>
    <w:rsid w:val="00361E68"/>
    <w:rPr>
      <w:b/>
      <w:bCs/>
      <w:sz w:val="20"/>
      <w:szCs w:val="20"/>
    </w:rPr>
  </w:style>
  <w:style w:type="paragraph" w:styleId="BalloonText">
    <w:name w:val="Balloon Text"/>
    <w:basedOn w:val="Normal"/>
    <w:link w:val="BalloonTextChar"/>
    <w:uiPriority w:val="99"/>
    <w:semiHidden/>
    <w:unhideWhenUsed/>
    <w:rsid w:val="00D043AB"/>
    <w:rPr>
      <w:rFonts w:eastAsiaTheme="minorHAnsi"/>
      <w:kern w:val="2"/>
      <w:sz w:val="18"/>
      <w:szCs w:val="18"/>
      <w14:ligatures w14:val="standardContextual"/>
    </w:rPr>
  </w:style>
  <w:style w:type="character" w:customStyle="1" w:styleId="BalloonTextChar">
    <w:name w:val="Balloon Text Char"/>
    <w:basedOn w:val="DefaultParagraphFont"/>
    <w:link w:val="BalloonText"/>
    <w:uiPriority w:val="99"/>
    <w:semiHidden/>
    <w:rsid w:val="00D043AB"/>
    <w:rPr>
      <w:rFonts w:ascii="Times New Roman" w:hAnsi="Times New Roman" w:cs="Times New Roman"/>
      <w:sz w:val="18"/>
      <w:szCs w:val="18"/>
    </w:rPr>
  </w:style>
  <w:style w:type="character" w:styleId="Hyperlink">
    <w:name w:val="Hyperlink"/>
    <w:basedOn w:val="DefaultParagraphFont"/>
    <w:uiPriority w:val="99"/>
    <w:unhideWhenUsed/>
    <w:rsid w:val="00D043AB"/>
    <w:rPr>
      <w:color w:val="467886" w:themeColor="hyperlink"/>
      <w:u w:val="single"/>
    </w:rPr>
  </w:style>
  <w:style w:type="character" w:styleId="UnresolvedMention">
    <w:name w:val="Unresolved Mention"/>
    <w:basedOn w:val="DefaultParagraphFont"/>
    <w:uiPriority w:val="99"/>
    <w:semiHidden/>
    <w:unhideWhenUsed/>
    <w:rsid w:val="00D04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861119">
      <w:bodyDiv w:val="1"/>
      <w:marLeft w:val="0"/>
      <w:marRight w:val="0"/>
      <w:marTop w:val="0"/>
      <w:marBottom w:val="0"/>
      <w:divBdr>
        <w:top w:val="none" w:sz="0" w:space="0" w:color="auto"/>
        <w:left w:val="none" w:sz="0" w:space="0" w:color="auto"/>
        <w:bottom w:val="none" w:sz="0" w:space="0" w:color="auto"/>
        <w:right w:val="none" w:sz="0" w:space="0" w:color="auto"/>
      </w:divBdr>
    </w:div>
    <w:div w:id="862012881">
      <w:bodyDiv w:val="1"/>
      <w:marLeft w:val="0"/>
      <w:marRight w:val="0"/>
      <w:marTop w:val="0"/>
      <w:marBottom w:val="0"/>
      <w:divBdr>
        <w:top w:val="none" w:sz="0" w:space="0" w:color="auto"/>
        <w:left w:val="none" w:sz="0" w:space="0" w:color="auto"/>
        <w:bottom w:val="none" w:sz="0" w:space="0" w:color="auto"/>
        <w:right w:val="none" w:sz="0" w:space="0" w:color="auto"/>
      </w:divBdr>
    </w:div>
    <w:div w:id="1008100664">
      <w:bodyDiv w:val="1"/>
      <w:marLeft w:val="0"/>
      <w:marRight w:val="0"/>
      <w:marTop w:val="0"/>
      <w:marBottom w:val="0"/>
      <w:divBdr>
        <w:top w:val="none" w:sz="0" w:space="0" w:color="auto"/>
        <w:left w:val="none" w:sz="0" w:space="0" w:color="auto"/>
        <w:bottom w:val="none" w:sz="0" w:space="0" w:color="auto"/>
        <w:right w:val="none" w:sz="0" w:space="0" w:color="auto"/>
      </w:divBdr>
    </w:div>
    <w:div w:id="1232622206">
      <w:bodyDiv w:val="1"/>
      <w:marLeft w:val="0"/>
      <w:marRight w:val="0"/>
      <w:marTop w:val="0"/>
      <w:marBottom w:val="0"/>
      <w:divBdr>
        <w:top w:val="none" w:sz="0" w:space="0" w:color="auto"/>
        <w:left w:val="none" w:sz="0" w:space="0" w:color="auto"/>
        <w:bottom w:val="none" w:sz="0" w:space="0" w:color="auto"/>
        <w:right w:val="none" w:sz="0" w:space="0" w:color="auto"/>
      </w:divBdr>
    </w:div>
    <w:div w:id="168632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38/s41598-022-06634-5" TargetMode="Externa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8/08/relationships/commentsExtensible" Target="commentsExtensible.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King's College Hospital NHS Foundation Trust</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Vergani, Francesco</dc:creator>
  <cp:keywords/>
  <dc:description/>
  <cp:lastModifiedBy>LAVRADOR, Jose Pedro (KING'S COLLEGE HOSPITAL NHS FOUNDATION TRUST)</cp:lastModifiedBy>
  <cp:revision>5</cp:revision>
  <dcterms:created xsi:type="dcterms:W3CDTF">2025-09-01T15:13:00Z</dcterms:created>
  <dcterms:modified xsi:type="dcterms:W3CDTF">2025-09-01T16:23:00Z</dcterms:modified>
</cp:coreProperties>
</file>