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9B36" w14:textId="77777777" w:rsidR="00241F58" w:rsidRDefault="00000000">
      <w:pPr>
        <w:pStyle w:val="Title"/>
        <w:jc w:val="center"/>
      </w:pPr>
      <w:r>
        <w:t>nTMS-Based GBM Survival Prediction Calculator</w:t>
      </w:r>
    </w:p>
    <w:p w14:paraId="04552E8D" w14:textId="77777777" w:rsidR="00241F58" w:rsidRDefault="00000000">
      <w:pPr>
        <w:jc w:val="center"/>
      </w:pPr>
      <w:r>
        <w:rPr>
          <w:color w:val="667EEA"/>
          <w:sz w:val="28"/>
        </w:rPr>
        <w:t>Technical Documentation and Statistical Analysis</w:t>
      </w:r>
    </w:p>
    <w:p w14:paraId="52E79915" w14:textId="77777777" w:rsidR="00241F58" w:rsidRDefault="00241F58"/>
    <w:p w14:paraId="07D3F008" w14:textId="77777777" w:rsidR="00241F58" w:rsidRDefault="00000000">
      <w:r>
        <w:t>Two models are provided to accommodate different clinical scenarios:</w:t>
      </w:r>
    </w:p>
    <w:p w14:paraId="68AC16AE" w14:textId="77777777" w:rsidR="00241F58" w:rsidRDefault="00000000">
      <w:r>
        <w:rPr>
          <w:b/>
        </w:rPr>
        <w:t xml:space="preserve">• Bilateral Model (n=46): </w:t>
      </w:r>
      <w:r>
        <w:t>For patients with both hemispheres mapped, using CES and IMES metrics</w:t>
      </w:r>
      <w:r>
        <w:br/>
      </w:r>
      <w:r>
        <w:rPr>
          <w:b/>
        </w:rPr>
        <w:t xml:space="preserve">• Unilateral Model (n=50): </w:t>
      </w:r>
      <w:r>
        <w:t>For patients with tumor hemisphere mapping only, using IntraM1 Tumor Ratio</w:t>
      </w:r>
    </w:p>
    <w:p w14:paraId="2CEEFEC2" w14:textId="77777777" w:rsidR="00241F58" w:rsidRDefault="00000000">
      <w:pPr>
        <w:pStyle w:val="Heading1"/>
      </w:pPr>
      <w:r>
        <w:t>1. Study Population</w:t>
      </w:r>
    </w:p>
    <w:p w14:paraId="67B02161" w14:textId="77777777" w:rsidR="00241F58" w:rsidRDefault="00000000">
      <w:r>
        <w:t>The analysis was conducted on 77 patients with WHO Grade 4 Glioblastoma who underwent preoperative nTMS motor mapping at King's College Hospital.</w:t>
      </w:r>
    </w:p>
    <w:p w14:paraId="6AFD7C53" w14:textId="77777777" w:rsidR="00241F58" w:rsidRDefault="00000000">
      <w:pPr>
        <w:pStyle w:val="Heading2"/>
      </w:pPr>
      <w:r>
        <w:t>Table 1: Patient Demographics and Clinical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1F58" w14:paraId="087B5F08" w14:textId="77777777">
        <w:tc>
          <w:tcPr>
            <w:tcW w:w="2880" w:type="dxa"/>
          </w:tcPr>
          <w:p w14:paraId="1997602F" w14:textId="77777777" w:rsidR="00241F58" w:rsidRDefault="00000000">
            <w:r>
              <w:t>Variable</w:t>
            </w:r>
          </w:p>
        </w:tc>
        <w:tc>
          <w:tcPr>
            <w:tcW w:w="2880" w:type="dxa"/>
          </w:tcPr>
          <w:p w14:paraId="5F51B16E" w14:textId="77777777" w:rsidR="00241F58" w:rsidRDefault="00000000">
            <w:r>
              <w:t>Value</w:t>
            </w:r>
          </w:p>
        </w:tc>
        <w:tc>
          <w:tcPr>
            <w:tcW w:w="2880" w:type="dxa"/>
          </w:tcPr>
          <w:p w14:paraId="5C10B84E" w14:textId="77777777" w:rsidR="00241F58" w:rsidRDefault="00000000">
            <w:r>
              <w:t>Range/Percentage</w:t>
            </w:r>
          </w:p>
        </w:tc>
      </w:tr>
      <w:tr w:rsidR="00241F58" w14:paraId="2F4F1ACF" w14:textId="77777777">
        <w:tc>
          <w:tcPr>
            <w:tcW w:w="2880" w:type="dxa"/>
          </w:tcPr>
          <w:p w14:paraId="7FF96F73" w14:textId="77777777" w:rsidR="00241F58" w:rsidRDefault="00000000">
            <w:r>
              <w:t>Sample Size</w:t>
            </w:r>
          </w:p>
        </w:tc>
        <w:tc>
          <w:tcPr>
            <w:tcW w:w="2880" w:type="dxa"/>
          </w:tcPr>
          <w:p w14:paraId="1F357BCD" w14:textId="77777777" w:rsidR="00241F58" w:rsidRDefault="00000000">
            <w:r>
              <w:t>n = 77</w:t>
            </w:r>
          </w:p>
        </w:tc>
        <w:tc>
          <w:tcPr>
            <w:tcW w:w="2880" w:type="dxa"/>
          </w:tcPr>
          <w:p w14:paraId="61DB2609" w14:textId="77777777" w:rsidR="00241F58" w:rsidRDefault="00000000">
            <w:r>
              <w:t>-</w:t>
            </w:r>
          </w:p>
        </w:tc>
      </w:tr>
      <w:tr w:rsidR="00241F58" w14:paraId="3C470A33" w14:textId="77777777">
        <w:tc>
          <w:tcPr>
            <w:tcW w:w="2880" w:type="dxa"/>
          </w:tcPr>
          <w:p w14:paraId="08C4547D" w14:textId="77777777" w:rsidR="00241F58" w:rsidRDefault="00000000">
            <w:r>
              <w:t>Age (years)</w:t>
            </w:r>
          </w:p>
        </w:tc>
        <w:tc>
          <w:tcPr>
            <w:tcW w:w="2880" w:type="dxa"/>
          </w:tcPr>
          <w:p w14:paraId="6EE9F85A" w14:textId="77777777" w:rsidR="00241F58" w:rsidRDefault="00000000">
            <w:r>
              <w:t>55.4 ± 15.9</w:t>
            </w:r>
          </w:p>
        </w:tc>
        <w:tc>
          <w:tcPr>
            <w:tcW w:w="2880" w:type="dxa"/>
          </w:tcPr>
          <w:p w14:paraId="20E996B3" w14:textId="77777777" w:rsidR="00241F58" w:rsidRDefault="00000000">
            <w:r>
              <w:t>11 - 81</w:t>
            </w:r>
          </w:p>
        </w:tc>
      </w:tr>
      <w:tr w:rsidR="00241F58" w14:paraId="497ED30F" w14:textId="77777777">
        <w:tc>
          <w:tcPr>
            <w:tcW w:w="2880" w:type="dxa"/>
          </w:tcPr>
          <w:p w14:paraId="0C5F10B6" w14:textId="77777777" w:rsidR="00241F58" w:rsidRDefault="00000000">
            <w:r>
              <w:t>Gender (Male)</w:t>
            </w:r>
          </w:p>
        </w:tc>
        <w:tc>
          <w:tcPr>
            <w:tcW w:w="2880" w:type="dxa"/>
          </w:tcPr>
          <w:p w14:paraId="3610C2DA" w14:textId="77777777" w:rsidR="00241F58" w:rsidRDefault="00000000">
            <w:r>
              <w:t>53.2%</w:t>
            </w:r>
          </w:p>
        </w:tc>
        <w:tc>
          <w:tcPr>
            <w:tcW w:w="2880" w:type="dxa"/>
          </w:tcPr>
          <w:p w14:paraId="3C0FE988" w14:textId="77777777" w:rsidR="00241F58" w:rsidRDefault="00000000">
            <w:r>
              <w:t>-</w:t>
            </w:r>
          </w:p>
        </w:tc>
      </w:tr>
      <w:tr w:rsidR="00241F58" w14:paraId="2DEEAA31" w14:textId="77777777">
        <w:tc>
          <w:tcPr>
            <w:tcW w:w="2880" w:type="dxa"/>
          </w:tcPr>
          <w:p w14:paraId="2173B952" w14:textId="77777777" w:rsidR="00241F58" w:rsidRDefault="00000000">
            <w:r>
              <w:t>MGMT Methylated</w:t>
            </w:r>
          </w:p>
        </w:tc>
        <w:tc>
          <w:tcPr>
            <w:tcW w:w="2880" w:type="dxa"/>
          </w:tcPr>
          <w:p w14:paraId="6F995494" w14:textId="77777777" w:rsidR="00241F58" w:rsidRDefault="00000000">
            <w:r>
              <w:t>38.7%</w:t>
            </w:r>
          </w:p>
        </w:tc>
        <w:tc>
          <w:tcPr>
            <w:tcW w:w="2880" w:type="dxa"/>
          </w:tcPr>
          <w:p w14:paraId="684EB124" w14:textId="77777777" w:rsidR="00241F58" w:rsidRDefault="00000000">
            <w:r>
              <w:t>-</w:t>
            </w:r>
          </w:p>
        </w:tc>
      </w:tr>
      <w:tr w:rsidR="00241F58" w14:paraId="0B13F7A2" w14:textId="77777777">
        <w:tc>
          <w:tcPr>
            <w:tcW w:w="2880" w:type="dxa"/>
          </w:tcPr>
          <w:p w14:paraId="3803D3CC" w14:textId="77777777" w:rsidR="00241F58" w:rsidRDefault="00000000">
            <w:r>
              <w:t>EoR ≥90%</w:t>
            </w:r>
          </w:p>
        </w:tc>
        <w:tc>
          <w:tcPr>
            <w:tcW w:w="2880" w:type="dxa"/>
          </w:tcPr>
          <w:p w14:paraId="05E10338" w14:textId="77777777" w:rsidR="00241F58" w:rsidRDefault="00000000">
            <w:r>
              <w:t>85.7%</w:t>
            </w:r>
          </w:p>
        </w:tc>
        <w:tc>
          <w:tcPr>
            <w:tcW w:w="2880" w:type="dxa"/>
          </w:tcPr>
          <w:p w14:paraId="2445211C" w14:textId="77777777" w:rsidR="00241F58" w:rsidRDefault="00000000">
            <w:r>
              <w:t>-</w:t>
            </w:r>
          </w:p>
        </w:tc>
      </w:tr>
      <w:tr w:rsidR="00241F58" w14:paraId="236CB18B" w14:textId="77777777">
        <w:tc>
          <w:tcPr>
            <w:tcW w:w="2880" w:type="dxa"/>
          </w:tcPr>
          <w:p w14:paraId="180FA7C5" w14:textId="77777777" w:rsidR="00241F58" w:rsidRDefault="00000000">
            <w:r>
              <w:t>EoR ≥95%</w:t>
            </w:r>
          </w:p>
        </w:tc>
        <w:tc>
          <w:tcPr>
            <w:tcW w:w="2880" w:type="dxa"/>
          </w:tcPr>
          <w:p w14:paraId="2BA3E099" w14:textId="77777777" w:rsidR="00241F58" w:rsidRDefault="00000000">
            <w:r>
              <w:t>77.9%</w:t>
            </w:r>
          </w:p>
        </w:tc>
        <w:tc>
          <w:tcPr>
            <w:tcW w:w="2880" w:type="dxa"/>
          </w:tcPr>
          <w:p w14:paraId="48EC119E" w14:textId="77777777" w:rsidR="00241F58" w:rsidRDefault="00000000">
            <w:r>
              <w:t>-</w:t>
            </w:r>
          </w:p>
        </w:tc>
      </w:tr>
      <w:tr w:rsidR="00241F58" w14:paraId="3819B637" w14:textId="77777777">
        <w:tc>
          <w:tcPr>
            <w:tcW w:w="2880" w:type="dxa"/>
          </w:tcPr>
          <w:p w14:paraId="1BE3DE7E" w14:textId="77777777" w:rsidR="00241F58" w:rsidRDefault="00000000">
            <w:r>
              <w:t>12-Month Survival</w:t>
            </w:r>
          </w:p>
        </w:tc>
        <w:tc>
          <w:tcPr>
            <w:tcW w:w="2880" w:type="dxa"/>
          </w:tcPr>
          <w:p w14:paraId="0FDB35B5" w14:textId="77777777" w:rsidR="00241F58" w:rsidRDefault="00000000">
            <w:r>
              <w:t>73.9% (bilateral cohort)</w:t>
            </w:r>
          </w:p>
        </w:tc>
        <w:tc>
          <w:tcPr>
            <w:tcW w:w="2880" w:type="dxa"/>
          </w:tcPr>
          <w:p w14:paraId="67A8217D" w14:textId="77777777" w:rsidR="00241F58" w:rsidRDefault="00000000">
            <w:r>
              <w:t>-</w:t>
            </w:r>
          </w:p>
        </w:tc>
      </w:tr>
      <w:tr w:rsidR="00241F58" w14:paraId="0CA04612" w14:textId="77777777">
        <w:tc>
          <w:tcPr>
            <w:tcW w:w="2880" w:type="dxa"/>
          </w:tcPr>
          <w:p w14:paraId="4D7034D8" w14:textId="77777777" w:rsidR="00241F58" w:rsidRDefault="00000000">
            <w:r>
              <w:t>Mean Overall Survival</w:t>
            </w:r>
          </w:p>
        </w:tc>
        <w:tc>
          <w:tcPr>
            <w:tcW w:w="2880" w:type="dxa"/>
          </w:tcPr>
          <w:p w14:paraId="64A82CA4" w14:textId="77777777" w:rsidR="00241F58" w:rsidRDefault="00000000">
            <w:r>
              <w:t>17.8 months</w:t>
            </w:r>
          </w:p>
        </w:tc>
        <w:tc>
          <w:tcPr>
            <w:tcW w:w="2880" w:type="dxa"/>
          </w:tcPr>
          <w:p w14:paraId="22C5782E" w14:textId="77777777" w:rsidR="00241F58" w:rsidRDefault="00000000">
            <w:r>
              <w:t>0.9 - 80 months</w:t>
            </w:r>
          </w:p>
        </w:tc>
      </w:tr>
    </w:tbl>
    <w:p w14:paraId="7BACCD58" w14:textId="77777777" w:rsidR="00241F58" w:rsidRDefault="00241F58"/>
    <w:p w14:paraId="2F4E9AA3" w14:textId="77777777" w:rsidR="00241F58" w:rsidRDefault="00000000">
      <w:pPr>
        <w:pStyle w:val="Heading1"/>
      </w:pPr>
      <w:r>
        <w:t>2. nTMS Excitability Metrics</w:t>
      </w:r>
    </w:p>
    <w:p w14:paraId="758F27D1" w14:textId="77777777" w:rsidR="00241F58" w:rsidRDefault="00000000">
      <w:pPr>
        <w:pStyle w:val="Heading2"/>
      </w:pPr>
      <w:r>
        <w:t>2.1 Cortical Excitability Score (CES)</w:t>
      </w:r>
    </w:p>
    <w:p w14:paraId="0FF77D82" w14:textId="77777777" w:rsidR="00241F58" w:rsidRDefault="00000000">
      <w:r>
        <w:t>The CES is a composite score (0-2) reflecting abnormal interhemispheric excitability. It is calculated as the sum of abnormal interhemispheric RMT ratios for upper limb (UL) and lower limb (LL) motor representations.</w:t>
      </w:r>
    </w:p>
    <w:p w14:paraId="24968C04" w14:textId="77777777" w:rsidR="00241F58" w:rsidRDefault="00000000">
      <w:r>
        <w:t>An interhemispheric ratio is considered abnormal when the tumor hemisphere RMT differs significantly from the healthy hemisphere (ratio outside 0.8-1.2 range or based on statistical thresholds).</w:t>
      </w:r>
    </w:p>
    <w:p w14:paraId="3E863A3D" w14:textId="77777777" w:rsidR="00241F58" w:rsidRDefault="00000000">
      <w:pPr>
        <w:pStyle w:val="Heading2"/>
      </w:pPr>
      <w:r>
        <w:lastRenderedPageBreak/>
        <w:t>Table 2: CES Distribution and 12-Month Survival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1F58" w14:paraId="59A900BA" w14:textId="77777777">
        <w:tc>
          <w:tcPr>
            <w:tcW w:w="2160" w:type="dxa"/>
          </w:tcPr>
          <w:p w14:paraId="3E750642" w14:textId="77777777" w:rsidR="00241F58" w:rsidRDefault="00000000">
            <w:r>
              <w:t>CES Score</w:t>
            </w:r>
          </w:p>
        </w:tc>
        <w:tc>
          <w:tcPr>
            <w:tcW w:w="2160" w:type="dxa"/>
          </w:tcPr>
          <w:p w14:paraId="2A7DF27C" w14:textId="77777777" w:rsidR="00241F58" w:rsidRDefault="00000000">
            <w:r>
              <w:t>n (%)</w:t>
            </w:r>
          </w:p>
        </w:tc>
        <w:tc>
          <w:tcPr>
            <w:tcW w:w="2160" w:type="dxa"/>
          </w:tcPr>
          <w:p w14:paraId="3CCC5717" w14:textId="77777777" w:rsidR="00241F58" w:rsidRDefault="00000000">
            <w:r>
              <w:t>12-mo Survival</w:t>
            </w:r>
          </w:p>
        </w:tc>
        <w:tc>
          <w:tcPr>
            <w:tcW w:w="2160" w:type="dxa"/>
          </w:tcPr>
          <w:p w14:paraId="0635D13F" w14:textId="77777777" w:rsidR="00241F58" w:rsidRDefault="00000000">
            <w:r>
              <w:t>Interpretation</w:t>
            </w:r>
          </w:p>
        </w:tc>
      </w:tr>
      <w:tr w:rsidR="00241F58" w14:paraId="29294EF3" w14:textId="77777777">
        <w:tc>
          <w:tcPr>
            <w:tcW w:w="2160" w:type="dxa"/>
          </w:tcPr>
          <w:p w14:paraId="438DCB2B" w14:textId="77777777" w:rsidR="00241F58" w:rsidRDefault="00000000">
            <w:r>
              <w:t>0</w:t>
            </w:r>
          </w:p>
        </w:tc>
        <w:tc>
          <w:tcPr>
            <w:tcW w:w="2160" w:type="dxa"/>
          </w:tcPr>
          <w:p w14:paraId="31B8042B" w14:textId="77777777" w:rsidR="00241F58" w:rsidRDefault="00000000">
            <w:r>
              <w:t>5 (10.9%)</w:t>
            </w:r>
          </w:p>
        </w:tc>
        <w:tc>
          <w:tcPr>
            <w:tcW w:w="2160" w:type="dxa"/>
          </w:tcPr>
          <w:p w14:paraId="7B84AD66" w14:textId="77777777" w:rsidR="00241F58" w:rsidRDefault="00000000">
            <w:r>
              <w:t>80.0%</w:t>
            </w:r>
          </w:p>
        </w:tc>
        <w:tc>
          <w:tcPr>
            <w:tcW w:w="2160" w:type="dxa"/>
          </w:tcPr>
          <w:p w14:paraId="2BFD22B5" w14:textId="77777777" w:rsidR="00241F58" w:rsidRDefault="00000000">
            <w:r>
              <w:t>Normal bilateral excitability</w:t>
            </w:r>
          </w:p>
        </w:tc>
      </w:tr>
      <w:tr w:rsidR="00241F58" w14:paraId="328DC486" w14:textId="77777777">
        <w:tc>
          <w:tcPr>
            <w:tcW w:w="2160" w:type="dxa"/>
          </w:tcPr>
          <w:p w14:paraId="30C687E9" w14:textId="77777777" w:rsidR="00241F58" w:rsidRDefault="00000000">
            <w:r>
              <w:t>1</w:t>
            </w:r>
          </w:p>
        </w:tc>
        <w:tc>
          <w:tcPr>
            <w:tcW w:w="2160" w:type="dxa"/>
          </w:tcPr>
          <w:p w14:paraId="4B58C1FF" w14:textId="77777777" w:rsidR="00241F58" w:rsidRDefault="00000000">
            <w:r>
              <w:t>18 (39.1%)</w:t>
            </w:r>
          </w:p>
        </w:tc>
        <w:tc>
          <w:tcPr>
            <w:tcW w:w="2160" w:type="dxa"/>
          </w:tcPr>
          <w:p w14:paraId="27173100" w14:textId="77777777" w:rsidR="00241F58" w:rsidRDefault="00000000">
            <w:r>
              <w:t>94.4%</w:t>
            </w:r>
          </w:p>
        </w:tc>
        <w:tc>
          <w:tcPr>
            <w:tcW w:w="2160" w:type="dxa"/>
          </w:tcPr>
          <w:p w14:paraId="3FBF8CEA" w14:textId="77777777" w:rsidR="00241F58" w:rsidRDefault="00000000">
            <w:r>
              <w:t>One functional area abnormal</w:t>
            </w:r>
          </w:p>
        </w:tc>
      </w:tr>
      <w:tr w:rsidR="00241F58" w14:paraId="44C32DAC" w14:textId="77777777">
        <w:tc>
          <w:tcPr>
            <w:tcW w:w="2160" w:type="dxa"/>
          </w:tcPr>
          <w:p w14:paraId="03B92884" w14:textId="77777777" w:rsidR="00241F58" w:rsidRDefault="00000000">
            <w:r>
              <w:t>2</w:t>
            </w:r>
          </w:p>
        </w:tc>
        <w:tc>
          <w:tcPr>
            <w:tcW w:w="2160" w:type="dxa"/>
          </w:tcPr>
          <w:p w14:paraId="71540FA4" w14:textId="77777777" w:rsidR="00241F58" w:rsidRDefault="00000000">
            <w:r>
              <w:t>23 (50.0%)</w:t>
            </w:r>
          </w:p>
        </w:tc>
        <w:tc>
          <w:tcPr>
            <w:tcW w:w="2160" w:type="dxa"/>
          </w:tcPr>
          <w:p w14:paraId="40E8EF8E" w14:textId="77777777" w:rsidR="00241F58" w:rsidRDefault="00000000">
            <w:r>
              <w:t>56.5%</w:t>
            </w:r>
          </w:p>
        </w:tc>
        <w:tc>
          <w:tcPr>
            <w:tcW w:w="2160" w:type="dxa"/>
          </w:tcPr>
          <w:p w14:paraId="433AE07F" w14:textId="77777777" w:rsidR="00241F58" w:rsidRDefault="00000000">
            <w:r>
              <w:t>Both functional areas abnormal</w:t>
            </w:r>
          </w:p>
        </w:tc>
      </w:tr>
    </w:tbl>
    <w:p w14:paraId="0EBBE88B" w14:textId="77777777" w:rsidR="00241F58" w:rsidRDefault="00241F58"/>
    <w:p w14:paraId="59D4D3CB" w14:textId="77777777" w:rsidR="00241F58" w:rsidRDefault="00000000">
      <w:pPr>
        <w:pStyle w:val="Heading2"/>
      </w:pPr>
      <w:r>
        <w:t>2.2 IMES Ratio (IntraM1 Excitability Score)</w:t>
      </w:r>
    </w:p>
    <w:p w14:paraId="54CDEE88" w14:textId="77777777" w:rsidR="00241F58" w:rsidRDefault="00000000">
      <w:r>
        <w:t>The IMES ratio represents the relationship between lower limb and upper limb RMT within the tumor hemisphere:</w:t>
      </w:r>
    </w:p>
    <w:p w14:paraId="7B44C4CC" w14:textId="77777777" w:rsidR="00241F58" w:rsidRPr="007E7E92" w:rsidRDefault="00000000">
      <w:pPr>
        <w:pStyle w:val="IntenseQuote"/>
        <w:rPr>
          <w:lang w:val="de-DE"/>
        </w:rPr>
      </w:pPr>
      <w:r w:rsidRPr="007E7E92">
        <w:rPr>
          <w:lang w:val="de-DE"/>
        </w:rPr>
        <w:t>IMES = RMT_</w:t>
      </w:r>
      <w:proofErr w:type="gramStart"/>
      <w:r w:rsidRPr="007E7E92">
        <w:rPr>
          <w:lang w:val="de-DE"/>
        </w:rPr>
        <w:t>LL(</w:t>
      </w:r>
      <w:proofErr w:type="spellStart"/>
      <w:proofErr w:type="gramEnd"/>
      <w:r w:rsidRPr="007E7E92">
        <w:rPr>
          <w:lang w:val="de-DE"/>
        </w:rPr>
        <w:t>tumor</w:t>
      </w:r>
      <w:proofErr w:type="spellEnd"/>
      <w:r w:rsidRPr="007E7E92">
        <w:rPr>
          <w:lang w:val="de-DE"/>
        </w:rPr>
        <w:t>) / RMT_</w:t>
      </w:r>
      <w:proofErr w:type="gramStart"/>
      <w:r w:rsidRPr="007E7E92">
        <w:rPr>
          <w:lang w:val="de-DE"/>
        </w:rPr>
        <w:t>UL(</w:t>
      </w:r>
      <w:proofErr w:type="spellStart"/>
      <w:proofErr w:type="gramEnd"/>
      <w:r w:rsidRPr="007E7E92">
        <w:rPr>
          <w:lang w:val="de-DE"/>
        </w:rPr>
        <w:t>tumor</w:t>
      </w:r>
      <w:proofErr w:type="spellEnd"/>
      <w:r w:rsidRPr="007E7E92">
        <w:rPr>
          <w:lang w:val="de-DE"/>
        </w:rPr>
        <w:t>)</w:t>
      </w:r>
    </w:p>
    <w:p w14:paraId="183ECDCF" w14:textId="77777777" w:rsidR="00241F58" w:rsidRDefault="00000000">
      <w:r>
        <w:t>This metric reflects the preserved motor cortex organization within the affected hemisphere. Higher values suggest maintained somatotopic organization.</w:t>
      </w:r>
    </w:p>
    <w:p w14:paraId="3C6A2FE1" w14:textId="77777777" w:rsidR="00241F58" w:rsidRDefault="00000000">
      <w:r>
        <w:t>• Mean: 1.00 ± 0.36</w:t>
      </w:r>
    </w:p>
    <w:p w14:paraId="50BB8E9F" w14:textId="77777777" w:rsidR="00241F58" w:rsidRDefault="00000000">
      <w:r>
        <w:t>• Range: 0.28 - 2.10</w:t>
      </w:r>
    </w:p>
    <w:p w14:paraId="465B5954" w14:textId="77777777" w:rsidR="00241F58" w:rsidRDefault="00000000">
      <w:pPr>
        <w:pStyle w:val="Heading2"/>
      </w:pPr>
      <w:r>
        <w:t>2.3 IntraM1 Tumor Ratio (Unilateral)</w:t>
      </w:r>
    </w:p>
    <w:p w14:paraId="397ED71D" w14:textId="77777777" w:rsidR="00241F58" w:rsidRDefault="00000000">
      <w:r>
        <w:t>For patients without healthy hemisphere mapping, the IntraM1 Tumor Ratio uses the same calculation but with a different reference population:</w:t>
      </w:r>
    </w:p>
    <w:p w14:paraId="520F4714" w14:textId="77777777" w:rsidR="00241F58" w:rsidRDefault="00000000">
      <w:r>
        <w:t>• Mean: 1.60 ± 0.48</w:t>
      </w:r>
    </w:p>
    <w:p w14:paraId="2F26B869" w14:textId="77777777" w:rsidR="00241F58" w:rsidRDefault="00000000">
      <w:r>
        <w:t>• Range: 0.57 - 2.93</w:t>
      </w:r>
    </w:p>
    <w:p w14:paraId="7B7D6E6E" w14:textId="77777777" w:rsidR="00241F58" w:rsidRDefault="00000000">
      <w:pPr>
        <w:pStyle w:val="Heading1"/>
      </w:pPr>
      <w:r>
        <w:t>3. Extent of Resection Cutoff Analysis</w:t>
      </w:r>
    </w:p>
    <w:p w14:paraId="16026D72" w14:textId="77777777" w:rsidR="00241F58" w:rsidRDefault="00000000">
      <w:r>
        <w:t>We evaluated three EoR thresholds to determine optimal prognostic discrimination:</w:t>
      </w:r>
    </w:p>
    <w:p w14:paraId="762D6F13" w14:textId="77777777" w:rsidR="00241F58" w:rsidRDefault="00000000">
      <w:pPr>
        <w:pStyle w:val="Heading2"/>
      </w:pPr>
      <w:r>
        <w:t>Table 3: EoR Cutoff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1F58" w14:paraId="3F82F2B2" w14:textId="77777777">
        <w:tc>
          <w:tcPr>
            <w:tcW w:w="1728" w:type="dxa"/>
          </w:tcPr>
          <w:p w14:paraId="480B22BD" w14:textId="77777777" w:rsidR="00241F58" w:rsidRDefault="00000000">
            <w:r>
              <w:t>Cutoff</w:t>
            </w:r>
          </w:p>
        </w:tc>
        <w:tc>
          <w:tcPr>
            <w:tcW w:w="1728" w:type="dxa"/>
          </w:tcPr>
          <w:p w14:paraId="6E4089A5" w14:textId="77777777" w:rsidR="00241F58" w:rsidRDefault="00000000">
            <w:r>
              <w:t>Survival (Yes)</w:t>
            </w:r>
          </w:p>
        </w:tc>
        <w:tc>
          <w:tcPr>
            <w:tcW w:w="1728" w:type="dxa"/>
          </w:tcPr>
          <w:p w14:paraId="3CED68BE" w14:textId="77777777" w:rsidR="00241F58" w:rsidRDefault="00000000">
            <w:r>
              <w:t>Survival (No)</w:t>
            </w:r>
          </w:p>
        </w:tc>
        <w:tc>
          <w:tcPr>
            <w:tcW w:w="1728" w:type="dxa"/>
          </w:tcPr>
          <w:p w14:paraId="7AD806C7" w14:textId="77777777" w:rsidR="00241F58" w:rsidRDefault="00000000">
            <w:r>
              <w:t>OR (95% CI)</w:t>
            </w:r>
          </w:p>
        </w:tc>
        <w:tc>
          <w:tcPr>
            <w:tcW w:w="1728" w:type="dxa"/>
          </w:tcPr>
          <w:p w14:paraId="4C89049E" w14:textId="77777777" w:rsidR="00241F58" w:rsidRDefault="00000000">
            <w:r>
              <w:t>p-value</w:t>
            </w:r>
          </w:p>
        </w:tc>
      </w:tr>
      <w:tr w:rsidR="00241F58" w14:paraId="1F328F99" w14:textId="77777777">
        <w:tc>
          <w:tcPr>
            <w:tcW w:w="1728" w:type="dxa"/>
          </w:tcPr>
          <w:p w14:paraId="1DA57394" w14:textId="77777777" w:rsidR="00241F58" w:rsidRDefault="00000000">
            <w:r>
              <w:t>EoR ≥90%</w:t>
            </w:r>
          </w:p>
        </w:tc>
        <w:tc>
          <w:tcPr>
            <w:tcW w:w="1728" w:type="dxa"/>
          </w:tcPr>
          <w:p w14:paraId="6F4FB13B" w14:textId="77777777" w:rsidR="00241F58" w:rsidRDefault="00000000">
            <w:r>
              <w:t>75.8% (n=66)</w:t>
            </w:r>
          </w:p>
        </w:tc>
        <w:tc>
          <w:tcPr>
            <w:tcW w:w="1728" w:type="dxa"/>
          </w:tcPr>
          <w:p w14:paraId="5F4F14AD" w14:textId="77777777" w:rsidR="00241F58" w:rsidRDefault="00000000">
            <w:r>
              <w:t>63.6% (n=11)</w:t>
            </w:r>
          </w:p>
        </w:tc>
        <w:tc>
          <w:tcPr>
            <w:tcW w:w="1728" w:type="dxa"/>
          </w:tcPr>
          <w:p w14:paraId="77D90E6E" w14:textId="77777777" w:rsidR="00241F58" w:rsidRDefault="00000000">
            <w:r>
              <w:t>1.79 (0.46-6.90)</w:t>
            </w:r>
          </w:p>
        </w:tc>
        <w:tc>
          <w:tcPr>
            <w:tcW w:w="1728" w:type="dxa"/>
          </w:tcPr>
          <w:p w14:paraId="5D0B8D24" w14:textId="77777777" w:rsidR="00241F58" w:rsidRDefault="00000000">
            <w:r>
              <w:t>0.40</w:t>
            </w:r>
          </w:p>
        </w:tc>
      </w:tr>
      <w:tr w:rsidR="00241F58" w14:paraId="3B302F35" w14:textId="77777777">
        <w:tc>
          <w:tcPr>
            <w:tcW w:w="1728" w:type="dxa"/>
          </w:tcPr>
          <w:p w14:paraId="71BB9B2C" w14:textId="77777777" w:rsidR="00241F58" w:rsidRDefault="00000000">
            <w:r>
              <w:t>EoR ≥95%</w:t>
            </w:r>
          </w:p>
        </w:tc>
        <w:tc>
          <w:tcPr>
            <w:tcW w:w="1728" w:type="dxa"/>
          </w:tcPr>
          <w:p w14:paraId="453CE8D6" w14:textId="77777777" w:rsidR="00241F58" w:rsidRDefault="00000000">
            <w:r>
              <w:t>78.3% (n=60)</w:t>
            </w:r>
          </w:p>
        </w:tc>
        <w:tc>
          <w:tcPr>
            <w:tcW w:w="1728" w:type="dxa"/>
          </w:tcPr>
          <w:p w14:paraId="4CBD2B57" w14:textId="77777777" w:rsidR="00241F58" w:rsidRDefault="00000000">
            <w:r>
              <w:t>58.8% (n=17)</w:t>
            </w:r>
          </w:p>
        </w:tc>
        <w:tc>
          <w:tcPr>
            <w:tcW w:w="1728" w:type="dxa"/>
          </w:tcPr>
          <w:p w14:paraId="10347B08" w14:textId="77777777" w:rsidR="00241F58" w:rsidRDefault="00000000">
            <w:r>
              <w:t>2.53 (0.81-7.95)</w:t>
            </w:r>
          </w:p>
        </w:tc>
        <w:tc>
          <w:tcPr>
            <w:tcW w:w="1728" w:type="dxa"/>
          </w:tcPr>
          <w:p w14:paraId="48608DE4" w14:textId="77777777" w:rsidR="00241F58" w:rsidRDefault="00000000">
            <w:r>
              <w:t>0.11</w:t>
            </w:r>
          </w:p>
        </w:tc>
      </w:tr>
      <w:tr w:rsidR="00241F58" w14:paraId="28D62036" w14:textId="77777777">
        <w:tc>
          <w:tcPr>
            <w:tcW w:w="1728" w:type="dxa"/>
          </w:tcPr>
          <w:p w14:paraId="428FD3C1" w14:textId="77777777" w:rsidR="00241F58" w:rsidRDefault="00000000">
            <w:r>
              <w:t>EoR 100%</w:t>
            </w:r>
          </w:p>
        </w:tc>
        <w:tc>
          <w:tcPr>
            <w:tcW w:w="1728" w:type="dxa"/>
          </w:tcPr>
          <w:p w14:paraId="22BB623D" w14:textId="77777777" w:rsidR="00241F58" w:rsidRDefault="00000000">
            <w:r>
              <w:t>80.6% (n=36)</w:t>
            </w:r>
          </w:p>
        </w:tc>
        <w:tc>
          <w:tcPr>
            <w:tcW w:w="1728" w:type="dxa"/>
          </w:tcPr>
          <w:p w14:paraId="09B490CF" w14:textId="77777777" w:rsidR="00241F58" w:rsidRDefault="00000000">
            <w:r>
              <w:t>68.3% (n=41)</w:t>
            </w:r>
          </w:p>
        </w:tc>
        <w:tc>
          <w:tcPr>
            <w:tcW w:w="1728" w:type="dxa"/>
          </w:tcPr>
          <w:p w14:paraId="6F241616" w14:textId="77777777" w:rsidR="00241F58" w:rsidRDefault="00000000">
            <w:r>
              <w:t>1.92 (0.67-5.53)</w:t>
            </w:r>
          </w:p>
        </w:tc>
        <w:tc>
          <w:tcPr>
            <w:tcW w:w="1728" w:type="dxa"/>
          </w:tcPr>
          <w:p w14:paraId="56702F5E" w14:textId="77777777" w:rsidR="00241F58" w:rsidRDefault="00000000">
            <w:r>
              <w:t>0.22</w:t>
            </w:r>
          </w:p>
        </w:tc>
      </w:tr>
    </w:tbl>
    <w:p w14:paraId="399E8325" w14:textId="77777777" w:rsidR="00241F58" w:rsidRDefault="00241F58"/>
    <w:p w14:paraId="1119FFE1" w14:textId="77777777" w:rsidR="00241F58" w:rsidRDefault="00000000">
      <w:r>
        <w:rPr>
          <w:b/>
        </w:rPr>
        <w:t>Conclusion: EoR ≥95% provides the best prognostic discrimination (OR=2.53) and is used in both calculator models.</w:t>
      </w:r>
    </w:p>
    <w:p w14:paraId="2D7A219F" w14:textId="77777777" w:rsidR="00241F58" w:rsidRDefault="00000000">
      <w:pPr>
        <w:pStyle w:val="Heading1"/>
      </w:pPr>
      <w:r>
        <w:lastRenderedPageBreak/>
        <w:t>4. Bilateral Model (n=46)</w:t>
      </w:r>
    </w:p>
    <w:p w14:paraId="4168A428" w14:textId="77777777" w:rsidR="00241F58" w:rsidRDefault="00000000">
      <w:r>
        <w:t>The bilateral model includes patients with complete nTMS mapping of both hemispheres, allowing calculation of both CES and IMES metrics.</w:t>
      </w:r>
    </w:p>
    <w:p w14:paraId="666E72BD" w14:textId="77777777" w:rsidR="00241F58" w:rsidRDefault="00000000">
      <w:pPr>
        <w:pStyle w:val="Heading2"/>
      </w:pPr>
      <w:r>
        <w:t>4.1 Model Specification</w:t>
      </w:r>
    </w:p>
    <w:p w14:paraId="36349F31" w14:textId="77777777" w:rsidR="00241F58" w:rsidRDefault="00000000">
      <w:r>
        <w:t>Outcome: 12-month survival (binary)</w:t>
      </w:r>
    </w:p>
    <w:p w14:paraId="1BCBEF2C" w14:textId="77777777" w:rsidR="00241F58" w:rsidRDefault="00000000">
      <w:r>
        <w:t>Model: Logistic regression</w:t>
      </w:r>
    </w:p>
    <w:p w14:paraId="79A332B0" w14:textId="77777777" w:rsidR="00241F58" w:rsidRDefault="00000000">
      <w:r>
        <w:t>Pseudo R²: 0.149</w:t>
      </w:r>
    </w:p>
    <w:p w14:paraId="04DC83A0" w14:textId="77777777" w:rsidR="00241F58" w:rsidRDefault="00000000">
      <w:r>
        <w:t>Cohort 12-month survival: 73.9%</w:t>
      </w:r>
    </w:p>
    <w:p w14:paraId="1AB24401" w14:textId="77777777" w:rsidR="00241F58" w:rsidRDefault="00000000">
      <w:pPr>
        <w:pStyle w:val="Heading2"/>
      </w:pPr>
      <w:r>
        <w:t>Table 4: Bilateral Model Coefficients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1F58" w14:paraId="2254DA0D" w14:textId="77777777">
        <w:tc>
          <w:tcPr>
            <w:tcW w:w="1728" w:type="dxa"/>
          </w:tcPr>
          <w:p w14:paraId="43E79AA7" w14:textId="77777777" w:rsidR="00241F58" w:rsidRDefault="00000000">
            <w:r>
              <w:t>Variable</w:t>
            </w:r>
          </w:p>
        </w:tc>
        <w:tc>
          <w:tcPr>
            <w:tcW w:w="1728" w:type="dxa"/>
          </w:tcPr>
          <w:p w14:paraId="2724CCAA" w14:textId="77777777" w:rsidR="00241F58" w:rsidRDefault="00000000">
            <w:r>
              <w:t>Coefficient (β)</w:t>
            </w:r>
          </w:p>
        </w:tc>
        <w:tc>
          <w:tcPr>
            <w:tcW w:w="1728" w:type="dxa"/>
          </w:tcPr>
          <w:p w14:paraId="49CC60FC" w14:textId="77777777" w:rsidR="00241F58" w:rsidRDefault="00000000">
            <w:r>
              <w:t>OR</w:t>
            </w:r>
          </w:p>
        </w:tc>
        <w:tc>
          <w:tcPr>
            <w:tcW w:w="1728" w:type="dxa"/>
          </w:tcPr>
          <w:p w14:paraId="40B18B79" w14:textId="77777777" w:rsidR="00241F58" w:rsidRDefault="00000000">
            <w:r>
              <w:t>95% CI</w:t>
            </w:r>
          </w:p>
        </w:tc>
        <w:tc>
          <w:tcPr>
            <w:tcW w:w="1728" w:type="dxa"/>
          </w:tcPr>
          <w:p w14:paraId="76407852" w14:textId="77777777" w:rsidR="00241F58" w:rsidRDefault="00000000">
            <w:r>
              <w:t>p-value</w:t>
            </w:r>
          </w:p>
        </w:tc>
      </w:tr>
      <w:tr w:rsidR="00241F58" w14:paraId="20802C96" w14:textId="77777777">
        <w:tc>
          <w:tcPr>
            <w:tcW w:w="1728" w:type="dxa"/>
          </w:tcPr>
          <w:p w14:paraId="2C3DECBB" w14:textId="77777777" w:rsidR="00241F58" w:rsidRDefault="00000000">
            <w:r>
              <w:t>Age (per year)</w:t>
            </w:r>
          </w:p>
        </w:tc>
        <w:tc>
          <w:tcPr>
            <w:tcW w:w="1728" w:type="dxa"/>
          </w:tcPr>
          <w:p w14:paraId="5EAF8AC3" w14:textId="77777777" w:rsidR="00241F58" w:rsidRDefault="00000000">
            <w:r>
              <w:t>-0.0101</w:t>
            </w:r>
          </w:p>
        </w:tc>
        <w:tc>
          <w:tcPr>
            <w:tcW w:w="1728" w:type="dxa"/>
          </w:tcPr>
          <w:p w14:paraId="0F6B49F6" w14:textId="77777777" w:rsidR="00241F58" w:rsidRDefault="00000000">
            <w:r>
              <w:t>0.990</w:t>
            </w:r>
          </w:p>
        </w:tc>
        <w:tc>
          <w:tcPr>
            <w:tcW w:w="1728" w:type="dxa"/>
          </w:tcPr>
          <w:p w14:paraId="22012428" w14:textId="77777777" w:rsidR="00241F58" w:rsidRDefault="00000000">
            <w:r>
              <w:t>0.94-1.04</w:t>
            </w:r>
          </w:p>
        </w:tc>
        <w:tc>
          <w:tcPr>
            <w:tcW w:w="1728" w:type="dxa"/>
          </w:tcPr>
          <w:p w14:paraId="20D4D871" w14:textId="77777777" w:rsidR="00241F58" w:rsidRDefault="00000000">
            <w:r>
              <w:t>0.71</w:t>
            </w:r>
          </w:p>
        </w:tc>
      </w:tr>
      <w:tr w:rsidR="00241F58" w14:paraId="288F34A8" w14:textId="77777777">
        <w:tc>
          <w:tcPr>
            <w:tcW w:w="1728" w:type="dxa"/>
          </w:tcPr>
          <w:p w14:paraId="703B3F8B" w14:textId="77777777" w:rsidR="00241F58" w:rsidRDefault="00000000">
            <w:r>
              <w:t>MGMT Methylated</w:t>
            </w:r>
          </w:p>
        </w:tc>
        <w:tc>
          <w:tcPr>
            <w:tcW w:w="1728" w:type="dxa"/>
          </w:tcPr>
          <w:p w14:paraId="2C01BB85" w14:textId="77777777" w:rsidR="00241F58" w:rsidRDefault="00000000">
            <w:r>
              <w:t>-0.1645</w:t>
            </w:r>
          </w:p>
        </w:tc>
        <w:tc>
          <w:tcPr>
            <w:tcW w:w="1728" w:type="dxa"/>
          </w:tcPr>
          <w:p w14:paraId="5983B91A" w14:textId="77777777" w:rsidR="00241F58" w:rsidRDefault="00000000">
            <w:r>
              <w:t>0.848</w:t>
            </w:r>
          </w:p>
        </w:tc>
        <w:tc>
          <w:tcPr>
            <w:tcW w:w="1728" w:type="dxa"/>
          </w:tcPr>
          <w:p w14:paraId="2D6107D8" w14:textId="77777777" w:rsidR="00241F58" w:rsidRDefault="00000000">
            <w:r>
              <w:t>0.18-3.93</w:t>
            </w:r>
          </w:p>
        </w:tc>
        <w:tc>
          <w:tcPr>
            <w:tcW w:w="1728" w:type="dxa"/>
          </w:tcPr>
          <w:p w14:paraId="7E76A46F" w14:textId="77777777" w:rsidR="00241F58" w:rsidRDefault="00000000">
            <w:r>
              <w:t>0.83</w:t>
            </w:r>
          </w:p>
        </w:tc>
      </w:tr>
      <w:tr w:rsidR="00241F58" w14:paraId="4F829167" w14:textId="77777777">
        <w:tc>
          <w:tcPr>
            <w:tcW w:w="1728" w:type="dxa"/>
          </w:tcPr>
          <w:p w14:paraId="18E3CDF3" w14:textId="77777777" w:rsidR="00241F58" w:rsidRDefault="00000000">
            <w:r>
              <w:t>EoR ≥95%</w:t>
            </w:r>
          </w:p>
        </w:tc>
        <w:tc>
          <w:tcPr>
            <w:tcW w:w="1728" w:type="dxa"/>
          </w:tcPr>
          <w:p w14:paraId="7660B09A" w14:textId="77777777" w:rsidR="00241F58" w:rsidRDefault="00000000">
            <w:r>
              <w:t>0.4898</w:t>
            </w:r>
          </w:p>
        </w:tc>
        <w:tc>
          <w:tcPr>
            <w:tcW w:w="1728" w:type="dxa"/>
          </w:tcPr>
          <w:p w14:paraId="7663EF2A" w14:textId="77777777" w:rsidR="00241F58" w:rsidRDefault="00000000">
            <w:r>
              <w:t>1.632</w:t>
            </w:r>
          </w:p>
        </w:tc>
        <w:tc>
          <w:tcPr>
            <w:tcW w:w="1728" w:type="dxa"/>
          </w:tcPr>
          <w:p w14:paraId="72DB1BC3" w14:textId="77777777" w:rsidR="00241F58" w:rsidRDefault="00000000">
            <w:r>
              <w:t>0.30-8.74</w:t>
            </w:r>
          </w:p>
        </w:tc>
        <w:tc>
          <w:tcPr>
            <w:tcW w:w="1728" w:type="dxa"/>
          </w:tcPr>
          <w:p w14:paraId="5AC4EB45" w14:textId="77777777" w:rsidR="00241F58" w:rsidRDefault="00000000">
            <w:r>
              <w:t>0.57</w:t>
            </w:r>
          </w:p>
        </w:tc>
      </w:tr>
      <w:tr w:rsidR="00241F58" w14:paraId="45A698FE" w14:textId="77777777">
        <w:tc>
          <w:tcPr>
            <w:tcW w:w="1728" w:type="dxa"/>
          </w:tcPr>
          <w:p w14:paraId="5F11065D" w14:textId="77777777" w:rsidR="00241F58" w:rsidRDefault="00000000">
            <w:r>
              <w:t>CES (0-2)</w:t>
            </w:r>
          </w:p>
        </w:tc>
        <w:tc>
          <w:tcPr>
            <w:tcW w:w="1728" w:type="dxa"/>
          </w:tcPr>
          <w:p w14:paraId="2B2E17D8" w14:textId="77777777" w:rsidR="00241F58" w:rsidRDefault="00000000">
            <w:r>
              <w:t>-1.2336</w:t>
            </w:r>
          </w:p>
        </w:tc>
        <w:tc>
          <w:tcPr>
            <w:tcW w:w="1728" w:type="dxa"/>
          </w:tcPr>
          <w:p w14:paraId="22558F30" w14:textId="77777777" w:rsidR="00241F58" w:rsidRDefault="00000000">
            <w:r>
              <w:t>0.291</w:t>
            </w:r>
          </w:p>
        </w:tc>
        <w:tc>
          <w:tcPr>
            <w:tcW w:w="1728" w:type="dxa"/>
          </w:tcPr>
          <w:p w14:paraId="4762F67C" w14:textId="77777777" w:rsidR="00241F58" w:rsidRDefault="00000000">
            <w:r>
              <w:t>0.07-1.16</w:t>
            </w:r>
          </w:p>
        </w:tc>
        <w:tc>
          <w:tcPr>
            <w:tcW w:w="1728" w:type="dxa"/>
          </w:tcPr>
          <w:p w14:paraId="3A96C8EA" w14:textId="77777777" w:rsidR="00241F58" w:rsidRDefault="00000000">
            <w:r>
              <w:t>0.08*</w:t>
            </w:r>
          </w:p>
        </w:tc>
      </w:tr>
      <w:tr w:rsidR="00241F58" w14:paraId="73CA3C1A" w14:textId="77777777">
        <w:tc>
          <w:tcPr>
            <w:tcW w:w="1728" w:type="dxa"/>
          </w:tcPr>
          <w:p w14:paraId="234815E7" w14:textId="77777777" w:rsidR="00241F58" w:rsidRDefault="00000000">
            <w:r>
              <w:t>IMES Ratio</w:t>
            </w:r>
          </w:p>
        </w:tc>
        <w:tc>
          <w:tcPr>
            <w:tcW w:w="1728" w:type="dxa"/>
          </w:tcPr>
          <w:p w14:paraId="1F7CF94A" w14:textId="77777777" w:rsidR="00241F58" w:rsidRDefault="00000000">
            <w:r>
              <w:t>1.3461</w:t>
            </w:r>
          </w:p>
        </w:tc>
        <w:tc>
          <w:tcPr>
            <w:tcW w:w="1728" w:type="dxa"/>
          </w:tcPr>
          <w:p w14:paraId="18745278" w14:textId="77777777" w:rsidR="00241F58" w:rsidRDefault="00000000">
            <w:r>
              <w:t>3.842</w:t>
            </w:r>
          </w:p>
        </w:tc>
        <w:tc>
          <w:tcPr>
            <w:tcW w:w="1728" w:type="dxa"/>
          </w:tcPr>
          <w:p w14:paraId="418C7D1E" w14:textId="77777777" w:rsidR="00241F58" w:rsidRDefault="00000000">
            <w:r>
              <w:t>0.45-33.15</w:t>
            </w:r>
          </w:p>
        </w:tc>
        <w:tc>
          <w:tcPr>
            <w:tcW w:w="1728" w:type="dxa"/>
          </w:tcPr>
          <w:p w14:paraId="45A8B23A" w14:textId="77777777" w:rsidR="00241F58" w:rsidRDefault="00000000">
            <w:r>
              <w:t>0.22</w:t>
            </w:r>
          </w:p>
        </w:tc>
      </w:tr>
    </w:tbl>
    <w:p w14:paraId="307093E7" w14:textId="77777777" w:rsidR="00241F58" w:rsidRDefault="00000000">
      <w:r>
        <w:t>* Trend toward significance (p &lt; 0.10)</w:t>
      </w:r>
    </w:p>
    <w:p w14:paraId="69E6D251" w14:textId="77777777" w:rsidR="00241F58" w:rsidRDefault="00000000">
      <w:r>
        <w:t>Intercept: 1.9498</w:t>
      </w:r>
    </w:p>
    <w:p w14:paraId="571F5F9E" w14:textId="77777777" w:rsidR="00241F58" w:rsidRDefault="00000000">
      <w:pPr>
        <w:pStyle w:val="Heading2"/>
      </w:pPr>
      <w:r>
        <w:t>4.2 Key Findings</w:t>
      </w:r>
    </w:p>
    <w:p w14:paraId="69A40358" w14:textId="77777777" w:rsidR="00241F58" w:rsidRDefault="00000000">
      <w:r>
        <w:t>• CES is the strongest predictor in the bilateral model (OR=0.291, p=0.08)</w:t>
      </w:r>
      <w:r>
        <w:br/>
        <w:t>• Each unit increase in CES reduces the odds of 12-month survival by ~71%</w:t>
      </w:r>
      <w:r>
        <w:br/>
        <w:t>• Patients with CES=2 have markedly worse survival (56.5%) compared to CES≤1 (80-94%)</w:t>
      </w:r>
      <w:r>
        <w:br/>
        <w:t>• IMES shows a positive trend: higher ratios associated with better survival</w:t>
      </w:r>
    </w:p>
    <w:p w14:paraId="542123BB" w14:textId="77777777" w:rsidR="00241F58" w:rsidRDefault="00000000">
      <w:pPr>
        <w:pStyle w:val="Heading1"/>
      </w:pPr>
      <w:r>
        <w:t>5. Unilateral Model (n=50)</w:t>
      </w:r>
    </w:p>
    <w:p w14:paraId="166491D5" w14:textId="77777777" w:rsidR="00241F58" w:rsidRDefault="00000000">
      <w:r>
        <w:t>The unilateral model is designed for patients where only the tumor hemisphere was mapped, using the IntraM1 Tumor Ratio as the primary nTMS metric.</w:t>
      </w:r>
    </w:p>
    <w:p w14:paraId="2B3B4423" w14:textId="77777777" w:rsidR="00241F58" w:rsidRDefault="00000000">
      <w:pPr>
        <w:pStyle w:val="Heading2"/>
      </w:pPr>
      <w:r>
        <w:t>5.1 Model Specification</w:t>
      </w:r>
    </w:p>
    <w:p w14:paraId="1BB1CF8E" w14:textId="77777777" w:rsidR="00241F58" w:rsidRDefault="00000000">
      <w:r>
        <w:t>Outcome: 12-month survival (binary)</w:t>
      </w:r>
    </w:p>
    <w:p w14:paraId="0F743017" w14:textId="77777777" w:rsidR="00241F58" w:rsidRDefault="00000000">
      <w:r>
        <w:t>Model: Logistic regression</w:t>
      </w:r>
    </w:p>
    <w:p w14:paraId="776589FD" w14:textId="77777777" w:rsidR="00241F58" w:rsidRDefault="00000000">
      <w:r>
        <w:t>Pseudo R²: 0.125</w:t>
      </w:r>
    </w:p>
    <w:p w14:paraId="0D6BB27D" w14:textId="77777777" w:rsidR="00241F58" w:rsidRDefault="00000000">
      <w:r>
        <w:t>Cohort 12-month survival: 74.0%</w:t>
      </w:r>
    </w:p>
    <w:p w14:paraId="77AB1762" w14:textId="77777777" w:rsidR="00241F58" w:rsidRDefault="00000000">
      <w:pPr>
        <w:pStyle w:val="Heading2"/>
      </w:pPr>
      <w:r>
        <w:lastRenderedPageBreak/>
        <w:t>Table 5: Unilateral Model Coefficients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1F58" w14:paraId="05A39D6C" w14:textId="77777777">
        <w:tc>
          <w:tcPr>
            <w:tcW w:w="1728" w:type="dxa"/>
          </w:tcPr>
          <w:p w14:paraId="79AD10B8" w14:textId="77777777" w:rsidR="00241F58" w:rsidRDefault="00000000">
            <w:r>
              <w:t>Variable</w:t>
            </w:r>
          </w:p>
        </w:tc>
        <w:tc>
          <w:tcPr>
            <w:tcW w:w="1728" w:type="dxa"/>
          </w:tcPr>
          <w:p w14:paraId="7F67684A" w14:textId="77777777" w:rsidR="00241F58" w:rsidRDefault="00000000">
            <w:r>
              <w:t>Coefficient (β)</w:t>
            </w:r>
          </w:p>
        </w:tc>
        <w:tc>
          <w:tcPr>
            <w:tcW w:w="1728" w:type="dxa"/>
          </w:tcPr>
          <w:p w14:paraId="3D18CC0E" w14:textId="77777777" w:rsidR="00241F58" w:rsidRDefault="00000000">
            <w:r>
              <w:t>OR</w:t>
            </w:r>
          </w:p>
        </w:tc>
        <w:tc>
          <w:tcPr>
            <w:tcW w:w="1728" w:type="dxa"/>
          </w:tcPr>
          <w:p w14:paraId="7B590196" w14:textId="77777777" w:rsidR="00241F58" w:rsidRDefault="00000000">
            <w:r>
              <w:t>95% CI</w:t>
            </w:r>
          </w:p>
        </w:tc>
        <w:tc>
          <w:tcPr>
            <w:tcW w:w="1728" w:type="dxa"/>
          </w:tcPr>
          <w:p w14:paraId="209EC2CB" w14:textId="77777777" w:rsidR="00241F58" w:rsidRDefault="00000000">
            <w:r>
              <w:t>p-value</w:t>
            </w:r>
          </w:p>
        </w:tc>
      </w:tr>
      <w:tr w:rsidR="00241F58" w14:paraId="1BBEA7AB" w14:textId="77777777">
        <w:tc>
          <w:tcPr>
            <w:tcW w:w="1728" w:type="dxa"/>
          </w:tcPr>
          <w:p w14:paraId="70DAEA22" w14:textId="77777777" w:rsidR="00241F58" w:rsidRDefault="00000000">
            <w:r>
              <w:t>Age (per year)</w:t>
            </w:r>
          </w:p>
        </w:tc>
        <w:tc>
          <w:tcPr>
            <w:tcW w:w="1728" w:type="dxa"/>
          </w:tcPr>
          <w:p w14:paraId="19551982" w14:textId="77777777" w:rsidR="00241F58" w:rsidRDefault="00000000">
            <w:r>
              <w:t>-0.0274</w:t>
            </w:r>
          </w:p>
        </w:tc>
        <w:tc>
          <w:tcPr>
            <w:tcW w:w="1728" w:type="dxa"/>
          </w:tcPr>
          <w:p w14:paraId="70C04D24" w14:textId="77777777" w:rsidR="00241F58" w:rsidRDefault="00000000">
            <w:r>
              <w:t>0.973</w:t>
            </w:r>
          </w:p>
        </w:tc>
        <w:tc>
          <w:tcPr>
            <w:tcW w:w="1728" w:type="dxa"/>
          </w:tcPr>
          <w:p w14:paraId="1C5C51C5" w14:textId="77777777" w:rsidR="00241F58" w:rsidRDefault="00000000">
            <w:r>
              <w:t>0.93-1.02</w:t>
            </w:r>
          </w:p>
        </w:tc>
        <w:tc>
          <w:tcPr>
            <w:tcW w:w="1728" w:type="dxa"/>
          </w:tcPr>
          <w:p w14:paraId="1CB9B76E" w14:textId="77777777" w:rsidR="00241F58" w:rsidRDefault="00000000">
            <w:r>
              <w:t>0.28</w:t>
            </w:r>
          </w:p>
        </w:tc>
      </w:tr>
      <w:tr w:rsidR="00241F58" w14:paraId="4E1CE778" w14:textId="77777777">
        <w:tc>
          <w:tcPr>
            <w:tcW w:w="1728" w:type="dxa"/>
          </w:tcPr>
          <w:p w14:paraId="7C330124" w14:textId="77777777" w:rsidR="00241F58" w:rsidRDefault="00000000">
            <w:r>
              <w:t>MGMT Methylated</w:t>
            </w:r>
          </w:p>
        </w:tc>
        <w:tc>
          <w:tcPr>
            <w:tcW w:w="1728" w:type="dxa"/>
          </w:tcPr>
          <w:p w14:paraId="4BBFC0DB" w14:textId="77777777" w:rsidR="00241F58" w:rsidRDefault="00000000">
            <w:r>
              <w:t>0.1188</w:t>
            </w:r>
          </w:p>
        </w:tc>
        <w:tc>
          <w:tcPr>
            <w:tcW w:w="1728" w:type="dxa"/>
          </w:tcPr>
          <w:p w14:paraId="1656784A" w14:textId="77777777" w:rsidR="00241F58" w:rsidRDefault="00000000">
            <w:r>
              <w:t>1.126</w:t>
            </w:r>
          </w:p>
        </w:tc>
        <w:tc>
          <w:tcPr>
            <w:tcW w:w="1728" w:type="dxa"/>
          </w:tcPr>
          <w:p w14:paraId="0E51637C" w14:textId="77777777" w:rsidR="00241F58" w:rsidRDefault="00000000">
            <w:r>
              <w:t>0.27-4.76</w:t>
            </w:r>
          </w:p>
        </w:tc>
        <w:tc>
          <w:tcPr>
            <w:tcW w:w="1728" w:type="dxa"/>
          </w:tcPr>
          <w:p w14:paraId="63625327" w14:textId="77777777" w:rsidR="00241F58" w:rsidRDefault="00000000">
            <w:r>
              <w:t>0.87</w:t>
            </w:r>
          </w:p>
        </w:tc>
      </w:tr>
      <w:tr w:rsidR="00241F58" w14:paraId="5DA4B740" w14:textId="77777777">
        <w:tc>
          <w:tcPr>
            <w:tcW w:w="1728" w:type="dxa"/>
          </w:tcPr>
          <w:p w14:paraId="45E8BA70" w14:textId="77777777" w:rsidR="00241F58" w:rsidRDefault="00000000">
            <w:r>
              <w:t>EoR ≥95%</w:t>
            </w:r>
          </w:p>
        </w:tc>
        <w:tc>
          <w:tcPr>
            <w:tcW w:w="1728" w:type="dxa"/>
          </w:tcPr>
          <w:p w14:paraId="0C453E58" w14:textId="77777777" w:rsidR="00241F58" w:rsidRDefault="00000000">
            <w:r>
              <w:t>0.6391</w:t>
            </w:r>
          </w:p>
        </w:tc>
        <w:tc>
          <w:tcPr>
            <w:tcW w:w="1728" w:type="dxa"/>
          </w:tcPr>
          <w:p w14:paraId="57757FC6" w14:textId="77777777" w:rsidR="00241F58" w:rsidRDefault="00000000">
            <w:r>
              <w:t>1.895</w:t>
            </w:r>
          </w:p>
        </w:tc>
        <w:tc>
          <w:tcPr>
            <w:tcW w:w="1728" w:type="dxa"/>
          </w:tcPr>
          <w:p w14:paraId="51B3A58C" w14:textId="77777777" w:rsidR="00241F58" w:rsidRDefault="00000000">
            <w:r>
              <w:t>0.39-9.22</w:t>
            </w:r>
          </w:p>
        </w:tc>
        <w:tc>
          <w:tcPr>
            <w:tcW w:w="1728" w:type="dxa"/>
          </w:tcPr>
          <w:p w14:paraId="73E2C4CC" w14:textId="77777777" w:rsidR="00241F58" w:rsidRDefault="00000000">
            <w:r>
              <w:t>0.43</w:t>
            </w:r>
          </w:p>
        </w:tc>
      </w:tr>
      <w:tr w:rsidR="00241F58" w14:paraId="449707E8" w14:textId="77777777">
        <w:tc>
          <w:tcPr>
            <w:tcW w:w="1728" w:type="dxa"/>
          </w:tcPr>
          <w:p w14:paraId="1316F6BB" w14:textId="77777777" w:rsidR="00241F58" w:rsidRDefault="00000000">
            <w:r>
              <w:t>IntraM1 Tumor Ratio</w:t>
            </w:r>
          </w:p>
        </w:tc>
        <w:tc>
          <w:tcPr>
            <w:tcW w:w="1728" w:type="dxa"/>
          </w:tcPr>
          <w:p w14:paraId="73042DA9" w14:textId="77777777" w:rsidR="00241F58" w:rsidRDefault="00000000">
            <w:r>
              <w:t>1.9225</w:t>
            </w:r>
          </w:p>
        </w:tc>
        <w:tc>
          <w:tcPr>
            <w:tcW w:w="1728" w:type="dxa"/>
          </w:tcPr>
          <w:p w14:paraId="0258A269" w14:textId="77777777" w:rsidR="00241F58" w:rsidRDefault="00000000">
            <w:r>
              <w:t>6.838</w:t>
            </w:r>
          </w:p>
        </w:tc>
        <w:tc>
          <w:tcPr>
            <w:tcW w:w="1728" w:type="dxa"/>
          </w:tcPr>
          <w:p w14:paraId="1D5B4CEB" w14:textId="77777777" w:rsidR="00241F58" w:rsidRDefault="00000000">
            <w:r>
              <w:t>0.98-47.85</w:t>
            </w:r>
          </w:p>
        </w:tc>
        <w:tc>
          <w:tcPr>
            <w:tcW w:w="1728" w:type="dxa"/>
          </w:tcPr>
          <w:p w14:paraId="52A2A4BF" w14:textId="77777777" w:rsidR="00241F58" w:rsidRDefault="00000000">
            <w:r>
              <w:t>0.053*</w:t>
            </w:r>
          </w:p>
        </w:tc>
      </w:tr>
    </w:tbl>
    <w:p w14:paraId="711724EC" w14:textId="77777777" w:rsidR="00241F58" w:rsidRDefault="00000000">
      <w:r>
        <w:t>* Trend toward significance (p &lt; 0.10)</w:t>
      </w:r>
    </w:p>
    <w:p w14:paraId="1FF0632E" w14:textId="77777777" w:rsidR="00241F58" w:rsidRDefault="00000000">
      <w:r>
        <w:t>Intercept: -0.7900</w:t>
      </w:r>
    </w:p>
    <w:p w14:paraId="64198F56" w14:textId="77777777" w:rsidR="00241F58" w:rsidRDefault="00000000">
      <w:pPr>
        <w:pStyle w:val="Heading2"/>
      </w:pPr>
      <w:r>
        <w:t>5.2 Key Findings</w:t>
      </w:r>
    </w:p>
    <w:p w14:paraId="439CB5DA" w14:textId="77777777" w:rsidR="00241F58" w:rsidRDefault="00000000">
      <w:r>
        <w:t>• IntraM1 Tumor Ratio is the strongest predictor (OR=6.84, p=0.053)</w:t>
      </w:r>
      <w:r>
        <w:br/>
        <w:t>• Each unit increase in the ratio increases the odds of survival by ~584%</w:t>
      </w:r>
      <w:r>
        <w:br/>
        <w:t>• Higher ratios suggest preserved motor cortex organization despite tumor presence</w:t>
      </w:r>
    </w:p>
    <w:p w14:paraId="6DF93D57" w14:textId="77777777" w:rsidR="00241F58" w:rsidRDefault="00000000">
      <w:pPr>
        <w:pStyle w:val="Heading1"/>
      </w:pPr>
      <w:r>
        <w:t>6. Calculator Implementation</w:t>
      </w:r>
    </w:p>
    <w:p w14:paraId="0DB327F2" w14:textId="77777777" w:rsidR="00241F58" w:rsidRDefault="00000000">
      <w:pPr>
        <w:pStyle w:val="Heading2"/>
      </w:pPr>
      <w:r>
        <w:t>6.1 Prediction Formula</w:t>
      </w:r>
    </w:p>
    <w:p w14:paraId="2D1033A0" w14:textId="77777777" w:rsidR="00241F58" w:rsidRDefault="00000000">
      <w:r>
        <w:t>The survival probability is calculated using the logistic function:</w:t>
      </w:r>
    </w:p>
    <w:p w14:paraId="61994A41" w14:textId="77777777" w:rsidR="00241F58" w:rsidRDefault="00000000">
      <w:pPr>
        <w:pStyle w:val="IntenseQuote"/>
      </w:pPr>
      <w:r>
        <w:t>P(survival) = 1 / (1 + e^(-logit))</w:t>
      </w:r>
    </w:p>
    <w:p w14:paraId="50C2843E" w14:textId="77777777" w:rsidR="00241F58" w:rsidRDefault="00000000">
      <w:r>
        <w:t>Where for the Bilateral Model:</w:t>
      </w:r>
    </w:p>
    <w:p w14:paraId="51581630" w14:textId="77777777" w:rsidR="00241F58" w:rsidRDefault="00000000">
      <w:r>
        <w:t>logit = 1.9498 + (-0.0101 × Age) + (-0.1645 × MGMT) + (0.4898 × EoR95) + (-1.2336 × CES) + (1.3461 × IMES)</w:t>
      </w:r>
    </w:p>
    <w:p w14:paraId="3B581D35" w14:textId="77777777" w:rsidR="00241F58" w:rsidRDefault="00000000">
      <w:r>
        <w:t>And for the Unilateral Model:</w:t>
      </w:r>
    </w:p>
    <w:p w14:paraId="3E655811" w14:textId="77777777" w:rsidR="00241F58" w:rsidRDefault="00000000">
      <w:r>
        <w:t>logit = -0.7900 + (-0.0274 × Age) + (0.1188 × MGMT) + (0.6391 × EoR95) + (1.9225 × IntraM1Ratio)</w:t>
      </w:r>
    </w:p>
    <w:p w14:paraId="50F04789" w14:textId="77777777" w:rsidR="00241F58" w:rsidRDefault="00000000">
      <w:pPr>
        <w:pStyle w:val="Heading2"/>
      </w:pPr>
      <w:r>
        <w:t>6.2 Risk Stratification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1F58" w14:paraId="48684944" w14:textId="77777777">
        <w:tc>
          <w:tcPr>
            <w:tcW w:w="2880" w:type="dxa"/>
          </w:tcPr>
          <w:p w14:paraId="2CF537ED" w14:textId="77777777" w:rsidR="00241F58" w:rsidRDefault="00000000">
            <w:r>
              <w:t>Category</w:t>
            </w:r>
          </w:p>
        </w:tc>
        <w:tc>
          <w:tcPr>
            <w:tcW w:w="2880" w:type="dxa"/>
          </w:tcPr>
          <w:p w14:paraId="566F3AD1" w14:textId="77777777" w:rsidR="00241F58" w:rsidRDefault="00000000">
            <w:r>
              <w:t>Probability Threshold</w:t>
            </w:r>
          </w:p>
        </w:tc>
        <w:tc>
          <w:tcPr>
            <w:tcW w:w="2880" w:type="dxa"/>
          </w:tcPr>
          <w:p w14:paraId="043034DA" w14:textId="77777777" w:rsidR="00241F58" w:rsidRDefault="00000000">
            <w:r>
              <w:t>Clinical Interpretation</w:t>
            </w:r>
          </w:p>
        </w:tc>
      </w:tr>
      <w:tr w:rsidR="00241F58" w14:paraId="430FF997" w14:textId="77777777">
        <w:tc>
          <w:tcPr>
            <w:tcW w:w="2880" w:type="dxa"/>
          </w:tcPr>
          <w:p w14:paraId="63CF86C6" w14:textId="77777777" w:rsidR="00241F58" w:rsidRDefault="00000000">
            <w:r>
              <w:t>Favorable</w:t>
            </w:r>
          </w:p>
        </w:tc>
        <w:tc>
          <w:tcPr>
            <w:tcW w:w="2880" w:type="dxa"/>
          </w:tcPr>
          <w:p w14:paraId="2B72484D" w14:textId="77777777" w:rsidR="00241F58" w:rsidRDefault="00000000">
            <w:r>
              <w:t>≥70%</w:t>
            </w:r>
          </w:p>
        </w:tc>
        <w:tc>
          <w:tcPr>
            <w:tcW w:w="2880" w:type="dxa"/>
          </w:tcPr>
          <w:p w14:paraId="5A4C7ACD" w14:textId="77777777" w:rsidR="00241F58" w:rsidRDefault="00000000">
            <w:r>
              <w:t>Higher likelihood of 12-month survival</w:t>
            </w:r>
          </w:p>
        </w:tc>
      </w:tr>
      <w:tr w:rsidR="00241F58" w14:paraId="5198D0CE" w14:textId="77777777">
        <w:tc>
          <w:tcPr>
            <w:tcW w:w="2880" w:type="dxa"/>
          </w:tcPr>
          <w:p w14:paraId="56E6FE01" w14:textId="77777777" w:rsidR="00241F58" w:rsidRDefault="00000000">
            <w:r>
              <w:t>Intermediate</w:t>
            </w:r>
          </w:p>
        </w:tc>
        <w:tc>
          <w:tcPr>
            <w:tcW w:w="2880" w:type="dxa"/>
          </w:tcPr>
          <w:p w14:paraId="76AB58A2" w14:textId="77777777" w:rsidR="00241F58" w:rsidRDefault="00000000">
            <w:r>
              <w:t>40-69%</w:t>
            </w:r>
          </w:p>
        </w:tc>
        <w:tc>
          <w:tcPr>
            <w:tcW w:w="2880" w:type="dxa"/>
          </w:tcPr>
          <w:p w14:paraId="26742AC0" w14:textId="77777777" w:rsidR="00241F58" w:rsidRDefault="00000000">
            <w:r>
              <w:t>Moderate prognosis</w:t>
            </w:r>
          </w:p>
        </w:tc>
      </w:tr>
      <w:tr w:rsidR="00241F58" w14:paraId="1A8EA932" w14:textId="77777777">
        <w:tc>
          <w:tcPr>
            <w:tcW w:w="2880" w:type="dxa"/>
          </w:tcPr>
          <w:p w14:paraId="6E8F4C7E" w14:textId="77777777" w:rsidR="00241F58" w:rsidRDefault="00000000">
            <w:r>
              <w:t>Poor</w:t>
            </w:r>
          </w:p>
        </w:tc>
        <w:tc>
          <w:tcPr>
            <w:tcW w:w="2880" w:type="dxa"/>
          </w:tcPr>
          <w:p w14:paraId="0A767FED" w14:textId="77777777" w:rsidR="00241F58" w:rsidRDefault="00000000">
            <w:r>
              <w:t>&lt;40%</w:t>
            </w:r>
          </w:p>
        </w:tc>
        <w:tc>
          <w:tcPr>
            <w:tcW w:w="2880" w:type="dxa"/>
          </w:tcPr>
          <w:p w14:paraId="7F166E33" w14:textId="77777777" w:rsidR="00241F58" w:rsidRDefault="00000000">
            <w:r>
              <w:t>Lower likelihood of 12-month survival</w:t>
            </w:r>
          </w:p>
        </w:tc>
      </w:tr>
    </w:tbl>
    <w:p w14:paraId="6DFD90A5" w14:textId="77777777" w:rsidR="00241F58" w:rsidRDefault="00000000">
      <w:pPr>
        <w:pStyle w:val="Heading1"/>
      </w:pPr>
      <w:r>
        <w:lastRenderedPageBreak/>
        <w:t>7. Limitations and Considerations</w:t>
      </w:r>
    </w:p>
    <w:p w14:paraId="33A2ED99" w14:textId="77777777" w:rsidR="00241F58" w:rsidRDefault="00000000">
      <w:r>
        <w:t>1. Sample Size: The models are derived from a single-center cohort (n=46-50 for subgroup analyses). External validation is recommended.</w:t>
      </w:r>
      <w:r>
        <w:br/>
      </w:r>
      <w:r>
        <w:br/>
        <w:t>2. Missing Data: Not all patients had complete bilateral mapping, leading to different sample sizes for the two models.</w:t>
      </w:r>
      <w:r>
        <w:br/>
      </w:r>
      <w:r>
        <w:br/>
        <w:t>3. Statistical Significance: While CES and IntraM1 ratio show trends toward significance (p&lt;0.10), they did not reach conventional significance (p&lt;0.05), likely due to sample size.</w:t>
      </w:r>
      <w:r>
        <w:br/>
      </w:r>
      <w:r>
        <w:br/>
        <w:t>4. Model Calibration: The models were fitted to the study cohort and may require recalibration for different populations.</w:t>
      </w:r>
      <w:r>
        <w:br/>
      </w:r>
      <w:r>
        <w:br/>
        <w:t>5. Research Use Only: This calculator is intended for research and educational purposes and should not replace clinical judgment.</w:t>
      </w:r>
    </w:p>
    <w:p w14:paraId="0C81D064" w14:textId="77777777" w:rsidR="00241F58" w:rsidRDefault="00000000">
      <w:pPr>
        <w:pStyle w:val="Heading1"/>
      </w:pPr>
      <w:r>
        <w:t>8. Variable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1F58" w14:paraId="5343F264" w14:textId="77777777">
        <w:tc>
          <w:tcPr>
            <w:tcW w:w="4320" w:type="dxa"/>
          </w:tcPr>
          <w:p w14:paraId="6B243C94" w14:textId="77777777" w:rsidR="00241F58" w:rsidRDefault="00000000">
            <w:r>
              <w:t>Variable</w:t>
            </w:r>
          </w:p>
        </w:tc>
        <w:tc>
          <w:tcPr>
            <w:tcW w:w="4320" w:type="dxa"/>
          </w:tcPr>
          <w:p w14:paraId="6834F911" w14:textId="77777777" w:rsidR="00241F58" w:rsidRDefault="00000000">
            <w:r>
              <w:t>Definition</w:t>
            </w:r>
          </w:p>
        </w:tc>
      </w:tr>
      <w:tr w:rsidR="00241F58" w14:paraId="32E96204" w14:textId="77777777">
        <w:tc>
          <w:tcPr>
            <w:tcW w:w="4320" w:type="dxa"/>
          </w:tcPr>
          <w:p w14:paraId="70B6D1C6" w14:textId="77777777" w:rsidR="00241F58" w:rsidRDefault="00000000">
            <w:r>
              <w:t>Age</w:t>
            </w:r>
          </w:p>
        </w:tc>
        <w:tc>
          <w:tcPr>
            <w:tcW w:w="4320" w:type="dxa"/>
          </w:tcPr>
          <w:p w14:paraId="309A84E7" w14:textId="77777777" w:rsidR="00241F58" w:rsidRDefault="00000000">
            <w:r>
              <w:t>Patient age at diagnosis (years)</w:t>
            </w:r>
          </w:p>
        </w:tc>
      </w:tr>
      <w:tr w:rsidR="00241F58" w14:paraId="6D112C07" w14:textId="77777777">
        <w:tc>
          <w:tcPr>
            <w:tcW w:w="4320" w:type="dxa"/>
          </w:tcPr>
          <w:p w14:paraId="3E6213F6" w14:textId="77777777" w:rsidR="00241F58" w:rsidRDefault="00000000">
            <w:r>
              <w:t>MGMT</w:t>
            </w:r>
          </w:p>
        </w:tc>
        <w:tc>
          <w:tcPr>
            <w:tcW w:w="4320" w:type="dxa"/>
          </w:tcPr>
          <w:p w14:paraId="53A49C68" w14:textId="77777777" w:rsidR="00241F58" w:rsidRDefault="00000000">
            <w:r>
              <w:t>MGMT promoter methylation status (0=unmethylated, 1=methylated)</w:t>
            </w:r>
          </w:p>
        </w:tc>
      </w:tr>
      <w:tr w:rsidR="00241F58" w14:paraId="5F6F79FB" w14:textId="77777777">
        <w:tc>
          <w:tcPr>
            <w:tcW w:w="4320" w:type="dxa"/>
          </w:tcPr>
          <w:p w14:paraId="46D2F81C" w14:textId="77777777" w:rsidR="00241F58" w:rsidRDefault="00000000">
            <w:r>
              <w:t>EoR95</w:t>
            </w:r>
          </w:p>
        </w:tc>
        <w:tc>
          <w:tcPr>
            <w:tcW w:w="4320" w:type="dxa"/>
          </w:tcPr>
          <w:p w14:paraId="268535D9" w14:textId="77777777" w:rsidR="00241F58" w:rsidRDefault="00000000">
            <w:r>
              <w:t>Extent of resection ≥95% (0=no, 1=yes)</w:t>
            </w:r>
          </w:p>
        </w:tc>
      </w:tr>
      <w:tr w:rsidR="00241F58" w14:paraId="17EC23F9" w14:textId="77777777">
        <w:tc>
          <w:tcPr>
            <w:tcW w:w="4320" w:type="dxa"/>
          </w:tcPr>
          <w:p w14:paraId="52A77C35" w14:textId="77777777" w:rsidR="00241F58" w:rsidRDefault="00000000">
            <w:r>
              <w:t>CES</w:t>
            </w:r>
          </w:p>
        </w:tc>
        <w:tc>
          <w:tcPr>
            <w:tcW w:w="4320" w:type="dxa"/>
          </w:tcPr>
          <w:p w14:paraId="7E54D7EA" w14:textId="77777777" w:rsidR="00241F58" w:rsidRDefault="00000000">
            <w:r>
              <w:t>Cortical Excitability Score (0, 1, or 2)</w:t>
            </w:r>
          </w:p>
        </w:tc>
      </w:tr>
      <w:tr w:rsidR="00241F58" w14:paraId="4C523C3E" w14:textId="77777777">
        <w:tc>
          <w:tcPr>
            <w:tcW w:w="4320" w:type="dxa"/>
          </w:tcPr>
          <w:p w14:paraId="592CB397" w14:textId="77777777" w:rsidR="00241F58" w:rsidRDefault="00000000">
            <w:r>
              <w:t>IMES</w:t>
            </w:r>
          </w:p>
        </w:tc>
        <w:tc>
          <w:tcPr>
            <w:tcW w:w="4320" w:type="dxa"/>
          </w:tcPr>
          <w:p w14:paraId="22F2812C" w14:textId="77777777" w:rsidR="00241F58" w:rsidRDefault="00000000">
            <w:r>
              <w:t>IntraM1 Excitability Score: RMT_LL/RMT_UL in tumor hemisphere</w:t>
            </w:r>
          </w:p>
        </w:tc>
      </w:tr>
      <w:tr w:rsidR="00241F58" w14:paraId="4B58EB6F" w14:textId="77777777">
        <w:tc>
          <w:tcPr>
            <w:tcW w:w="4320" w:type="dxa"/>
          </w:tcPr>
          <w:p w14:paraId="09DDE667" w14:textId="77777777" w:rsidR="00241F58" w:rsidRDefault="00000000">
            <w:r>
              <w:t>IntraM1 Tumor Ratio</w:t>
            </w:r>
          </w:p>
        </w:tc>
        <w:tc>
          <w:tcPr>
            <w:tcW w:w="4320" w:type="dxa"/>
          </w:tcPr>
          <w:p w14:paraId="20DCA2A9" w14:textId="77777777" w:rsidR="00241F58" w:rsidRDefault="00000000">
            <w:r>
              <w:t>LL/UL RMT ratio in tumor hemisphere only</w:t>
            </w:r>
          </w:p>
        </w:tc>
      </w:tr>
      <w:tr w:rsidR="00241F58" w14:paraId="5B6D048B" w14:textId="77777777">
        <w:tc>
          <w:tcPr>
            <w:tcW w:w="4320" w:type="dxa"/>
          </w:tcPr>
          <w:p w14:paraId="2D4CEA73" w14:textId="77777777" w:rsidR="00241F58" w:rsidRDefault="00000000">
            <w:r>
              <w:t>RMT</w:t>
            </w:r>
          </w:p>
        </w:tc>
        <w:tc>
          <w:tcPr>
            <w:tcW w:w="4320" w:type="dxa"/>
          </w:tcPr>
          <w:p w14:paraId="7ACB118B" w14:textId="77777777" w:rsidR="00241F58" w:rsidRDefault="00000000">
            <w:r>
              <w:t>Resting Motor Threshold (% maximum stimulator output)</w:t>
            </w:r>
          </w:p>
        </w:tc>
      </w:tr>
    </w:tbl>
    <w:p w14:paraId="00543CDD" w14:textId="77777777" w:rsidR="006C0770" w:rsidRDefault="006C0770"/>
    <w:sectPr w:rsidR="006C07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320878">
    <w:abstractNumId w:val="8"/>
  </w:num>
  <w:num w:numId="2" w16cid:durableId="2002780243">
    <w:abstractNumId w:val="6"/>
  </w:num>
  <w:num w:numId="3" w16cid:durableId="1611625606">
    <w:abstractNumId w:val="5"/>
  </w:num>
  <w:num w:numId="4" w16cid:durableId="227767954">
    <w:abstractNumId w:val="4"/>
  </w:num>
  <w:num w:numId="5" w16cid:durableId="1464808892">
    <w:abstractNumId w:val="7"/>
  </w:num>
  <w:num w:numId="6" w16cid:durableId="550314504">
    <w:abstractNumId w:val="3"/>
  </w:num>
  <w:num w:numId="7" w16cid:durableId="1497529040">
    <w:abstractNumId w:val="2"/>
  </w:num>
  <w:num w:numId="8" w16cid:durableId="1240139994">
    <w:abstractNumId w:val="1"/>
  </w:num>
  <w:num w:numId="9" w16cid:durableId="45896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F58"/>
    <w:rsid w:val="0029639D"/>
    <w:rsid w:val="00326F90"/>
    <w:rsid w:val="006C0770"/>
    <w:rsid w:val="007E7E92"/>
    <w:rsid w:val="00A22F72"/>
    <w:rsid w:val="00AA1D8D"/>
    <w:rsid w:val="00B47730"/>
    <w:rsid w:val="00CB0664"/>
    <w:rsid w:val="00F85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6A8B3"/>
  <w14:defaultImageDpi w14:val="300"/>
  <w15:docId w15:val="{B4C0384B-7462-A04B-8563-E76FAEE9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Fayez, Feras</cp:lastModifiedBy>
  <cp:revision>2</cp:revision>
  <dcterms:created xsi:type="dcterms:W3CDTF">2013-12-23T23:15:00Z</dcterms:created>
  <dcterms:modified xsi:type="dcterms:W3CDTF">2025-12-07T22:08:00Z</dcterms:modified>
  <cp:category/>
</cp:coreProperties>
</file>